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jc w:val="center"/>
        <w:rPr>
          <w:rFonts w:hint="default" w:ascii="Times New Roman" w:hAnsi="Times New Roman" w:cs="Times New Roman"/>
          <w:b/>
          <w:bCs/>
          <w:color w:val="0000FF"/>
          <w:sz w:val="36"/>
          <w:szCs w:val="44"/>
          <w:lang w:eastAsia="zh-CN"/>
        </w:rPr>
      </w:pPr>
    </w:p>
    <w:p>
      <w:pPr>
        <w:bidi w:val="0"/>
        <w:spacing w:line="600" w:lineRule="auto"/>
        <w:jc w:val="center"/>
        <w:rPr>
          <w:rFonts w:hint="default" w:ascii="Times New Roman" w:hAnsi="Times New Roman" w:cs="Times New Roman"/>
          <w:b/>
          <w:bCs/>
          <w:color w:val="auto"/>
          <w:sz w:val="44"/>
          <w:szCs w:val="52"/>
          <w:lang w:eastAsia="zh-CN"/>
        </w:rPr>
      </w:pPr>
      <w:r>
        <w:rPr>
          <w:rFonts w:hint="default" w:ascii="Times New Roman" w:hAnsi="Times New Roman" w:cs="Times New Roman"/>
          <w:b/>
          <w:bCs/>
          <w:color w:val="auto"/>
          <w:sz w:val="44"/>
          <w:szCs w:val="52"/>
          <w:lang w:eastAsia="zh-CN"/>
        </w:rPr>
        <w:t>年产3000套展台展具智能生产线项目</w:t>
      </w:r>
    </w:p>
    <w:p>
      <w:pPr>
        <w:bidi w:val="0"/>
        <w:spacing w:line="600" w:lineRule="auto"/>
        <w:jc w:val="center"/>
        <w:rPr>
          <w:rFonts w:hint="default" w:ascii="Times New Roman" w:hAnsi="Times New Roman" w:cs="Times New Roman"/>
          <w:b/>
          <w:bCs/>
          <w:color w:val="auto"/>
          <w:sz w:val="36"/>
          <w:szCs w:val="44"/>
          <w:lang w:eastAsia="zh-CN"/>
        </w:rPr>
      </w:pPr>
      <w:r>
        <w:rPr>
          <w:rFonts w:hint="default" w:ascii="Times New Roman" w:hAnsi="Times New Roman" w:cs="Times New Roman"/>
          <w:b/>
          <w:bCs/>
          <w:color w:val="auto"/>
          <w:sz w:val="44"/>
          <w:szCs w:val="52"/>
          <w:lang w:eastAsia="zh-CN"/>
        </w:rPr>
        <w:t>竣工环境保护</w:t>
      </w:r>
      <w:r>
        <w:rPr>
          <w:rFonts w:hint="eastAsia" w:ascii="Times New Roman" w:hAnsi="Times New Roman" w:cs="Times New Roman"/>
          <w:b/>
          <w:bCs/>
          <w:color w:val="auto"/>
          <w:sz w:val="44"/>
          <w:szCs w:val="52"/>
          <w:lang w:eastAsia="zh-CN"/>
        </w:rPr>
        <w:t>验收监测报告表</w:t>
      </w:r>
    </w:p>
    <w:p>
      <w:pPr>
        <w:jc w:val="center"/>
        <w:rPr>
          <w:rFonts w:hint="eastAsia" w:ascii="Times New Roman" w:hAnsi="Times New Roman" w:eastAsia="宋体" w:cs="Times New Roman"/>
          <w:b/>
          <w:bCs/>
          <w:color w:val="0000FF"/>
          <w:sz w:val="48"/>
          <w:szCs w:val="48"/>
          <w:lang w:eastAsia="zh-CN"/>
        </w:rPr>
      </w:pPr>
    </w:p>
    <w:p>
      <w:pPr>
        <w:pStyle w:val="33"/>
        <w:ind w:left="0" w:leftChars="0" w:firstLine="0" w:firstLineChars="0"/>
        <w:jc w:val="center"/>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0000FF"/>
          <w:sz w:val="48"/>
          <w:szCs w:val="48"/>
          <w:lang w:eastAsia="zh-CN"/>
        </w:rPr>
      </w:pPr>
    </w:p>
    <w:p>
      <w:pPr>
        <w:spacing w:line="240" w:lineRule="auto"/>
        <w:ind w:left="0" w:leftChars="0" w:firstLine="1687" w:firstLineChars="600"/>
        <w:jc w:val="both"/>
        <w:rPr>
          <w:rFonts w:hint="eastAsia" w:eastAsia="宋体" w:cs="Times New Roman"/>
          <w:b/>
          <w:bCs/>
          <w:color w:val="auto"/>
          <w:kern w:val="0"/>
          <w:sz w:val="28"/>
          <w:szCs w:val="28"/>
          <w:lang w:val="en-US" w:eastAsia="zh-CN"/>
        </w:rPr>
      </w:pPr>
      <w:r>
        <w:rPr>
          <w:rFonts w:hint="eastAsia" w:cs="Times New Roman"/>
          <w:b/>
          <w:bCs/>
          <w:color w:val="auto"/>
          <w:kern w:val="0"/>
          <w:sz w:val="28"/>
          <w:szCs w:val="28"/>
          <w:lang w:eastAsia="zh-CN"/>
        </w:rPr>
        <w:t>建设单位</w:t>
      </w:r>
      <w:r>
        <w:rPr>
          <w:rFonts w:hint="eastAsia" w:eastAsia="宋体" w:cs="Times New Roman"/>
          <w:b/>
          <w:bCs/>
          <w:color w:val="auto"/>
          <w:kern w:val="0"/>
          <w:sz w:val="28"/>
          <w:szCs w:val="28"/>
          <w:lang w:eastAsia="zh-CN"/>
        </w:rPr>
        <w:t>：安徽建诚展览展示服务有限公司</w:t>
      </w:r>
    </w:p>
    <w:p>
      <w:pPr>
        <w:pStyle w:val="67"/>
        <w:spacing w:line="240" w:lineRule="auto"/>
        <w:ind w:left="0" w:leftChars="0" w:firstLine="1687" w:firstLineChars="600"/>
        <w:rPr>
          <w:rFonts w:hint="eastAsia" w:ascii="Times New Roman" w:hAnsi="Times New Roman" w:eastAsia="宋体" w:cs="Times New Roman"/>
          <w:b/>
          <w:bCs/>
          <w:color w:val="auto"/>
          <w:sz w:val="48"/>
          <w:szCs w:val="48"/>
          <w:lang w:eastAsia="zh-CN"/>
        </w:rPr>
      </w:pPr>
      <w:r>
        <w:rPr>
          <w:rFonts w:hint="eastAsia" w:ascii="Times New Roman" w:hAnsi="Times New Roman" w:cs="Times New Roman"/>
          <w:b/>
          <w:bCs/>
          <w:color w:val="auto"/>
          <w:sz w:val="28"/>
          <w:szCs w:val="32"/>
          <w:lang w:eastAsia="zh-CN"/>
        </w:rPr>
        <w:t>编制日期：</w:t>
      </w:r>
      <w:r>
        <w:rPr>
          <w:rFonts w:hint="eastAsia" w:cs="Times New Roman"/>
          <w:b/>
          <w:bCs/>
          <w:color w:val="auto"/>
          <w:sz w:val="28"/>
          <w:szCs w:val="32"/>
          <w:lang w:val="en-US" w:eastAsia="zh-CN"/>
        </w:rPr>
        <w:t xml:space="preserve">    2022</w:t>
      </w:r>
      <w:r>
        <w:rPr>
          <w:rFonts w:hint="default" w:ascii="Times New Roman" w:hAnsi="Times New Roman" w:cs="Times New Roman"/>
          <w:b/>
          <w:bCs/>
          <w:color w:val="auto"/>
          <w:sz w:val="28"/>
          <w:szCs w:val="32"/>
          <w:lang w:eastAsia="zh-CN"/>
        </w:rPr>
        <w:t>年</w:t>
      </w:r>
      <w:r>
        <w:rPr>
          <w:rFonts w:hint="eastAsia" w:cs="Times New Roman"/>
          <w:b/>
          <w:bCs/>
          <w:color w:val="auto"/>
          <w:sz w:val="28"/>
          <w:szCs w:val="32"/>
          <w:lang w:val="en-US" w:eastAsia="zh-CN"/>
        </w:rPr>
        <w:t>10</w:t>
      </w:r>
      <w:r>
        <w:rPr>
          <w:rFonts w:hint="default" w:ascii="Times New Roman" w:hAnsi="Times New Roman" w:cs="Times New Roman"/>
          <w:b/>
          <w:bCs/>
          <w:color w:val="auto"/>
          <w:sz w:val="28"/>
          <w:szCs w:val="32"/>
          <w:lang w:eastAsia="zh-CN"/>
        </w:rPr>
        <w:t>月</w:t>
      </w:r>
    </w:p>
    <w:p>
      <w:pPr>
        <w:pStyle w:val="33"/>
        <w:ind w:left="0" w:leftChars="0" w:firstLine="0" w:firstLineChars="0"/>
        <w:rPr>
          <w:rFonts w:hint="eastAsia" w:ascii="Times New Roman" w:hAnsi="Times New Roman" w:eastAsia="宋体" w:cs="Times New Roman"/>
          <w:b/>
          <w:bCs/>
          <w:color w:val="0000FF"/>
          <w:sz w:val="48"/>
          <w:szCs w:val="48"/>
          <w:lang w:eastAsia="zh-CN"/>
        </w:rPr>
      </w:pPr>
    </w:p>
    <w:p>
      <w:pPr>
        <w:pStyle w:val="33"/>
        <w:rPr>
          <w:rFonts w:hint="eastAsia" w:ascii="Times New Roman" w:hAnsi="Times New Roman" w:eastAsia="宋体" w:cs="Times New Roman"/>
          <w:b/>
          <w:bCs/>
          <w:color w:val="0000FF"/>
          <w:sz w:val="48"/>
          <w:szCs w:val="48"/>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jc w:val="left"/>
        <w:rPr>
          <w:rFonts w:hint="eastAsia"/>
          <w:color w:val="0000FF"/>
        </w:rPr>
      </w:pPr>
    </w:p>
    <w:tbl>
      <w:tblPr>
        <w:tblStyle w:val="23"/>
        <w:tblW w:w="85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834"/>
        <w:gridCol w:w="240"/>
        <w:gridCol w:w="5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3"/>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shd w:val="clear" w:color="auto" w:fill="FFFFFF"/>
              </w:rPr>
              <w:t>建设单位法人代表</w:t>
            </w:r>
          </w:p>
        </w:tc>
        <w:tc>
          <w:tcPr>
            <w:tcW w:w="240" w:type="dxa"/>
            <w:tcBorders>
              <w:tl2br w:val="nil"/>
              <w:tr2bl w:val="nil"/>
            </w:tcBorders>
            <w:vAlign w:val="top"/>
          </w:tcPr>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shd w:val="clear" w:color="auto" w:fill="FFFFFF"/>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left"/>
              <w:textAlignment w:val="auto"/>
              <w:rPr>
                <w:rFonts w:hint="eastAsia" w:ascii="Times New Roman" w:hAnsi="Times New Roman" w:eastAsia="宋体" w:cs="Times New Roman"/>
                <w:b/>
                <w:bCs/>
                <w:color w:val="auto"/>
                <w:sz w:val="48"/>
                <w:szCs w:val="48"/>
                <w:vertAlign w:val="baseline"/>
                <w:lang w:eastAsia="zh-CN"/>
              </w:rPr>
            </w:pPr>
            <w:r>
              <w:rPr>
                <w:rFonts w:hint="eastAsia" w:ascii="Times New Roman" w:hAnsi="Times New Roman" w:eastAsia="宋体" w:cs="Times New Roman"/>
                <w:b w:val="0"/>
                <w:bCs w:val="0"/>
                <w:color w:val="auto"/>
                <w:sz w:val="28"/>
                <w:szCs w:val="28"/>
                <w:vertAlign w:val="baseline"/>
                <w:lang w:val="en-US" w:eastAsia="zh-CN"/>
              </w:rPr>
              <w:t>张晓凤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c>
          <w:tcPr>
            <w:tcW w:w="2840" w:type="dxa"/>
            <w:tcBorders>
              <w:tl2br w:val="nil"/>
              <w:tr2bl w:val="nil"/>
            </w:tcBorders>
            <w:vAlign w:val="top"/>
          </w:tcPr>
          <w:p>
            <w:pPr>
              <w:pStyle w:val="33"/>
              <w:keepNext w:val="0"/>
              <w:keepLines w:val="0"/>
              <w:pageBreakBefore w:val="0"/>
              <w:widowControl w:val="0"/>
              <w:kinsoku/>
              <w:wordWrap/>
              <w:overflowPunct/>
              <w:topLinePunct w:val="0"/>
              <w:autoSpaceDE/>
              <w:autoSpaceDN/>
              <w:bidi w:val="0"/>
              <w:adjustRightInd/>
              <w:snapToGrid/>
              <w:ind w:firstLine="0" w:firstLineChars="0"/>
              <w:jc w:val="distribute"/>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rPr>
              <w:t>项目负责人</w:t>
            </w:r>
          </w:p>
        </w:tc>
        <w:tc>
          <w:tcPr>
            <w:tcW w:w="240" w:type="dxa"/>
            <w:tcBorders>
              <w:tl2br w:val="nil"/>
              <w:tr2bl w:val="nil"/>
            </w:tcBorders>
            <w:vAlign w:val="top"/>
          </w:tcPr>
          <w:p>
            <w:pPr>
              <w:pStyle w:val="3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eastAsia="宋体" w:cs="Times New Roman"/>
                <w:b/>
                <w:bCs/>
                <w:color w:val="auto"/>
                <w:sz w:val="48"/>
                <w:szCs w:val="48"/>
                <w:vertAlign w:val="baseline"/>
                <w:lang w:eastAsia="zh-CN"/>
              </w:rPr>
            </w:pPr>
            <w:r>
              <w:rPr>
                <w:rFonts w:hint="eastAsia" w:ascii="宋体" w:hAnsi="宋体" w:eastAsia="宋体" w:cs="宋体"/>
                <w:color w:val="auto"/>
                <w:sz w:val="28"/>
                <w:szCs w:val="28"/>
              </w:rPr>
              <w:t>：</w:t>
            </w:r>
          </w:p>
        </w:tc>
        <w:tc>
          <w:tcPr>
            <w:tcW w:w="5442" w:type="dxa"/>
            <w:tcBorders>
              <w:tl2br w:val="nil"/>
              <w:tr2bl w:val="nil"/>
            </w:tcBorders>
            <w:vAlign w:val="top"/>
          </w:tcPr>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b/>
                <w:bCs/>
                <w:color w:val="auto"/>
                <w:sz w:val="48"/>
                <w:szCs w:val="48"/>
                <w:vertAlign w:val="baseline"/>
                <w:lang w:val="en-US" w:eastAsia="zh-CN"/>
              </w:rPr>
            </w:pPr>
            <w:r>
              <w:rPr>
                <w:rFonts w:hint="eastAsia" w:ascii="Times New Roman" w:hAnsi="Times New Roman" w:eastAsia="宋体" w:cs="Times New Roman"/>
                <w:b w:val="0"/>
                <w:bCs w:val="0"/>
                <w:color w:val="auto"/>
                <w:sz w:val="28"/>
                <w:szCs w:val="28"/>
                <w:vertAlign w:val="baseline"/>
                <w:lang w:val="en-US" w:eastAsia="zh-CN"/>
              </w:rPr>
              <w:t>陈勇</w:t>
            </w:r>
          </w:p>
        </w:tc>
      </w:tr>
    </w:tbl>
    <w:p>
      <w:pPr>
        <w:rPr>
          <w:rFonts w:eastAsia="楷体"/>
          <w:color w:val="0000FF"/>
          <w:sz w:val="28"/>
          <w:szCs w:val="28"/>
        </w:rPr>
      </w:pPr>
    </w:p>
    <w:p>
      <w:pPr>
        <w:rPr>
          <w:rFonts w:eastAsia="楷体"/>
          <w:color w:val="0000FF"/>
          <w:sz w:val="28"/>
          <w:szCs w:val="28"/>
        </w:rPr>
      </w:pPr>
    </w:p>
    <w:p>
      <w:pPr>
        <w:rPr>
          <w:rFonts w:eastAsia="楷体"/>
          <w:color w:val="0000FF"/>
          <w:sz w:val="28"/>
          <w:szCs w:val="28"/>
        </w:rPr>
      </w:pPr>
    </w:p>
    <w:p>
      <w:pPr>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建设单位：</w:t>
      </w:r>
      <w:r>
        <w:rPr>
          <w:rFonts w:hint="eastAsia" w:ascii="Times New Roman" w:hAnsi="Times New Roman" w:eastAsia="宋体" w:cs="Times New Roman"/>
          <w:color w:val="auto"/>
          <w:sz w:val="28"/>
          <w:szCs w:val="28"/>
          <w:lang w:val="en-US" w:eastAsia="zh-CN"/>
        </w:rPr>
        <w:t>安徽建诚展览展示服务有限公司</w:t>
      </w:r>
    </w:p>
    <w:p>
      <w:pPr>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电话：</w:t>
      </w:r>
      <w:r>
        <w:rPr>
          <w:rFonts w:hint="eastAsia" w:ascii="Times New Roman" w:hAnsi="Times New Roman" w:eastAsia="宋体" w:cs="Times New Roman"/>
          <w:color w:val="auto"/>
          <w:sz w:val="28"/>
          <w:szCs w:val="28"/>
          <w:lang w:val="en-US" w:eastAsia="zh-CN"/>
        </w:rPr>
        <w:t>18355626271</w:t>
      </w:r>
    </w:p>
    <w:p>
      <w:pPr>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邮编：</w:t>
      </w:r>
      <w:r>
        <w:rPr>
          <w:rFonts w:hint="default" w:ascii="Times New Roman" w:hAnsi="Times New Roman" w:eastAsia="宋体" w:cs="Times New Roman"/>
          <w:color w:val="auto"/>
          <w:sz w:val="28"/>
          <w:szCs w:val="28"/>
          <w:lang w:val="en-US" w:eastAsia="zh-CN"/>
        </w:rPr>
        <w:t>23</w:t>
      </w:r>
      <w:r>
        <w:rPr>
          <w:rFonts w:hint="eastAsia" w:ascii="Times New Roman" w:hAnsi="Times New Roman" w:eastAsia="宋体" w:cs="Times New Roman"/>
          <w:color w:val="auto"/>
          <w:sz w:val="28"/>
          <w:szCs w:val="28"/>
          <w:lang w:val="en-US" w:eastAsia="zh-CN"/>
        </w:rPr>
        <w:t>1400</w:t>
      </w:r>
    </w:p>
    <w:p>
      <w:pPr>
        <w:jc w:val="left"/>
        <w:rPr>
          <w:rFonts w:hint="eastAsia"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地址：</w:t>
      </w:r>
      <w:r>
        <w:rPr>
          <w:rFonts w:hint="eastAsia" w:ascii="Times New Roman" w:hAnsi="Times New Roman" w:eastAsia="宋体" w:cs="Times New Roman"/>
          <w:color w:val="auto"/>
          <w:sz w:val="28"/>
          <w:szCs w:val="28"/>
          <w:lang w:eastAsia="zh-CN"/>
        </w:rPr>
        <w:t>安徽省安庆市桐城</w:t>
      </w:r>
      <w:r>
        <w:rPr>
          <w:rFonts w:hint="eastAsia" w:ascii="Times New Roman" w:hAnsi="Times New Roman" w:eastAsia="宋体" w:cs="Times New Roman"/>
          <w:color w:val="auto"/>
          <w:sz w:val="28"/>
          <w:szCs w:val="28"/>
          <w:lang w:val="en-US" w:eastAsia="zh-CN"/>
        </w:rPr>
        <w:t>市孔城镇高桥工业集中区</w:t>
      </w:r>
    </w:p>
    <w:p>
      <w:pPr>
        <w:jc w:val="left"/>
        <w:rPr>
          <w:rFonts w:hint="eastAsia" w:ascii="Times New Roman" w:hAnsi="Times New Roman" w:eastAsia="宋体" w:cs="Times New Roman"/>
          <w:color w:val="auto"/>
          <w:sz w:val="28"/>
          <w:szCs w:val="28"/>
          <w:lang w:eastAsia="zh-CN"/>
        </w:rPr>
      </w:pPr>
    </w:p>
    <w:p>
      <w:pPr>
        <w:rPr>
          <w:rFonts w:eastAsia="楷体"/>
          <w:color w:val="0000FF"/>
          <w:sz w:val="28"/>
          <w:szCs w:val="28"/>
        </w:rPr>
      </w:pPr>
    </w:p>
    <w:p>
      <w:pPr>
        <w:pStyle w:val="2"/>
        <w:rPr>
          <w:rFonts w:ascii="Times New Roman" w:hAnsi="Times New Roman" w:eastAsia="楷体"/>
          <w:color w:val="auto"/>
          <w:sz w:val="28"/>
          <w:szCs w:val="28"/>
          <w:lang w:val="en-US" w:eastAsia="zh-CN"/>
        </w:rPr>
      </w:pPr>
    </w:p>
    <w:p>
      <w:pPr>
        <w:pStyle w:val="2"/>
        <w:jc w:val="both"/>
        <w:rPr>
          <w:rFonts w:ascii="Times New Roman" w:hAnsi="Times New Roman" w:eastAsia="楷体"/>
          <w:color w:val="auto"/>
          <w:sz w:val="28"/>
          <w:szCs w:val="28"/>
          <w:lang w:val="en-US" w:eastAsia="zh-CN"/>
        </w:rPr>
      </w:pPr>
    </w:p>
    <w:p>
      <w:pPr>
        <w:rPr>
          <w:rFonts w:hint="default" w:ascii="Times New Roman" w:hAnsi="Times New Roman" w:eastAsia="宋体" w:cs="Times New Roman"/>
          <w:color w:val="auto"/>
          <w:sz w:val="28"/>
          <w:szCs w:val="28"/>
        </w:rPr>
      </w:pPr>
      <w:r>
        <w:rPr>
          <w:rFonts w:hint="eastAsia" w:ascii="Times New Roman" w:hAnsi="Times New Roman" w:eastAsia="宋体" w:cs="Times New Roman"/>
          <w:color w:val="auto"/>
          <w:sz w:val="28"/>
          <w:szCs w:val="28"/>
          <w:lang w:eastAsia="zh-CN"/>
        </w:rPr>
        <w:t>检测</w:t>
      </w:r>
      <w:r>
        <w:rPr>
          <w:rFonts w:hint="default" w:ascii="Times New Roman" w:hAnsi="Times New Roman" w:eastAsia="宋体" w:cs="Times New Roman"/>
          <w:color w:val="auto"/>
          <w:sz w:val="28"/>
          <w:szCs w:val="28"/>
        </w:rPr>
        <w:t>单位：安徽工和环境监测有限责任公司</w:t>
      </w:r>
    </w:p>
    <w:p>
      <w:pP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电话：0551-67891265</w:t>
      </w:r>
    </w:p>
    <w:p>
      <w:pPr>
        <w:rPr>
          <w:rFonts w:hint="default" w:ascii="Times New Roman" w:hAnsi="Times New Roman" w:eastAsia="宋体" w:cs="Times New Roman"/>
          <w:color w:val="auto"/>
          <w:sz w:val="28"/>
          <w:szCs w:val="28"/>
          <w:highlight w:val="cyan"/>
        </w:rPr>
      </w:pPr>
      <w:r>
        <w:rPr>
          <w:rFonts w:hint="default" w:ascii="Times New Roman" w:hAnsi="Times New Roman" w:eastAsia="宋体" w:cs="Times New Roman"/>
          <w:color w:val="auto"/>
          <w:sz w:val="28"/>
          <w:szCs w:val="28"/>
        </w:rPr>
        <w:t>传真：0551-67891265</w:t>
      </w:r>
    </w:p>
    <w:p>
      <w:pPr>
        <w:rPr>
          <w:rFonts w:hint="default" w:ascii="Times New Roman" w:hAnsi="Times New Roman" w:eastAsia="宋体" w:cs="Times New Roman"/>
          <w:color w:val="auto"/>
          <w:sz w:val="28"/>
          <w:szCs w:val="28"/>
          <w:highlight w:val="cyan"/>
        </w:rPr>
      </w:pPr>
      <w:r>
        <w:rPr>
          <w:rFonts w:hint="default" w:ascii="Times New Roman" w:hAnsi="Times New Roman" w:eastAsia="宋体" w:cs="Times New Roman"/>
          <w:color w:val="auto"/>
          <w:sz w:val="28"/>
          <w:szCs w:val="28"/>
        </w:rPr>
        <w:t>邮编：230000</w:t>
      </w:r>
    </w:p>
    <w:p>
      <w:pPr>
        <w:pStyle w:val="33"/>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auto"/>
          <w:sz w:val="48"/>
          <w:szCs w:val="48"/>
          <w:lang w:val="en-US" w:eastAsia="zh-CN"/>
        </w:rPr>
      </w:pPr>
      <w:r>
        <w:rPr>
          <w:rFonts w:hint="default" w:ascii="Times New Roman" w:hAnsi="Times New Roman" w:eastAsia="宋体" w:cs="Times New Roman"/>
          <w:color w:val="auto"/>
          <w:sz w:val="28"/>
          <w:szCs w:val="28"/>
          <w:lang w:val="en-US" w:eastAsia="zh-CN"/>
        </w:rPr>
        <w:t>地址：合肥市高新区香樟大道168号柏堰科技实业园D19栋4楼</w:t>
      </w:r>
    </w:p>
    <w:p>
      <w:pPr>
        <w:pStyle w:val="33"/>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pPr>
    </w:p>
    <w:p>
      <w:pPr>
        <w:pStyle w:val="33"/>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bCs/>
          <w:color w:val="0000FF"/>
          <w:sz w:val="48"/>
          <w:szCs w:val="4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3"/>
        <w:rPr>
          <w:rFonts w:hint="eastAsia"/>
          <w:color w:val="auto"/>
          <w:lang w:val="en-US" w:eastAsia="zh-CN"/>
        </w:rPr>
      </w:pPr>
      <w:bookmarkStart w:id="0" w:name="_Toc3421"/>
      <w:r>
        <w:rPr>
          <w:rFonts w:hint="eastAsia"/>
          <w:color w:val="auto"/>
          <w:lang w:val="en-US" w:eastAsia="zh-CN"/>
        </w:rPr>
        <w:t>表一 项目概况</w:t>
      </w:r>
      <w:bookmarkEnd w:id="0"/>
    </w:p>
    <w:tbl>
      <w:tblPr>
        <w:tblStyle w:val="23"/>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458"/>
        <w:gridCol w:w="697"/>
        <w:gridCol w:w="1621"/>
        <w:gridCol w:w="108"/>
        <w:gridCol w:w="840"/>
        <w:gridCol w:w="889"/>
        <w:gridCol w:w="206"/>
        <w:gridCol w:w="435"/>
        <w:gridCol w:w="1006"/>
        <w:gridCol w:w="82"/>
        <w:gridCol w:w="704"/>
        <w:gridCol w:w="1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建设项目名称</w:t>
            </w:r>
          </w:p>
        </w:tc>
        <w:tc>
          <w:tcPr>
            <w:tcW w:w="6916" w:type="dxa"/>
            <w:gridSpan w:val="10"/>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年产3000套展台展具智能生产线项目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建设单位名称</w:t>
            </w:r>
          </w:p>
        </w:tc>
        <w:tc>
          <w:tcPr>
            <w:tcW w:w="6916" w:type="dxa"/>
            <w:gridSpan w:val="10"/>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安徽建诚展览展示服务有限公司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建设项目性质</w:t>
            </w:r>
          </w:p>
        </w:tc>
        <w:tc>
          <w:tcPr>
            <w:tcW w:w="1729" w:type="dxa"/>
            <w:gridSpan w:val="2"/>
            <w:tcBorders>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sym w:font="Wingdings 2" w:char="0052"/>
            </w:r>
            <w:r>
              <w:rPr>
                <w:rFonts w:hint="eastAsia" w:ascii="宋体" w:hAnsi="宋体" w:eastAsia="宋体" w:cs="宋体"/>
                <w:b w:val="0"/>
                <w:bCs w:val="0"/>
                <w:color w:val="auto"/>
                <w:kern w:val="0"/>
                <w:sz w:val="21"/>
                <w:szCs w:val="21"/>
                <w:vertAlign w:val="baseline"/>
                <w:lang w:val="en-US" w:eastAsia="zh-CN"/>
              </w:rPr>
              <w:t>新建</w:t>
            </w:r>
          </w:p>
        </w:tc>
        <w:tc>
          <w:tcPr>
            <w:tcW w:w="1729" w:type="dxa"/>
            <w:gridSpan w:val="2"/>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□改扩建</w:t>
            </w:r>
          </w:p>
        </w:tc>
        <w:tc>
          <w:tcPr>
            <w:tcW w:w="1729" w:type="dxa"/>
            <w:gridSpan w:val="4"/>
            <w:tcBorders>
              <w:left w:val="nil"/>
              <w:righ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sym w:font="Wingdings 2" w:char="00A3"/>
            </w:r>
            <w:r>
              <w:rPr>
                <w:rFonts w:hint="eastAsia" w:ascii="宋体" w:hAnsi="宋体" w:eastAsia="宋体" w:cs="宋体"/>
                <w:b w:val="0"/>
                <w:bCs w:val="0"/>
                <w:color w:val="auto"/>
                <w:kern w:val="0"/>
                <w:sz w:val="21"/>
                <w:szCs w:val="21"/>
                <w:vertAlign w:val="baseline"/>
                <w:lang w:val="en-US" w:eastAsia="zh-CN"/>
              </w:rPr>
              <w:t>技改</w:t>
            </w:r>
          </w:p>
        </w:tc>
        <w:tc>
          <w:tcPr>
            <w:tcW w:w="1729" w:type="dxa"/>
            <w:gridSpan w:val="2"/>
            <w:tcBorders>
              <w:left w:val="nil"/>
            </w:tcBorders>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□迁建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建设地点</w:t>
            </w:r>
          </w:p>
        </w:tc>
        <w:tc>
          <w:tcPr>
            <w:tcW w:w="6916" w:type="dxa"/>
            <w:gridSpan w:val="10"/>
            <w:vAlign w:val="center"/>
          </w:tcPr>
          <w:p>
            <w:pPr>
              <w:spacing w:line="360" w:lineRule="auto"/>
              <w:jc w:val="center"/>
              <w:rPr>
                <w:rFonts w:hint="eastAsia"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孔城镇高桥工业集中区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主要建设内容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年产3000套展台展具智能生产线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设计</w:t>
            </w:r>
            <w:r>
              <w:rPr>
                <w:rFonts w:hint="eastAsia" w:ascii="Times New Roman" w:hAnsi="Times New Roman" w:eastAsia="宋体" w:cs="Times New Roman"/>
                <w:b w:val="0"/>
                <w:bCs w:val="0"/>
                <w:color w:val="auto"/>
                <w:kern w:val="0"/>
                <w:sz w:val="21"/>
                <w:szCs w:val="21"/>
                <w:vertAlign w:val="baseline"/>
                <w:lang w:val="en-US" w:eastAsia="zh-CN"/>
              </w:rPr>
              <w:t>建设指标</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年产3000套展台展具智能生产线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w:t>
            </w:r>
            <w:r>
              <w:rPr>
                <w:rFonts w:hint="eastAsia" w:ascii="Times New Roman" w:hAnsi="Times New Roman" w:eastAsia="宋体" w:cs="Times New Roman"/>
                <w:b w:val="0"/>
                <w:bCs w:val="0"/>
                <w:color w:val="auto"/>
                <w:kern w:val="0"/>
                <w:sz w:val="21"/>
                <w:szCs w:val="21"/>
                <w:vertAlign w:val="baseline"/>
                <w:lang w:val="en-US" w:eastAsia="zh-CN"/>
              </w:rPr>
              <w:t>建设内容</w:t>
            </w:r>
          </w:p>
        </w:tc>
        <w:tc>
          <w:tcPr>
            <w:tcW w:w="6916" w:type="dxa"/>
            <w:gridSpan w:val="10"/>
            <w:vAlign w:val="center"/>
          </w:tcPr>
          <w:p>
            <w:pPr>
              <w:spacing w:line="360" w:lineRule="auto"/>
              <w:jc w:val="center"/>
              <w:rPr>
                <w:rFonts w:hint="default" w:ascii="Times New Roman" w:hAnsi="Times New Roman" w:eastAsia="宋体" w:cs="Times New Roman"/>
                <w:b w:val="0"/>
                <w:bCs w:val="0"/>
                <w:color w:val="0000FF"/>
                <w:kern w:val="0"/>
                <w:sz w:val="21"/>
                <w:szCs w:val="21"/>
                <w:vertAlign w:val="baseline"/>
                <w:lang w:val="en-US" w:eastAsia="zh-CN"/>
              </w:rPr>
            </w:pPr>
            <w:r>
              <w:rPr>
                <w:rFonts w:hint="eastAsia" w:ascii="Times New Roman" w:hAnsi="Times New Roman" w:eastAsia="宋体" w:cs="宋体"/>
                <w:b w:val="0"/>
                <w:bCs w:val="0"/>
                <w:color w:val="auto"/>
                <w:kern w:val="0"/>
                <w:sz w:val="21"/>
                <w:szCs w:val="21"/>
                <w:vertAlign w:val="baseline"/>
                <w:lang w:val="en-US" w:eastAsia="zh-CN"/>
              </w:rPr>
              <w:t>年产3000套展台展具智能生产线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建设项目环评时间</w:t>
            </w:r>
          </w:p>
        </w:tc>
        <w:tc>
          <w:tcPr>
            <w:tcW w:w="2569"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2022年5月</w:t>
            </w:r>
          </w:p>
        </w:tc>
        <w:tc>
          <w:tcPr>
            <w:tcW w:w="153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开工建设时间</w:t>
            </w:r>
          </w:p>
        </w:tc>
        <w:tc>
          <w:tcPr>
            <w:tcW w:w="2817"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20</w:t>
            </w:r>
            <w:r>
              <w:rPr>
                <w:rFonts w:hint="eastAsia" w:ascii="Times New Roman" w:hAnsi="Times New Roman" w:eastAsia="宋体" w:cs="Times New Roman"/>
                <w:b w:val="0"/>
                <w:bCs w:val="0"/>
                <w:color w:val="auto"/>
                <w:kern w:val="0"/>
                <w:sz w:val="21"/>
                <w:szCs w:val="21"/>
                <w:vertAlign w:val="baseline"/>
                <w:lang w:val="en-US" w:eastAsia="zh-CN"/>
              </w:rPr>
              <w:t>22</w:t>
            </w:r>
            <w:r>
              <w:rPr>
                <w:rFonts w:hint="default" w:ascii="Times New Roman" w:hAnsi="Times New Roman" w:eastAsia="宋体" w:cs="Times New Roman"/>
                <w:b w:val="0"/>
                <w:bCs w:val="0"/>
                <w:color w:val="auto"/>
                <w:kern w:val="0"/>
                <w:sz w:val="21"/>
                <w:szCs w:val="21"/>
                <w:vertAlign w:val="baseline"/>
                <w:lang w:val="en-US" w:eastAsia="zh-CN"/>
              </w:rPr>
              <w:t>年</w:t>
            </w:r>
            <w:r>
              <w:rPr>
                <w:rFonts w:hint="eastAsia" w:ascii="Times New Roman" w:hAnsi="Times New Roman" w:eastAsia="宋体" w:cs="Times New Roman"/>
                <w:b w:val="0"/>
                <w:bCs w:val="0"/>
                <w:color w:val="auto"/>
                <w:kern w:val="0"/>
                <w:sz w:val="21"/>
                <w:szCs w:val="21"/>
                <w:vertAlign w:val="baseline"/>
                <w:lang w:val="en-US" w:eastAsia="zh-CN"/>
              </w:rPr>
              <w:t>6</w:t>
            </w:r>
            <w:r>
              <w:rPr>
                <w:rFonts w:hint="default" w:ascii="Times New Roman" w:hAnsi="Times New Roman" w:eastAsia="宋体" w:cs="Times New Roman"/>
                <w:b w:val="0"/>
                <w:bCs w:val="0"/>
                <w:color w:val="auto"/>
                <w:kern w:val="0"/>
                <w:sz w:val="21"/>
                <w:szCs w:val="21"/>
                <w:vertAlign w:val="baseline"/>
                <w:lang w:val="en-US"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调试时间</w:t>
            </w:r>
          </w:p>
        </w:tc>
        <w:tc>
          <w:tcPr>
            <w:tcW w:w="2569"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2022年9月</w:t>
            </w:r>
          </w:p>
        </w:tc>
        <w:tc>
          <w:tcPr>
            <w:tcW w:w="1530" w:type="dxa"/>
            <w:gridSpan w:val="3"/>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现场监测时间</w:t>
            </w:r>
          </w:p>
        </w:tc>
        <w:tc>
          <w:tcPr>
            <w:tcW w:w="2817"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2022年9月24~9月27日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环评报告表</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审批部门</w:t>
            </w:r>
          </w:p>
        </w:tc>
        <w:tc>
          <w:tcPr>
            <w:tcW w:w="2569"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安庆市桐城市生态环境分局</w:t>
            </w:r>
          </w:p>
        </w:tc>
        <w:tc>
          <w:tcPr>
            <w:tcW w:w="153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环评报告表</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编制单位</w:t>
            </w:r>
          </w:p>
        </w:tc>
        <w:tc>
          <w:tcPr>
            <w:tcW w:w="2817"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安徽禾美环保集团有限公司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环保设施</w:t>
            </w:r>
          </w:p>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设计单位</w:t>
            </w:r>
          </w:p>
        </w:tc>
        <w:tc>
          <w:tcPr>
            <w:tcW w:w="2569"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w:t>
            </w:r>
          </w:p>
        </w:tc>
        <w:tc>
          <w:tcPr>
            <w:tcW w:w="1530" w:type="dxa"/>
            <w:gridSpan w:val="3"/>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环保设施</w:t>
            </w:r>
          </w:p>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施工单位</w:t>
            </w:r>
          </w:p>
        </w:tc>
        <w:tc>
          <w:tcPr>
            <w:tcW w:w="2817" w:type="dxa"/>
            <w:gridSpan w:val="4"/>
            <w:vAlign w:val="center"/>
          </w:tcPr>
          <w:p>
            <w:pPr>
              <w:spacing w:line="24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投资总概算</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1000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环保投资总概算</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cs="Times New Roman"/>
                <w:color w:val="auto"/>
                <w:sz w:val="24"/>
                <w:szCs w:val="24"/>
                <w:lang w:val="en-US" w:eastAsia="zh-CN"/>
              </w:rPr>
              <w:t>40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caps w:val="0"/>
                <w:color w:val="auto"/>
                <w:sz w:val="21"/>
                <w:szCs w:val="21"/>
                <w:lang w:val="en-US" w:eastAsia="zh-CN"/>
              </w:rPr>
              <w:t>4</w:t>
            </w:r>
            <w:r>
              <w:rPr>
                <w:rFonts w:hint="default" w:ascii="Times New Roman" w:hAnsi="Times New Roman" w:eastAsia="宋体" w:cs="Times New Roman"/>
                <w:caps w:val="0"/>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2155"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实际总投资</w:t>
            </w:r>
          </w:p>
        </w:tc>
        <w:tc>
          <w:tcPr>
            <w:tcW w:w="1621"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1000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2043" w:type="dxa"/>
            <w:gridSpan w:val="4"/>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实际总环保投资</w:t>
            </w:r>
          </w:p>
        </w:tc>
        <w:tc>
          <w:tcPr>
            <w:tcW w:w="1441"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40</w:t>
            </w:r>
            <w:r>
              <w:rPr>
                <w:rFonts w:hint="default" w:ascii="Times New Roman" w:hAnsi="Times New Roman" w:eastAsia="宋体" w:cs="Times New Roman"/>
                <w:b w:val="0"/>
                <w:bCs w:val="0"/>
                <w:color w:val="auto"/>
                <w:kern w:val="0"/>
                <w:sz w:val="21"/>
                <w:szCs w:val="21"/>
                <w:vertAlign w:val="baseline"/>
                <w:lang w:val="en-US" w:eastAsia="zh-CN"/>
              </w:rPr>
              <w:t>万元</w:t>
            </w:r>
          </w:p>
        </w:tc>
        <w:tc>
          <w:tcPr>
            <w:tcW w:w="786" w:type="dxa"/>
            <w:gridSpan w:val="2"/>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default" w:ascii="Times New Roman" w:hAnsi="Times New Roman" w:eastAsia="宋体" w:cs="Times New Roman"/>
                <w:b w:val="0"/>
                <w:bCs w:val="0"/>
                <w:color w:val="auto"/>
                <w:kern w:val="0"/>
                <w:sz w:val="21"/>
                <w:szCs w:val="21"/>
                <w:vertAlign w:val="baseline"/>
                <w:lang w:val="en-US" w:eastAsia="zh-CN"/>
              </w:rPr>
              <w:t>比例</w:t>
            </w:r>
          </w:p>
        </w:tc>
        <w:tc>
          <w:tcPr>
            <w:tcW w:w="1025" w:type="dxa"/>
            <w:vAlign w:val="center"/>
          </w:tcPr>
          <w:p>
            <w:pPr>
              <w:spacing w:line="360" w:lineRule="auto"/>
              <w:jc w:val="center"/>
              <w:rPr>
                <w:rFonts w:hint="default" w:ascii="Times New Roman" w:hAnsi="Times New Roman" w:eastAsia="宋体" w:cs="Times New Roman"/>
                <w:b w:val="0"/>
                <w:bCs w:val="0"/>
                <w:color w:val="auto"/>
                <w:kern w:val="0"/>
                <w:sz w:val="21"/>
                <w:szCs w:val="21"/>
                <w:vertAlign w:val="baseline"/>
                <w:lang w:val="en-US" w:eastAsia="zh-CN"/>
              </w:rPr>
            </w:pPr>
            <w:r>
              <w:rPr>
                <w:rFonts w:hint="eastAsia" w:ascii="Times New Roman" w:hAnsi="Times New Roman" w:eastAsia="宋体" w:cs="Times New Roman"/>
                <w:b w:val="0"/>
                <w:bCs w:val="0"/>
                <w:color w:val="auto"/>
                <w:kern w:val="0"/>
                <w:sz w:val="21"/>
                <w:szCs w:val="21"/>
                <w:vertAlign w:val="baseline"/>
                <w:lang w:val="en-US" w:eastAsia="zh-CN"/>
              </w:rPr>
              <w:t>4</w:t>
            </w:r>
            <w:r>
              <w:rPr>
                <w:rFonts w:hint="default" w:ascii="Times New Roman" w:hAnsi="Times New Roman" w:eastAsia="宋体" w:cs="Times New Roman"/>
                <w:b w:val="0"/>
                <w:bCs w:val="0"/>
                <w:color w:val="auto"/>
                <w:kern w:val="0"/>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783" w:hRule="atLeast"/>
          <w:jc w:val="center"/>
        </w:trPr>
        <w:tc>
          <w:tcPr>
            <w:tcW w:w="1458" w:type="dxa"/>
            <w:vAlign w:val="center"/>
          </w:tcPr>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监测</w:t>
            </w:r>
          </w:p>
          <w:p>
            <w:pPr>
              <w:keepNext w:val="0"/>
              <w:keepLines w:val="0"/>
              <w:pageBreakBefore w:val="0"/>
              <w:widowControl w:val="0"/>
              <w:kinsoku/>
              <w:wordWrap/>
              <w:overflowPunct/>
              <w:topLinePunct w:val="0"/>
              <w:bidi w:val="0"/>
              <w:adjustRightInd/>
              <w:snapToGrid/>
              <w:spacing w:line="240" w:lineRule="auto"/>
              <w:ind w:left="0" w:firstLine="0" w:firstLineChars="0"/>
              <w:jc w:val="center"/>
              <w:textAlignment w:val="auto"/>
              <w:outlineLvl w:val="9"/>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依据</w:t>
            </w:r>
          </w:p>
        </w:tc>
        <w:tc>
          <w:tcPr>
            <w:tcW w:w="7613" w:type="dxa"/>
            <w:gridSpan w:val="11"/>
            <w:vAlign w:val="center"/>
          </w:tcPr>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jc w:val="both"/>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1、</w:t>
            </w:r>
            <w:r>
              <w:rPr>
                <w:rFonts w:hint="default" w:ascii="Times New Roman" w:hAnsi="Times New Roman" w:cs="Times New Roman"/>
                <w:b/>
                <w:bCs/>
                <w:color w:val="auto"/>
                <w:kern w:val="21"/>
                <w:sz w:val="24"/>
                <w:szCs w:val="24"/>
                <w:lang w:eastAsia="zh-CN"/>
              </w:rPr>
              <w:t>法律法规</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（1）《中华人民共和国环境保护法》（2015年1月1日）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（2）《中华人民共和国环境影响评价法》（201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（3）《中华人民共和国环境噪声污染防治法》（</w:t>
            </w:r>
            <w:r>
              <w:rPr>
                <w:rFonts w:hint="eastAsia" w:ascii="Times New Roman" w:hAnsi="Times New Roman" w:eastAsia="宋体" w:cs="Times New Roman"/>
                <w:color w:val="auto"/>
                <w:kern w:val="0"/>
                <w:sz w:val="24"/>
                <w:szCs w:val="24"/>
                <w:lang w:val="en-US" w:eastAsia="zh-CN" w:bidi="ar"/>
              </w:rPr>
              <w:t>2018</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12</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29</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（4）《中华人民共和国水污染防治法》（20</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8年</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（5）《中华人民共和国大气污染防治法》（201</w:t>
            </w: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年1</w:t>
            </w:r>
            <w:r>
              <w:rPr>
                <w:rFonts w:hint="eastAsia" w:ascii="Times New Roman" w:hAnsi="Times New Roman" w:eastAsia="宋体" w:cs="Times New Roman"/>
                <w:color w:val="auto"/>
                <w:kern w:val="0"/>
                <w:sz w:val="24"/>
                <w:szCs w:val="24"/>
                <w:lang w:val="en-US" w:eastAsia="zh-CN" w:bidi="ar"/>
              </w:rPr>
              <w:t>0</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26</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修订</w:t>
            </w: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（6）《中华人民共和国固体废物污染环境防治法》（20</w:t>
            </w:r>
            <w:r>
              <w:rPr>
                <w:rFonts w:hint="eastAsia" w:ascii="Times New Roman" w:hAnsi="Times New Roman" w:eastAsia="宋体" w:cs="Times New Roman"/>
                <w:color w:val="auto"/>
                <w:kern w:val="0"/>
                <w:sz w:val="24"/>
                <w:szCs w:val="24"/>
                <w:lang w:val="en-US" w:eastAsia="zh-CN" w:bidi="ar"/>
              </w:rPr>
              <w:t>20</w:t>
            </w:r>
            <w:r>
              <w:rPr>
                <w:rFonts w:hint="default" w:ascii="Times New Roman" w:hAnsi="Times New Roman" w:eastAsia="宋体" w:cs="Times New Roman"/>
                <w:color w:val="auto"/>
                <w:kern w:val="0"/>
                <w:sz w:val="24"/>
                <w:szCs w:val="24"/>
                <w:lang w:val="en-US" w:eastAsia="zh-CN" w:bidi="ar"/>
              </w:rPr>
              <w:t>年</w:t>
            </w:r>
            <w:r>
              <w:rPr>
                <w:rFonts w:hint="eastAsia" w:ascii="Times New Roman" w:hAnsi="Times New Roman" w:eastAsia="宋体" w:cs="Times New Roman"/>
                <w:color w:val="auto"/>
                <w:kern w:val="0"/>
                <w:sz w:val="24"/>
                <w:szCs w:val="24"/>
                <w:lang w:val="en-US" w:eastAsia="zh-CN" w:bidi="ar"/>
              </w:rPr>
              <w:t>9</w:t>
            </w:r>
            <w:r>
              <w:rPr>
                <w:rFonts w:hint="default" w:ascii="Times New Roman" w:hAnsi="Times New Roman" w:eastAsia="宋体" w:cs="Times New Roman"/>
                <w:color w:val="auto"/>
                <w:kern w:val="0"/>
                <w:sz w:val="24"/>
                <w:szCs w:val="24"/>
                <w:lang w:val="en-US" w:eastAsia="zh-CN" w:bidi="ar"/>
              </w:rPr>
              <w:t>月</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eastAsia"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7</w:t>
            </w:r>
            <w:r>
              <w:rPr>
                <w:rFonts w:hint="default" w:ascii="Times New Roman" w:hAnsi="Times New Roman" w:eastAsia="宋体" w:cs="Times New Roman"/>
                <w:color w:val="auto"/>
                <w:kern w:val="0"/>
                <w:sz w:val="24"/>
                <w:szCs w:val="24"/>
                <w:lang w:val="en-US" w:eastAsia="zh-CN" w:bidi="ar"/>
              </w:rPr>
              <w:t>）《建设项目环境保护管理条例》（2017年10月1日</w:t>
            </w:r>
            <w:r>
              <w:rPr>
                <w:rFonts w:hint="eastAsia" w:ascii="Times New Roman" w:hAnsi="Times New Roman" w:eastAsia="宋体" w:cs="Times New Roman"/>
                <w:color w:val="auto"/>
                <w:kern w:val="0"/>
                <w:sz w:val="24"/>
                <w:szCs w:val="24"/>
                <w:lang w:val="en-US" w:eastAsia="zh-CN" w:bidi="ar"/>
              </w:rPr>
              <w:t>）；</w:t>
            </w:r>
          </w:p>
          <w:p>
            <w:pPr>
              <w:keepNext w:val="0"/>
              <w:keepLines w:val="0"/>
              <w:widowControl w:val="0"/>
              <w:numPr>
                <w:ilvl w:val="0"/>
                <w:numId w:val="0"/>
              </w:numPr>
              <w:suppressLineNumbers w:val="0"/>
              <w:spacing w:line="360" w:lineRule="auto"/>
              <w:ind w:left="240" w:hanging="240" w:hangingChars="100"/>
              <w:jc w:val="both"/>
              <w:outlineLvl w:val="9"/>
              <w:rPr>
                <w:rFonts w:hint="default"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《安徽省环境管理保护条例》（安徽省人民代表大会常务委员会，2018年1月1日）</w:t>
            </w:r>
            <w:r>
              <w:rPr>
                <w:rFonts w:hint="eastAsia" w:ascii="Times New Roman" w:hAnsi="Times New Roman" w:eastAsia="宋体" w:cs="Times New Roman"/>
                <w:color w:val="auto"/>
                <w:kern w:val="0"/>
                <w:sz w:val="24"/>
                <w:szCs w:val="24"/>
                <w:lang w:val="en-US" w:eastAsia="zh-CN" w:bidi="ar"/>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eastAsia" w:ascii="Times New Roman" w:hAnsi="Times New Roman" w:cs="Times New Roman"/>
                <w:b/>
                <w:bCs/>
                <w:color w:val="auto"/>
                <w:kern w:val="21"/>
                <w:sz w:val="24"/>
                <w:szCs w:val="24"/>
                <w:lang w:val="en-US" w:eastAsia="zh-CN"/>
              </w:rPr>
            </w:pPr>
            <w:r>
              <w:rPr>
                <w:rFonts w:hint="eastAsia" w:ascii="Times New Roman" w:hAnsi="Times New Roman" w:cs="Times New Roman"/>
                <w:b/>
                <w:bCs/>
                <w:color w:val="auto"/>
                <w:kern w:val="21"/>
                <w:sz w:val="24"/>
                <w:szCs w:val="24"/>
                <w:lang w:val="en-US" w:eastAsia="zh-CN"/>
              </w:rPr>
              <w:t>2、技术规范</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line="360" w:lineRule="auto"/>
              <w:ind w:left="240" w:hanging="240" w:hangingChars="100"/>
              <w:jc w:val="both"/>
              <w:textAlignment w:val="auto"/>
              <w:outlineLvl w:val="9"/>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w:t>
            </w:r>
            <w:r>
              <w:rPr>
                <w:rFonts w:hint="eastAsia" w:ascii="Times New Roman" w:hAnsi="Times New Roman" w:eastAsia="宋体" w:cs="Times New Roman"/>
                <w:color w:val="auto"/>
                <w:kern w:val="0"/>
                <w:sz w:val="24"/>
                <w:szCs w:val="24"/>
                <w:lang w:val="en-US" w:eastAsia="zh-CN" w:bidi="ar"/>
              </w:rPr>
              <w:t>1</w:t>
            </w:r>
            <w:r>
              <w:rPr>
                <w:rFonts w:hint="default" w:ascii="Times New Roman" w:hAnsi="Times New Roman" w:eastAsia="宋体" w:cs="Times New Roman"/>
                <w:color w:val="auto"/>
                <w:kern w:val="0"/>
                <w:sz w:val="24"/>
                <w:szCs w:val="24"/>
                <w:lang w:val="en-US" w:eastAsia="zh-CN" w:bidi="ar"/>
              </w:rPr>
              <w:t>）《建设项目竣工环境保护验收暂行办法》（环境保护部</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国环规环评</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2017</w:t>
            </w:r>
            <w:r>
              <w:rPr>
                <w:rFonts w:hint="eastAsia" w:ascii="仿宋" w:hAnsi="仿宋" w:eastAsia="仿宋" w:cs="仿宋"/>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4号，2017年11月22日起实施）</w:t>
            </w:r>
            <w:r>
              <w:rPr>
                <w:rFonts w:hint="eastAsia" w:ascii="Times New Roman" w:hAnsi="Times New Roman" w:eastAsia="宋体" w:cs="Times New Roman"/>
                <w:color w:val="auto"/>
                <w:kern w:val="0"/>
                <w:sz w:val="24"/>
                <w:szCs w:val="24"/>
                <w:lang w:val="en-US" w:eastAsia="zh-CN" w:bidi="ar"/>
              </w:rPr>
              <w:t>；</w:t>
            </w:r>
          </w:p>
          <w:p>
            <w:pPr>
              <w:numPr>
                <w:ilvl w:val="0"/>
                <w:numId w:val="0"/>
              </w:numPr>
              <w:spacing w:line="360" w:lineRule="auto"/>
              <w:ind w:left="240" w:hanging="240" w:hangingChars="100"/>
              <w:outlineLvl w:val="9"/>
              <w:rPr>
                <w:rFonts w:hint="eastAsia" w:ascii="Times New Roman" w:hAnsi="Times New Roman" w:eastAsia="宋体" w:cs="Times New Roman"/>
                <w:color w:val="auto"/>
                <w:kern w:val="0"/>
                <w:sz w:val="24"/>
                <w:lang w:val="en-US" w:eastAsia="zh-CN" w:bidi="ar"/>
              </w:rPr>
            </w:pPr>
            <w:r>
              <w:rPr>
                <w:rFonts w:hint="eastAsia" w:ascii="Times New Roman" w:hAnsi="Times New Roman" w:eastAsia="宋体" w:cs="Times New Roman"/>
                <w:color w:val="auto"/>
                <w:kern w:val="0"/>
                <w:sz w:val="24"/>
                <w:szCs w:val="24"/>
                <w:lang w:val="en-US" w:eastAsia="zh-CN" w:bidi="ar"/>
              </w:rPr>
              <w:t>（2）关于发布《建设项目竣工环境保护验收技术指南 污染影响类》的公告（生态环境部，公告2018年第9号，2018年5月16日）。</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1" w:hangingChars="100"/>
              <w:textAlignment w:val="auto"/>
              <w:outlineLvl w:val="9"/>
              <w:rPr>
                <w:rFonts w:hint="default" w:ascii="Times New Roman" w:hAnsi="Times New Roman" w:cs="Times New Roman" w:eastAsiaTheme="minorEastAsia"/>
                <w:b/>
                <w:bCs/>
                <w:color w:val="auto"/>
                <w:kern w:val="21"/>
                <w:sz w:val="24"/>
                <w:szCs w:val="24"/>
                <w:lang w:eastAsia="zh-CN"/>
              </w:rPr>
            </w:pPr>
            <w:r>
              <w:rPr>
                <w:rFonts w:hint="eastAsia" w:ascii="Times New Roman" w:hAnsi="Times New Roman" w:cs="Times New Roman"/>
                <w:b/>
                <w:bCs/>
                <w:color w:val="auto"/>
                <w:kern w:val="21"/>
                <w:sz w:val="24"/>
                <w:szCs w:val="24"/>
                <w:lang w:val="en-US" w:eastAsia="zh-CN"/>
              </w:rPr>
              <w:t>3、</w:t>
            </w:r>
            <w:r>
              <w:rPr>
                <w:rFonts w:hint="default" w:ascii="Times New Roman" w:hAnsi="Times New Roman" w:cs="Times New Roman"/>
                <w:b/>
                <w:bCs/>
                <w:color w:val="auto"/>
                <w:kern w:val="21"/>
                <w:sz w:val="24"/>
                <w:szCs w:val="24"/>
                <w:lang w:eastAsia="zh-CN"/>
              </w:rPr>
              <w:t>项目批文</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textAlignment w:val="auto"/>
              <w:outlineLvl w:val="9"/>
              <w:rPr>
                <w:rFonts w:hint="default" w:ascii="Times New Roman" w:hAnsi="Times New Roman" w:cs="Times New Roman"/>
                <w:b w:val="0"/>
                <w:bCs w:val="0"/>
                <w:color w:val="auto"/>
                <w:kern w:val="21"/>
                <w:sz w:val="24"/>
                <w:szCs w:val="24"/>
              </w:rPr>
            </w:pPr>
            <w:r>
              <w:rPr>
                <w:rFonts w:hint="eastAsia" w:ascii="Times New Roman" w:hAnsi="Times New Roman" w:cs="Times New Roman"/>
                <w:b w:val="0"/>
                <w:bCs w:val="0"/>
                <w:color w:val="auto"/>
                <w:kern w:val="21"/>
                <w:sz w:val="24"/>
                <w:szCs w:val="24"/>
                <w:lang w:eastAsia="zh-CN"/>
              </w:rPr>
              <w:t>（</w:t>
            </w: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cs="Times New Roman"/>
                <w:b w:val="0"/>
                <w:bCs w:val="0"/>
                <w:color w:val="auto"/>
                <w:kern w:val="21"/>
                <w:sz w:val="24"/>
                <w:szCs w:val="24"/>
                <w:lang w:eastAsia="zh-CN"/>
              </w:rPr>
              <w:t>）</w:t>
            </w:r>
            <w:r>
              <w:rPr>
                <w:rFonts w:hint="default" w:ascii="Times New Roman" w:hAnsi="Times New Roman" w:cs="Times New Roman"/>
                <w:b w:val="0"/>
                <w:bCs w:val="0"/>
                <w:color w:val="auto"/>
                <w:sz w:val="24"/>
                <w:szCs w:val="24"/>
              </w:rPr>
              <w:t>《</w:t>
            </w:r>
            <w:r>
              <w:rPr>
                <w:rFonts w:hint="eastAsia" w:ascii="Times New Roman" w:hAnsi="Times New Roman" w:cs="Times New Roman"/>
                <w:b w:val="0"/>
                <w:bCs w:val="0"/>
                <w:color w:val="auto"/>
                <w:sz w:val="24"/>
                <w:szCs w:val="24"/>
                <w:lang w:val="en-US" w:eastAsia="zh-CN"/>
              </w:rPr>
              <w:t>安徽建诚展览展示服务有限公司年产3000套展台展具智能生产线项目</w:t>
            </w:r>
            <w:r>
              <w:rPr>
                <w:rFonts w:hint="default" w:ascii="Times New Roman" w:hAnsi="Times New Roman" w:eastAsia="宋体" w:cs="Times New Roman"/>
                <w:b w:val="0"/>
                <w:bCs w:val="0"/>
                <w:color w:val="auto"/>
                <w:sz w:val="24"/>
                <w:szCs w:val="24"/>
              </w:rPr>
              <w:t>环境影响报告表</w:t>
            </w:r>
            <w:r>
              <w:rPr>
                <w:rFonts w:hint="default" w:ascii="Times New Roman" w:hAnsi="Times New Roman" w:cs="Times New Roman"/>
                <w:b w:val="0"/>
                <w:bCs w:val="0"/>
                <w:color w:val="auto"/>
                <w:sz w:val="24"/>
                <w:szCs w:val="24"/>
              </w:rPr>
              <w:t>》（</w:t>
            </w:r>
            <w:r>
              <w:rPr>
                <w:rFonts w:hint="eastAsia" w:ascii="Times New Roman" w:hAnsi="Times New Roman" w:cs="Times New Roman"/>
                <w:b w:val="0"/>
                <w:bCs w:val="0"/>
                <w:color w:val="auto"/>
                <w:sz w:val="24"/>
                <w:szCs w:val="24"/>
                <w:lang w:val="en-US" w:eastAsia="zh-CN"/>
              </w:rPr>
              <w:t>安徽禾美环保集团有限公司</w:t>
            </w:r>
            <w:r>
              <w:rPr>
                <w:rFonts w:hint="default" w:ascii="Times New Roman" w:hAnsi="Times New Roman" w:cs="Times New Roman"/>
                <w:b w:val="0"/>
                <w:bCs w:val="0"/>
                <w:color w:val="auto"/>
                <w:sz w:val="24"/>
                <w:szCs w:val="24"/>
              </w:rPr>
              <w:t>，20</w:t>
            </w:r>
            <w:r>
              <w:rPr>
                <w:rFonts w:hint="eastAsia" w:ascii="Times New Roman" w:hAnsi="Times New Roman" w:cs="Times New Roman"/>
                <w:b w:val="0"/>
                <w:bCs w:val="0"/>
                <w:color w:val="auto"/>
                <w:sz w:val="24"/>
                <w:szCs w:val="24"/>
                <w:lang w:val="en-US" w:eastAsia="zh-CN"/>
              </w:rPr>
              <w:t>22</w:t>
            </w:r>
            <w:r>
              <w:rPr>
                <w:rFonts w:hint="default" w:ascii="Times New Roman" w:hAnsi="Times New Roman" w:cs="Times New Roman"/>
                <w:b w:val="0"/>
                <w:bCs w:val="0"/>
                <w:color w:val="auto"/>
                <w:sz w:val="24"/>
                <w:szCs w:val="24"/>
              </w:rPr>
              <w:t>年</w:t>
            </w:r>
            <w:r>
              <w:rPr>
                <w:rFonts w:hint="eastAsia" w:ascii="Times New Roman" w:hAnsi="Times New Roman" w:cs="Times New Roman"/>
                <w:b w:val="0"/>
                <w:bCs w:val="0"/>
                <w:color w:val="auto"/>
                <w:sz w:val="24"/>
                <w:szCs w:val="24"/>
                <w:lang w:val="en-US" w:eastAsia="zh-CN"/>
              </w:rPr>
              <w:t>5</w:t>
            </w:r>
            <w:r>
              <w:rPr>
                <w:rFonts w:hint="default" w:ascii="Times New Roman" w:hAnsi="Times New Roman" w:cs="Times New Roman"/>
                <w:b w:val="0"/>
                <w:bCs w:val="0"/>
                <w:color w:val="auto"/>
                <w:sz w:val="24"/>
                <w:szCs w:val="24"/>
                <w:lang w:val="en-US" w:eastAsia="zh-CN"/>
              </w:rPr>
              <w:t>月</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kern w:val="21"/>
                <w:sz w:val="24"/>
                <w:szCs w:val="24"/>
                <w:lang w:eastAsia="zh-CN"/>
              </w:rPr>
              <w:t>；</w:t>
            </w:r>
          </w:p>
          <w:p>
            <w:pPr>
              <w:keepNext w:val="0"/>
              <w:keepLines w:val="0"/>
              <w:pageBreakBefore w:val="0"/>
              <w:widowControl w:val="0"/>
              <w:numPr>
                <w:ilvl w:val="0"/>
                <w:numId w:val="0"/>
              </w:numPr>
              <w:kinsoku/>
              <w:wordWrap/>
              <w:overflowPunct/>
              <w:topLinePunct w:val="0"/>
              <w:bidi w:val="0"/>
              <w:adjustRightInd/>
              <w:snapToGrid/>
              <w:spacing w:line="360" w:lineRule="auto"/>
              <w:ind w:left="240" w:hanging="240" w:hangingChars="100"/>
              <w:jc w:val="both"/>
              <w:textAlignment w:val="auto"/>
              <w:outlineLvl w:val="9"/>
              <w:rPr>
                <w:rFonts w:hint="default" w:ascii="Times New Roman" w:hAnsi="Times New Roman" w:cs="Times New Roman"/>
                <w:color w:val="auto"/>
                <w:kern w:val="21"/>
                <w:sz w:val="24"/>
                <w:szCs w:val="24"/>
                <w:lang w:eastAsia="zh-CN"/>
              </w:rPr>
            </w:pPr>
            <w:r>
              <w:rPr>
                <w:rFonts w:hint="default" w:ascii="Times New Roman" w:hAnsi="Times New Roman" w:cs="Times New Roman"/>
                <w:color w:val="auto"/>
                <w:kern w:val="21"/>
                <w:sz w:val="24"/>
                <w:szCs w:val="24"/>
                <w:lang w:eastAsia="zh-CN"/>
              </w:rPr>
              <w:t>（</w:t>
            </w:r>
            <w:r>
              <w:rPr>
                <w:rFonts w:hint="eastAsia" w:ascii="Times New Roman" w:hAnsi="Times New Roman" w:cs="Times New Roman"/>
                <w:color w:val="auto"/>
                <w:kern w:val="21"/>
                <w:sz w:val="24"/>
                <w:szCs w:val="24"/>
                <w:lang w:val="en-US" w:eastAsia="zh-CN"/>
              </w:rPr>
              <w:t>2</w:t>
            </w:r>
            <w:r>
              <w:rPr>
                <w:rFonts w:hint="default" w:ascii="Times New Roman" w:hAnsi="Times New Roman" w:cs="Times New Roman"/>
                <w:color w:val="auto"/>
                <w:kern w:val="21"/>
                <w:sz w:val="24"/>
                <w:szCs w:val="24"/>
                <w:lang w:eastAsia="zh-CN"/>
              </w:rPr>
              <w:t>）</w:t>
            </w:r>
            <w:r>
              <w:rPr>
                <w:rFonts w:hint="default" w:ascii="Times New Roman" w:hAnsi="Times New Roman" w:cs="Times New Roman"/>
                <w:color w:val="auto"/>
                <w:sz w:val="24"/>
                <w:szCs w:val="24"/>
              </w:rPr>
              <w:t>《</w:t>
            </w:r>
            <w:r>
              <w:rPr>
                <w:rFonts w:hint="eastAsia" w:ascii="Times New Roman" w:hAnsi="Times New Roman" w:cs="Times New Roman"/>
                <w:b w:val="0"/>
                <w:bCs w:val="0"/>
                <w:color w:val="auto"/>
                <w:sz w:val="24"/>
                <w:szCs w:val="24"/>
                <w:lang w:val="en-US" w:eastAsia="zh-CN"/>
              </w:rPr>
              <w:t>安徽建诚展览展示服务有限公司年产3000套展台展具智能生产线项目</w:t>
            </w:r>
            <w:r>
              <w:rPr>
                <w:rFonts w:hint="default" w:ascii="Times New Roman" w:hAnsi="Times New Roman" w:eastAsia="宋体" w:cs="Times New Roman"/>
                <w:color w:val="auto"/>
                <w:sz w:val="24"/>
                <w:szCs w:val="24"/>
              </w:rPr>
              <w:t>环境影响报告表审批意见的函</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安庆市</w:t>
            </w:r>
            <w:r>
              <w:rPr>
                <w:rFonts w:hint="eastAsia" w:ascii="Times New Roman" w:hAnsi="Times New Roman" w:cs="Times New Roman"/>
                <w:color w:val="auto"/>
                <w:sz w:val="24"/>
                <w:szCs w:val="24"/>
                <w:highlight w:val="none"/>
                <w:shd w:val="clear" w:color="auto" w:fill="auto"/>
                <w:lang w:val="en-US" w:eastAsia="zh-CN"/>
              </w:rPr>
              <w:t>桐城市生态环境分局</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宜桐</w:t>
            </w:r>
            <w:r>
              <w:rPr>
                <w:rFonts w:hint="default" w:ascii="Times New Roman" w:hAnsi="Times New Roman" w:cs="Times New Roman"/>
                <w:color w:val="auto"/>
                <w:sz w:val="24"/>
                <w:szCs w:val="24"/>
              </w:rPr>
              <w:t>环建函[20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072</w:t>
            </w:r>
            <w:r>
              <w:rPr>
                <w:rFonts w:hint="default" w:ascii="Times New Roman" w:hAnsi="Times New Roman" w:cs="Times New Roman"/>
                <w:color w:val="auto"/>
                <w:sz w:val="24"/>
                <w:szCs w:val="24"/>
              </w:rPr>
              <w:t>号）</w:t>
            </w:r>
            <w:r>
              <w:rPr>
                <w:rFonts w:hint="eastAsia" w:ascii="Times New Roman" w:hAnsi="Times New Roman" w:cs="Times New Roman"/>
                <w:color w:val="auto"/>
                <w:sz w:val="24"/>
                <w:szCs w:val="24"/>
                <w:lang w:val="en-US" w:eastAsia="zh-CN"/>
              </w:rPr>
              <w:t>，</w:t>
            </w:r>
            <w:r>
              <w:rPr>
                <w:rFonts w:hint="eastAsia" w:ascii="Times New Roman" w:hAnsi="Times New Roman"/>
                <w:color w:val="auto"/>
                <w:sz w:val="24"/>
                <w:lang w:val="en-US" w:eastAsia="zh-CN"/>
              </w:rPr>
              <w:t>2022年7月</w:t>
            </w:r>
            <w:r>
              <w:rPr>
                <w:rFonts w:hint="eastAsia" w:ascii="Times New Roman" w:hAnsi="Times New Roman" w:cs="Times New Roman"/>
                <w:color w:val="auto"/>
                <w:sz w:val="24"/>
                <w:lang w:val="en-US" w:eastAsia="zh-CN"/>
              </w:rPr>
              <w:t>15</w:t>
            </w:r>
            <w:r>
              <w:rPr>
                <w:rFonts w:hint="default" w:ascii="Times New Roman" w:hAnsi="Times New Roman" w:cs="Times New Roman"/>
                <w:color w:val="auto"/>
                <w:sz w:val="24"/>
                <w:lang w:val="en-US" w:eastAsia="zh-CN"/>
              </w:rPr>
              <w:t>日</w:t>
            </w:r>
            <w:r>
              <w:rPr>
                <w:rFonts w:hint="default" w:ascii="Times New Roman" w:hAnsi="Times New Roman" w:cs="Times New Roman"/>
                <w:color w:val="auto"/>
                <w:sz w:val="24"/>
                <w:szCs w:val="24"/>
              </w:rPr>
              <w:t>）</w:t>
            </w:r>
            <w:r>
              <w:rPr>
                <w:rFonts w:hint="default" w:ascii="Times New Roman" w:hAnsi="Times New Roman" w:cs="Times New Roman"/>
                <w:color w:val="auto"/>
                <w:kern w:val="21"/>
                <w:sz w:val="24"/>
                <w:szCs w:val="24"/>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hanging="241" w:hangingChars="100"/>
              <w:textAlignment w:val="auto"/>
              <w:outlineLvl w:val="9"/>
              <w:rPr>
                <w:rFonts w:hint="default" w:ascii="Times New Roman" w:hAnsi="Times New Roman" w:cs="Times New Roman"/>
                <w:b/>
                <w:bCs/>
                <w:color w:val="auto"/>
                <w:kern w:val="21"/>
                <w:sz w:val="24"/>
                <w:szCs w:val="24"/>
                <w:lang w:val="en-US" w:eastAsia="zh-CN"/>
              </w:rPr>
            </w:pPr>
            <w:r>
              <w:rPr>
                <w:rFonts w:hint="default" w:ascii="Times New Roman" w:hAnsi="Times New Roman" w:cs="Times New Roman"/>
                <w:b/>
                <w:bCs/>
                <w:color w:val="auto"/>
                <w:kern w:val="21"/>
                <w:sz w:val="24"/>
                <w:szCs w:val="24"/>
                <w:lang w:val="en-US" w:eastAsia="zh-CN"/>
              </w:rPr>
              <w:t>4、其他资料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eastAsia" w:ascii="Times New Roman" w:hAnsi="Times New Roman" w:eastAsia="宋体" w:cs="Times New Roman"/>
                <w:b w:val="0"/>
                <w:bCs w:val="0"/>
                <w:color w:val="auto"/>
                <w:kern w:val="21"/>
                <w:sz w:val="24"/>
                <w:szCs w:val="24"/>
                <w:u w:val="none" w:color="auto"/>
                <w:lang w:val="en-US" w:eastAsia="zh-CN"/>
              </w:rPr>
            </w:pPr>
            <w:r>
              <w:rPr>
                <w:rFonts w:hint="eastAsia" w:ascii="Times New Roman" w:hAnsi="Times New Roman" w:cs="Times New Roman"/>
                <w:b w:val="0"/>
                <w:bCs w:val="0"/>
                <w:color w:val="auto"/>
                <w:kern w:val="21"/>
                <w:sz w:val="24"/>
                <w:szCs w:val="24"/>
                <w:lang w:val="en-US" w:eastAsia="zh-CN"/>
              </w:rPr>
              <w:t>（1）</w:t>
            </w:r>
            <w:r>
              <w:rPr>
                <w:rFonts w:hint="eastAsia" w:ascii="Times New Roman" w:hAnsi="Times New Roman"/>
                <w:b w:val="0"/>
                <w:bCs w:val="0"/>
                <w:color w:val="auto"/>
                <w:sz w:val="24"/>
                <w:lang w:eastAsia="zh-CN"/>
              </w:rPr>
              <w:t>年产3000套展台展具智能生产线项目</w:t>
            </w:r>
            <w:r>
              <w:rPr>
                <w:rFonts w:hint="default" w:ascii="Times New Roman" w:hAnsi="Times New Roman" w:eastAsia="宋体" w:cs="Times New Roman"/>
                <w:b w:val="0"/>
                <w:bCs w:val="0"/>
                <w:color w:val="auto"/>
                <w:kern w:val="21"/>
                <w:sz w:val="24"/>
                <w:szCs w:val="24"/>
                <w:u w:val="none" w:color="auto"/>
                <w:lang w:eastAsia="zh-CN"/>
              </w:rPr>
              <w:t>环保验收监测委托书（</w:t>
            </w:r>
            <w:r>
              <w:rPr>
                <w:rFonts w:hint="default" w:ascii="Times New Roman" w:hAnsi="Times New Roman" w:eastAsia="宋体" w:cs="Times New Roman"/>
                <w:b w:val="0"/>
                <w:bCs w:val="0"/>
                <w:color w:val="auto"/>
                <w:kern w:val="21"/>
                <w:sz w:val="24"/>
                <w:szCs w:val="24"/>
                <w:u w:val="none" w:color="auto"/>
                <w:lang w:val="en-US" w:eastAsia="zh-CN"/>
              </w:rPr>
              <w:t>20</w:t>
            </w:r>
            <w:r>
              <w:rPr>
                <w:rFonts w:hint="eastAsia" w:ascii="Times New Roman" w:hAnsi="Times New Roman" w:eastAsia="宋体" w:cs="Times New Roman"/>
                <w:b w:val="0"/>
                <w:bCs w:val="0"/>
                <w:color w:val="auto"/>
                <w:kern w:val="21"/>
                <w:sz w:val="24"/>
                <w:szCs w:val="24"/>
                <w:u w:val="none" w:color="auto"/>
                <w:lang w:val="en-US" w:eastAsia="zh-CN"/>
              </w:rPr>
              <w:t>22</w:t>
            </w:r>
            <w:r>
              <w:rPr>
                <w:rFonts w:hint="default" w:ascii="Times New Roman" w:hAnsi="Times New Roman" w:eastAsia="宋体" w:cs="Times New Roman"/>
                <w:b w:val="0"/>
                <w:bCs w:val="0"/>
                <w:color w:val="auto"/>
                <w:kern w:val="21"/>
                <w:sz w:val="24"/>
                <w:szCs w:val="24"/>
                <w:u w:val="none" w:color="auto"/>
                <w:lang w:val="en-US" w:eastAsia="zh-CN"/>
              </w:rPr>
              <w:t>年</w:t>
            </w:r>
            <w:r>
              <w:rPr>
                <w:rFonts w:hint="eastAsia" w:ascii="Times New Roman" w:hAnsi="Times New Roman" w:eastAsia="宋体" w:cs="Times New Roman"/>
                <w:b w:val="0"/>
                <w:bCs w:val="0"/>
                <w:color w:val="auto"/>
                <w:kern w:val="21"/>
                <w:sz w:val="24"/>
                <w:szCs w:val="24"/>
                <w:u w:val="none" w:color="auto"/>
                <w:lang w:val="en-US" w:eastAsia="zh-CN"/>
              </w:rPr>
              <w:t>9</w:t>
            </w:r>
            <w:r>
              <w:rPr>
                <w:rFonts w:hint="default" w:ascii="Times New Roman" w:hAnsi="Times New Roman" w:eastAsia="宋体" w:cs="Times New Roman"/>
                <w:b w:val="0"/>
                <w:bCs w:val="0"/>
                <w:color w:val="auto"/>
                <w:kern w:val="21"/>
                <w:sz w:val="24"/>
                <w:szCs w:val="24"/>
                <w:u w:val="none" w:color="auto"/>
                <w:lang w:val="en-US" w:eastAsia="zh-CN"/>
              </w:rPr>
              <w:t>月</w:t>
            </w:r>
            <w:r>
              <w:rPr>
                <w:rFonts w:hint="default" w:ascii="Times New Roman" w:hAnsi="Times New Roman" w:eastAsia="宋体" w:cs="Times New Roman"/>
                <w:b w:val="0"/>
                <w:bCs w:val="0"/>
                <w:color w:val="auto"/>
                <w:kern w:val="21"/>
                <w:sz w:val="24"/>
                <w:szCs w:val="24"/>
                <w:u w:val="none" w:color="auto"/>
                <w:lang w:eastAsia="zh-CN"/>
              </w:rPr>
              <w:t>）</w:t>
            </w:r>
            <w:r>
              <w:rPr>
                <w:rFonts w:hint="eastAsia" w:ascii="Times New Roman" w:hAnsi="Times New Roman" w:eastAsia="宋体" w:cs="Times New Roman"/>
                <w:b w:val="0"/>
                <w:bCs w:val="0"/>
                <w:color w:val="auto"/>
                <w:kern w:val="21"/>
                <w:sz w:val="24"/>
                <w:szCs w:val="24"/>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40" w:leftChars="0" w:hanging="240" w:hangingChars="100"/>
              <w:jc w:val="both"/>
              <w:textAlignment w:val="auto"/>
              <w:outlineLvl w:val="9"/>
              <w:rPr>
                <w:rFonts w:hint="default" w:ascii="Times New Roman" w:hAnsi="Times New Roman" w:eastAsia="宋体" w:cs="Times New Roman"/>
                <w:color w:val="0000FF"/>
                <w:kern w:val="21"/>
                <w:sz w:val="24"/>
                <w:szCs w:val="24"/>
                <w:u w:val="none" w:color="auto"/>
                <w:lang w:val="en-US" w:eastAsia="zh-CN"/>
              </w:rPr>
            </w:pPr>
            <w:r>
              <w:rPr>
                <w:rFonts w:hint="eastAsia" w:ascii="Times New Roman" w:hAnsi="Times New Roman" w:eastAsia="宋体" w:cs="Times New Roman"/>
                <w:b w:val="0"/>
                <w:bCs w:val="0"/>
                <w:color w:val="auto"/>
                <w:kern w:val="21"/>
                <w:sz w:val="24"/>
                <w:szCs w:val="24"/>
                <w:u w:val="none" w:color="auto"/>
                <w:lang w:val="en-US" w:eastAsia="zh-CN"/>
              </w:rPr>
              <w:t>（2）验收监测现场踏勘资料。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458" w:type="dxa"/>
            <w:vAlign w:val="center"/>
          </w:tcPr>
          <w:p>
            <w:pPr>
              <w:spacing w:line="240" w:lineRule="auto"/>
              <w:jc w:val="center"/>
              <w:rPr>
                <w:rFonts w:hint="eastAsia"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验收监测评价标准、标号、级别、限值</w:t>
            </w:r>
          </w:p>
        </w:tc>
        <w:tc>
          <w:tcPr>
            <w:tcW w:w="7613" w:type="dxa"/>
            <w:gridSpan w:val="11"/>
            <w:vAlign w:val="top"/>
          </w:tcPr>
          <w:p>
            <w:pPr>
              <w:pStyle w:val="4"/>
              <w:rPr>
                <w:rFonts w:hint="eastAsia" w:cs="Times New Roman"/>
                <w:color w:val="auto"/>
                <w:lang w:val="en-US" w:eastAsia="zh-CN"/>
              </w:rPr>
            </w:pPr>
            <w:r>
              <w:rPr>
                <w:rFonts w:hint="eastAsia" w:cs="Times New Roman"/>
                <w:color w:val="auto"/>
                <w:lang w:val="en-US" w:eastAsia="zh-CN"/>
              </w:rPr>
              <w:t>1、废水排放标准</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项目废水主要为生活污水，水喷淋废水循环使用不外排，生活污水经化粪池处理后进入经开区污水管网，再经桐城市城南污水处理厂处理，出水达到《城镇污水处理厂污染物排放标准</w:t>
            </w:r>
            <w:bookmarkStart w:id="43" w:name="_GoBack"/>
            <w:bookmarkEnd w:id="43"/>
            <w:r>
              <w:rPr>
                <w:rFonts w:hint="default" w:ascii="Times New Roman" w:hAnsi="Times New Roman" w:cs="Times New Roman"/>
                <w:color w:val="auto"/>
                <w:sz w:val="24"/>
                <w:szCs w:val="24"/>
                <w:lang w:val="en-US" w:eastAsia="zh-CN"/>
              </w:rPr>
              <w:t>》(GB18918-2002)一级 A 标准后排入龙眠河。具体</w:t>
            </w:r>
            <w:r>
              <w:rPr>
                <w:rFonts w:hint="default" w:ascii="Times New Roman" w:hAnsi="Times New Roman" w:cs="Times New Roman"/>
                <w:color w:val="auto"/>
                <w:sz w:val="24"/>
                <w:szCs w:val="24"/>
              </w:rPr>
              <w:t>标准值见表</w:t>
            </w:r>
            <w:r>
              <w:rPr>
                <w:rFonts w:hint="default" w:ascii="Times New Roman" w:hAnsi="Times New Roman" w:cs="Times New Roman"/>
                <w:color w:val="auto"/>
                <w:sz w:val="24"/>
                <w:szCs w:val="24"/>
                <w:lang w:val="en-US" w:eastAsia="zh-CN"/>
              </w:rPr>
              <w:t>1-1</w:t>
            </w:r>
            <w:r>
              <w:rPr>
                <w:rFonts w:hint="default" w:ascii="Times New Roman" w:hAnsi="Times New Roman" w:cs="Times New Roman"/>
                <w:color w:val="auto"/>
                <w:sz w:val="24"/>
                <w:szCs w:val="24"/>
              </w:rPr>
              <w:t>。</w:t>
            </w:r>
          </w:p>
          <w:p>
            <w:pPr>
              <w:pStyle w:val="30"/>
              <w:spacing w:beforeLines="0" w:afterLines="0" w:line="240" w:lineRule="auto"/>
              <w:rPr>
                <w:rFonts w:hint="eastAsia" w:ascii="黑体" w:hAnsi="黑体" w:eastAsia="黑体" w:cs="黑体"/>
                <w:b w:val="0"/>
                <w:bCs w:val="0"/>
                <w:color w:val="auto"/>
                <w:kern w:val="0"/>
                <w:sz w:val="21"/>
                <w:szCs w:val="21"/>
                <w:lang w:val="en-US"/>
              </w:rPr>
            </w:pPr>
            <w:r>
              <w:rPr>
                <w:rFonts w:hint="eastAsia" w:ascii="黑体" w:hAnsi="黑体" w:eastAsia="黑体" w:cs="黑体"/>
                <w:b w:val="0"/>
                <w:bCs w:val="0"/>
                <w:color w:val="auto"/>
                <w:kern w:val="0"/>
                <w:sz w:val="21"/>
                <w:szCs w:val="21"/>
                <w:lang w:val="en-US"/>
              </w:rPr>
              <w:t>表</w:t>
            </w:r>
            <w:r>
              <w:rPr>
                <w:rFonts w:hint="eastAsia" w:ascii="黑体" w:hAnsi="黑体" w:eastAsia="黑体" w:cs="黑体"/>
                <w:b w:val="0"/>
                <w:bCs w:val="0"/>
                <w:color w:val="auto"/>
                <w:kern w:val="0"/>
                <w:sz w:val="21"/>
                <w:szCs w:val="21"/>
                <w:lang w:val="en-US" w:eastAsia="zh-CN"/>
              </w:rPr>
              <w:t xml:space="preserve">1.1 </w:t>
            </w:r>
            <w:r>
              <w:rPr>
                <w:rFonts w:hint="eastAsia" w:ascii="黑体" w:hAnsi="黑体" w:eastAsia="黑体" w:cs="黑体"/>
                <w:b w:val="0"/>
                <w:bCs w:val="0"/>
                <w:color w:val="auto"/>
                <w:kern w:val="0"/>
                <w:sz w:val="21"/>
                <w:szCs w:val="21"/>
                <w:lang w:val="en-US"/>
              </w:rPr>
              <w:t>污水综合排放标准   （mg/L，pH值除外）</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4071"/>
              <w:gridCol w:w="1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b/>
                      <w:bCs/>
                      <w:color w:val="auto"/>
                      <w:sz w:val="21"/>
                      <w:szCs w:val="21"/>
                      <w:lang w:val="en-US" w:eastAsia="zh-CN"/>
                    </w:rPr>
                  </w:pPr>
                  <w:bookmarkStart w:id="1" w:name="_Toc14369"/>
                  <w:r>
                    <w:rPr>
                      <w:rFonts w:hint="default" w:ascii="Times New Roman" w:hAnsi="Times New Roman" w:cs="Times New Roman"/>
                      <w:b/>
                      <w:bCs/>
                      <w:color w:val="auto"/>
                      <w:sz w:val="21"/>
                      <w:szCs w:val="21"/>
                      <w:lang w:val="en-US" w:eastAsia="zh-CN"/>
                    </w:rPr>
                    <w:t>序号</w:t>
                  </w:r>
                </w:p>
              </w:tc>
              <w:tc>
                <w:tcPr>
                  <w:tcW w:w="2719" w:type="pct"/>
                  <w:noWrap w:val="0"/>
                  <w:vAlign w:val="center"/>
                </w:tcPr>
                <w:p>
                  <w:pPr>
                    <w:bidi w:val="0"/>
                    <w:spacing w:line="240" w:lineRule="auto"/>
                    <w:jc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污染物名称</w:t>
                  </w:r>
                </w:p>
              </w:tc>
              <w:tc>
                <w:tcPr>
                  <w:tcW w:w="1303" w:type="pct"/>
                  <w:noWrap w:val="0"/>
                  <w:vAlign w:val="center"/>
                </w:tcPr>
                <w:p>
                  <w:pPr>
                    <w:keepNext w:val="0"/>
                    <w:keepLines w:val="0"/>
                    <w:widowControl/>
                    <w:suppressLineNumbers w:val="0"/>
                    <w:jc w:val="center"/>
                    <w:rPr>
                      <w:rFonts w:hint="default" w:ascii="Times New Roman" w:hAnsi="Times New Roman" w:cs="Times New Roman"/>
                      <w:b/>
                      <w:bCs/>
                      <w:color w:val="auto"/>
                      <w:sz w:val="21"/>
                      <w:szCs w:val="21"/>
                      <w:lang w:val="en-US" w:eastAsia="zh-CN"/>
                    </w:rPr>
                  </w:pPr>
                  <w:r>
                    <w:rPr>
                      <w:rFonts w:hint="eastAsia" w:ascii="宋体" w:hAnsi="宋体" w:eastAsia="宋体" w:cs="宋体"/>
                      <w:b/>
                      <w:bCs/>
                      <w:color w:val="000000"/>
                      <w:kern w:val="0"/>
                      <w:sz w:val="21"/>
                      <w:szCs w:val="21"/>
                      <w:lang w:val="en-US" w:eastAsia="zh-CN" w:bidi="ar"/>
                    </w:rPr>
                    <w:t>桐城市城南污水处理厂接管标准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2719"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pH（无量纲）</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2719"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COD（mg/L）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2719"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BOD</w:t>
                  </w:r>
                  <w:r>
                    <w:rPr>
                      <w:rFonts w:hint="default" w:ascii="Times New Roman" w:hAnsi="Times New Roman" w:cs="Times New Roman"/>
                      <w:color w:val="auto"/>
                      <w:sz w:val="21"/>
                      <w:szCs w:val="21"/>
                      <w:vertAlign w:val="subscript"/>
                      <w:lang w:val="en-US" w:eastAsia="zh-CN"/>
                    </w:rPr>
                    <w:t>5</w:t>
                  </w:r>
                  <w:r>
                    <w:rPr>
                      <w:rFonts w:hint="default" w:ascii="Times New Roman" w:hAnsi="Times New Roman" w:cs="Times New Roman"/>
                      <w:color w:val="auto"/>
                      <w:sz w:val="21"/>
                      <w:szCs w:val="21"/>
                      <w:lang w:val="en-US" w:eastAsia="zh-CN"/>
                    </w:rPr>
                    <w:t>（mg/L）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2719"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SS（mg/L）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77"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2719"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氨氮（mg/L）</w:t>
                  </w:r>
                </w:p>
              </w:tc>
              <w:tc>
                <w:tcPr>
                  <w:tcW w:w="1303" w:type="pct"/>
                  <w:noWrap w:val="0"/>
                  <w:vAlign w:val="center"/>
                </w:tcPr>
                <w:p>
                  <w:pPr>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25</w:t>
                  </w:r>
                </w:p>
              </w:tc>
            </w:tr>
          </w:tbl>
          <w:p>
            <w:pPr>
              <w:numPr>
                <w:ilvl w:val="0"/>
                <w:numId w:val="0"/>
              </w:numPr>
              <w:spacing w:line="360" w:lineRule="auto"/>
              <w:rPr>
                <w:rFonts w:hint="default"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2、废气排放标准</w:t>
            </w:r>
          </w:p>
          <w:p>
            <w:pPr>
              <w:spacing w:line="360" w:lineRule="auto"/>
              <w:ind w:firstLine="480" w:firstLineChars="200"/>
              <w:rPr>
                <w:rFonts w:hint="eastAsia" w:ascii="Times New Roman" w:hAnsi="Times New Roman"/>
                <w:b w:val="0"/>
                <w:bCs w:val="0"/>
                <w:color w:val="auto"/>
                <w:sz w:val="24"/>
                <w:lang w:val="en-US" w:eastAsia="zh-CN"/>
              </w:rPr>
            </w:pPr>
            <w:r>
              <w:rPr>
                <w:rFonts w:hint="eastAsia" w:ascii="Times New Roman" w:hAnsi="Times New Roman"/>
                <w:b w:val="0"/>
                <w:bCs w:val="0"/>
                <w:color w:val="auto"/>
                <w:sz w:val="24"/>
                <w:lang w:val="en-US" w:eastAsia="zh-CN"/>
              </w:rPr>
              <w:t>电项目粉尘和有机废气排放参照《大气污染物综合排放标准》 (GB16297- 1996)中相关标准要求；食堂油烟排放能满足饮食业油烟排放标准（试行）（GB18483-2001）中的标准要求。</w:t>
            </w:r>
          </w:p>
          <w:p>
            <w:pPr>
              <w:spacing w:line="360" w:lineRule="auto"/>
              <w:ind w:firstLine="480" w:firstLineChars="200"/>
              <w:rPr>
                <w:rFonts w:hint="eastAsia" w:ascii="Times New Roman" w:hAnsi="Times New Roman"/>
                <w:b w:val="0"/>
                <w:bCs w:val="0"/>
                <w:color w:val="auto"/>
                <w:sz w:val="24"/>
                <w:lang w:val="en-US" w:eastAsia="zh-CN"/>
              </w:rPr>
            </w:pPr>
          </w:p>
          <w:p>
            <w:pPr>
              <w:pStyle w:val="30"/>
              <w:spacing w:beforeLines="0" w:afterLines="0" w:line="240" w:lineRule="auto"/>
              <w:rPr>
                <w:rFonts w:hint="eastAsia" w:ascii="黑体" w:hAnsi="黑体" w:eastAsia="黑体" w:cs="黑体"/>
                <w:b w:val="0"/>
                <w:bCs w:val="0"/>
                <w:color w:val="auto"/>
                <w:kern w:val="0"/>
                <w:sz w:val="21"/>
                <w:szCs w:val="21"/>
                <w:lang w:val="en-US"/>
              </w:rPr>
            </w:pPr>
            <w:r>
              <w:rPr>
                <w:rFonts w:hint="eastAsia" w:ascii="黑体" w:hAnsi="黑体" w:eastAsia="黑体" w:cs="黑体"/>
                <w:b w:val="0"/>
                <w:bCs w:val="0"/>
                <w:color w:val="auto"/>
                <w:kern w:val="0"/>
                <w:sz w:val="21"/>
                <w:szCs w:val="21"/>
                <w:lang w:val="en-US"/>
              </w:rPr>
              <w:t>表</w:t>
            </w:r>
            <w:r>
              <w:rPr>
                <w:rFonts w:hint="eastAsia" w:ascii="黑体" w:hAnsi="黑体" w:eastAsia="黑体" w:cs="黑体"/>
                <w:b w:val="0"/>
                <w:bCs w:val="0"/>
                <w:color w:val="auto"/>
                <w:kern w:val="0"/>
                <w:sz w:val="21"/>
                <w:szCs w:val="21"/>
                <w:lang w:val="en-US" w:eastAsia="zh-CN"/>
              </w:rPr>
              <w:t>1-2 气体污染物排放标准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48"/>
              <w:gridCol w:w="952"/>
              <w:gridCol w:w="1104"/>
              <w:gridCol w:w="1136"/>
              <w:gridCol w:w="1227"/>
              <w:gridCol w:w="21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jc w:val="center"/>
              </w:trPr>
              <w:tc>
                <w:tcPr>
                  <w:tcW w:w="1156" w:type="dxa"/>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污染物</w:t>
                  </w:r>
                </w:p>
              </w:tc>
              <w:tc>
                <w:tcPr>
                  <w:tcW w:w="1051" w:type="dxa"/>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排气筒</w:t>
                  </w:r>
                  <w:r>
                    <w:rPr>
                      <w:b/>
                      <w:spacing w:val="-39"/>
                      <w:sz w:val="21"/>
                    </w:rPr>
                    <w:t>高度</w:t>
                  </w:r>
                  <w:r>
                    <w:rPr>
                      <w:b/>
                      <w:sz w:val="21"/>
                    </w:rPr>
                    <w:t>（</w:t>
                  </w:r>
                  <w:r>
                    <w:rPr>
                      <w:rFonts w:ascii="Times New Roman" w:eastAsia="Times New Roman"/>
                      <w:b/>
                      <w:sz w:val="21"/>
                    </w:rPr>
                    <w:t>m</w:t>
                  </w:r>
                  <w:r>
                    <w:rPr>
                      <w:b/>
                      <w:sz w:val="21"/>
                    </w:rPr>
                    <w:t>）</w:t>
                  </w:r>
                </w:p>
              </w:tc>
              <w:tc>
                <w:tcPr>
                  <w:tcW w:w="3803" w:type="dxa"/>
                  <w:gridSpan w:val="3"/>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标准限值</w:t>
                  </w:r>
                </w:p>
              </w:tc>
              <w:tc>
                <w:tcPr>
                  <w:tcW w:w="2397" w:type="dxa"/>
                  <w:vMerge w:val="restart"/>
                  <w:vAlign w:val="center"/>
                </w:tcPr>
                <w:p>
                  <w:pPr>
                    <w:pStyle w:val="45"/>
                    <w:jc w:val="center"/>
                    <w:rPr>
                      <w:b/>
                      <w:sz w:val="21"/>
                    </w:rPr>
                  </w:pPr>
                  <w:r>
                    <w:rPr>
                      <w:b/>
                      <w:sz w:val="21"/>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jc w:val="center"/>
              </w:trPr>
              <w:tc>
                <w:tcPr>
                  <w:tcW w:w="1156"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sz w:val="2"/>
                      <w:szCs w:val="2"/>
                    </w:rPr>
                  </w:pPr>
                </w:p>
              </w:tc>
              <w:tc>
                <w:tcPr>
                  <w:tcW w:w="1051"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right="0" w:firstLine="0"/>
                    <w:jc w:val="both"/>
                    <w:textAlignment w:val="auto"/>
                    <w:rPr>
                      <w:sz w:val="2"/>
                      <w:szCs w:val="2"/>
                    </w:rPr>
                  </w:pPr>
                </w:p>
              </w:tc>
              <w:tc>
                <w:tcPr>
                  <w:tcW w:w="121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b/>
                      <w:sz w:val="21"/>
                    </w:rPr>
                  </w:pPr>
                  <w:r>
                    <w:rPr>
                      <w:b/>
                      <w:sz w:val="21"/>
                    </w:rPr>
                    <w:t>最高允许排放浓度</w:t>
                  </w:r>
                  <w:r>
                    <w:rPr>
                      <w:rFonts w:ascii="Times New Roman" w:eastAsia="Times New Roman"/>
                      <w:b/>
                      <w:sz w:val="21"/>
                    </w:rPr>
                    <w:t>(mg/m</w:t>
                  </w:r>
                  <w:r>
                    <w:rPr>
                      <w:rFonts w:ascii="Times New Roman" w:eastAsia="Times New Roman"/>
                      <w:b/>
                      <w:position w:val="7"/>
                      <w:sz w:val="13"/>
                    </w:rPr>
                    <w:t>3</w:t>
                  </w:r>
                  <w:r>
                    <w:rPr>
                      <w:rFonts w:ascii="Times New Roman" w:eastAsia="Times New Roman"/>
                      <w:b/>
                      <w:sz w:val="21"/>
                    </w:rPr>
                    <w:t>)</w:t>
                  </w:r>
                </w:p>
              </w:tc>
              <w:tc>
                <w:tcPr>
                  <w:tcW w:w="1223"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pacing w:val="-4"/>
                      <w:sz w:val="21"/>
                    </w:rPr>
                    <w:t>最高允许</w:t>
                  </w:r>
                  <w:r>
                    <w:rPr>
                      <w:b/>
                      <w:spacing w:val="-4"/>
                      <w:w w:val="95"/>
                      <w:sz w:val="21"/>
                    </w:rPr>
                    <w:t>排放速率</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w:t>
                  </w:r>
                  <w:r>
                    <w:rPr>
                      <w:rFonts w:ascii="Times New Roman" w:eastAsia="Times New Roman"/>
                      <w:b/>
                      <w:sz w:val="21"/>
                    </w:rPr>
                    <w:t>kg/h</w:t>
                  </w:r>
                  <w:r>
                    <w:rPr>
                      <w:b/>
                      <w:sz w:val="21"/>
                    </w:rPr>
                    <w:t>）</w:t>
                  </w:r>
                </w:p>
              </w:tc>
              <w:tc>
                <w:tcPr>
                  <w:tcW w:w="1369"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b/>
                      <w:sz w:val="21"/>
                    </w:rPr>
                  </w:pPr>
                  <w:r>
                    <w:rPr>
                      <w:b/>
                      <w:spacing w:val="-4"/>
                      <w:sz w:val="21"/>
                    </w:rPr>
                    <w:t>无组织排放监控浓度限</w:t>
                  </w:r>
                  <w:r>
                    <w:rPr>
                      <w:b/>
                      <w:sz w:val="21"/>
                    </w:rPr>
                    <w:t>值</w:t>
                  </w:r>
                  <w:r>
                    <w:rPr>
                      <w:rFonts w:ascii="Times New Roman" w:eastAsia="Times New Roman"/>
                      <w:b/>
                      <w:sz w:val="21"/>
                    </w:rPr>
                    <w:t>(mg/m</w:t>
                  </w:r>
                  <w:r>
                    <w:rPr>
                      <w:rFonts w:ascii="Times New Roman" w:eastAsia="Times New Roman"/>
                      <w:b/>
                      <w:position w:val="7"/>
                      <w:sz w:val="13"/>
                    </w:rPr>
                    <w:t>3</w:t>
                  </w:r>
                  <w:r>
                    <w:rPr>
                      <w:rFonts w:ascii="Times New Roman" w:eastAsia="Times New Roman"/>
                      <w:b/>
                      <w:sz w:val="21"/>
                    </w:rPr>
                    <w:t>)</w:t>
                  </w:r>
                </w:p>
              </w:tc>
              <w:tc>
                <w:tcPr>
                  <w:tcW w:w="2397" w:type="dxa"/>
                  <w:vMerge w:val="continue"/>
                  <w:tcBorders>
                    <w:top w:val="nil"/>
                  </w:tcBorders>
                  <w:vAlign w:val="center"/>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jc w:val="center"/>
              </w:trPr>
              <w:tc>
                <w:tcPr>
                  <w:tcW w:w="1156"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颗粒物</w:t>
                  </w:r>
                </w:p>
              </w:tc>
              <w:tc>
                <w:tcPr>
                  <w:tcW w:w="105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15</w:t>
                  </w:r>
                </w:p>
              </w:tc>
              <w:tc>
                <w:tcPr>
                  <w:tcW w:w="121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120</w:t>
                  </w:r>
                </w:p>
              </w:tc>
              <w:tc>
                <w:tcPr>
                  <w:tcW w:w="1223"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99"/>
                      <w:sz w:val="21"/>
                    </w:rPr>
                    <w:t>-</w:t>
                  </w:r>
                </w:p>
              </w:tc>
              <w:tc>
                <w:tcPr>
                  <w:tcW w:w="1369"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1.0</w:t>
                  </w:r>
                </w:p>
              </w:tc>
              <w:tc>
                <w:tcPr>
                  <w:tcW w:w="2397" w:type="dxa"/>
                  <w:vMerge w:val="restart"/>
                  <w:vAlign w:val="center"/>
                </w:tcPr>
                <w:p>
                  <w:pPr>
                    <w:pStyle w:val="45"/>
                    <w:spacing w:line="242" w:lineRule="auto"/>
                    <w:ind w:left="107" w:right="96" w:firstLine="40"/>
                    <w:rPr>
                      <w:sz w:val="21"/>
                    </w:rPr>
                  </w:pPr>
                  <w:r>
                    <w:rPr>
                      <w:spacing w:val="0"/>
                      <w:sz w:val="21"/>
                    </w:rPr>
                    <w:t>《大气污染物综合排放标准》 (GB16297- 1996)中规定的有关排放限值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156"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非甲烷总</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w w:val="99"/>
                      <w:sz w:val="21"/>
                    </w:rPr>
                    <w:t>烃</w:t>
                  </w:r>
                </w:p>
              </w:tc>
              <w:tc>
                <w:tcPr>
                  <w:tcW w:w="105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15</w:t>
                  </w:r>
                </w:p>
              </w:tc>
              <w:tc>
                <w:tcPr>
                  <w:tcW w:w="121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120</w:t>
                  </w:r>
                </w:p>
              </w:tc>
              <w:tc>
                <w:tcPr>
                  <w:tcW w:w="1223"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10</w:t>
                  </w:r>
                </w:p>
              </w:tc>
              <w:tc>
                <w:tcPr>
                  <w:tcW w:w="1369"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4.0</w:t>
                  </w:r>
                </w:p>
              </w:tc>
              <w:tc>
                <w:tcPr>
                  <w:tcW w:w="2397" w:type="dxa"/>
                  <w:vMerge w:val="continue"/>
                  <w:tcBorders>
                    <w:top w:val="nil"/>
                  </w:tcBorders>
                  <w:vAlign w:val="center"/>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1156"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二甲苯</w:t>
                  </w:r>
                </w:p>
              </w:tc>
              <w:tc>
                <w:tcPr>
                  <w:tcW w:w="105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15</w:t>
                  </w:r>
                </w:p>
              </w:tc>
              <w:tc>
                <w:tcPr>
                  <w:tcW w:w="121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70</w:t>
                  </w:r>
                </w:p>
              </w:tc>
              <w:tc>
                <w:tcPr>
                  <w:tcW w:w="1223"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1.0</w:t>
                  </w:r>
                </w:p>
              </w:tc>
              <w:tc>
                <w:tcPr>
                  <w:tcW w:w="1369"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1.2</w:t>
                  </w:r>
                </w:p>
              </w:tc>
              <w:tc>
                <w:tcPr>
                  <w:tcW w:w="2397" w:type="dxa"/>
                  <w:vMerge w:val="continue"/>
                  <w:tcBorders>
                    <w:top w:val="nil"/>
                  </w:tcBorders>
                  <w:vAlign w:val="center"/>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3" w:hRule="atLeast"/>
                <w:jc w:val="center"/>
              </w:trPr>
              <w:tc>
                <w:tcPr>
                  <w:tcW w:w="1156"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甲苯</w:t>
                  </w:r>
                </w:p>
              </w:tc>
              <w:tc>
                <w:tcPr>
                  <w:tcW w:w="105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15</w:t>
                  </w:r>
                </w:p>
              </w:tc>
              <w:tc>
                <w:tcPr>
                  <w:tcW w:w="1211"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40</w:t>
                  </w:r>
                </w:p>
              </w:tc>
              <w:tc>
                <w:tcPr>
                  <w:tcW w:w="1223"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sz w:val="21"/>
                    </w:rPr>
                    <w:t>3.1</w:t>
                  </w:r>
                </w:p>
              </w:tc>
              <w:tc>
                <w:tcPr>
                  <w:tcW w:w="1369" w:type="dxa"/>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textAlignment w:val="auto"/>
                    <w:rPr>
                      <w:rFonts w:ascii="Times New Roman"/>
                      <w:sz w:val="21"/>
                    </w:rPr>
                  </w:pPr>
                  <w:r>
                    <w:rPr>
                      <w:rFonts w:ascii="Times New Roman"/>
                      <w:sz w:val="21"/>
                    </w:rPr>
                    <w:t>2.4</w:t>
                  </w:r>
                </w:p>
              </w:tc>
              <w:tc>
                <w:tcPr>
                  <w:tcW w:w="2397" w:type="dxa"/>
                  <w:vMerge w:val="continue"/>
                  <w:tcBorders>
                    <w:top w:val="nil"/>
                  </w:tcBorders>
                  <w:vAlign w:val="center"/>
                </w:tcPr>
                <w:p>
                  <w:pPr>
                    <w:rPr>
                      <w:sz w:val="2"/>
                      <w:szCs w:val="2"/>
                    </w:rPr>
                  </w:pPr>
                </w:p>
              </w:tc>
            </w:tr>
          </w:tbl>
          <w:p>
            <w:pPr>
              <w:pStyle w:val="30"/>
              <w:spacing w:beforeLines="0" w:afterLines="0" w:line="240" w:lineRule="auto"/>
              <w:rPr>
                <w:rFonts w:hint="eastAsia" w:ascii="黑体" w:hAnsi="黑体" w:eastAsia="黑体" w:cs="黑体"/>
                <w:b w:val="0"/>
                <w:bCs w:val="0"/>
                <w:color w:val="auto"/>
                <w:kern w:val="0"/>
                <w:sz w:val="21"/>
                <w:szCs w:val="21"/>
                <w:lang w:val="en-US" w:eastAsia="zh-CN"/>
              </w:rPr>
            </w:pPr>
            <w:r>
              <w:rPr>
                <w:rFonts w:hint="eastAsia" w:ascii="黑体" w:hAnsi="黑体" w:eastAsia="黑体" w:cs="黑体"/>
                <w:b w:val="0"/>
                <w:bCs w:val="0"/>
                <w:color w:val="auto"/>
                <w:kern w:val="0"/>
                <w:sz w:val="21"/>
                <w:szCs w:val="21"/>
                <w:lang w:val="en-US" w:eastAsia="zh-CN"/>
              </w:rPr>
              <w:t>表 1-3</w:t>
            </w:r>
            <w:r>
              <w:rPr>
                <w:rFonts w:hint="eastAsia" w:ascii="黑体" w:hAnsi="黑体" w:eastAsia="黑体" w:cs="黑体"/>
                <w:b w:val="0"/>
                <w:bCs w:val="0"/>
                <w:color w:val="auto"/>
                <w:kern w:val="0"/>
                <w:sz w:val="21"/>
                <w:szCs w:val="21"/>
                <w:lang w:val="en-US" w:eastAsia="zh-CN"/>
              </w:rPr>
              <w:tab/>
            </w:r>
            <w:r>
              <w:rPr>
                <w:rFonts w:hint="eastAsia" w:ascii="黑体" w:hAnsi="黑体" w:eastAsia="黑体" w:cs="黑体"/>
                <w:b w:val="0"/>
                <w:bCs w:val="0"/>
                <w:color w:val="auto"/>
                <w:kern w:val="0"/>
                <w:sz w:val="21"/>
                <w:szCs w:val="21"/>
                <w:lang w:val="en-US" w:eastAsia="zh-CN"/>
              </w:rPr>
              <w:t>饮食业油烟排放标准</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317"/>
              <w:gridCol w:w="31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22"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b/>
                      <w:bCs/>
                      <w:sz w:val="21"/>
                    </w:rPr>
                  </w:pPr>
                  <w:r>
                    <w:rPr>
                      <w:b/>
                      <w:bCs/>
                      <w:sz w:val="21"/>
                    </w:rPr>
                    <w:t>规模</w:t>
                  </w:r>
                </w:p>
              </w:tc>
              <w:tc>
                <w:tcPr>
                  <w:tcW w:w="3586"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b/>
                      <w:bCs/>
                      <w:sz w:val="21"/>
                    </w:rPr>
                  </w:pPr>
                  <w:r>
                    <w:rPr>
                      <w:b/>
                      <w:bCs/>
                      <w:sz w:val="21"/>
                    </w:rPr>
                    <w:t>小型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22"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sz w:val="21"/>
                    </w:rPr>
                  </w:pPr>
                  <w:r>
                    <w:rPr>
                      <w:sz w:val="21"/>
                    </w:rPr>
                    <w:t>基准灶头数</w:t>
                  </w:r>
                </w:p>
              </w:tc>
              <w:tc>
                <w:tcPr>
                  <w:tcW w:w="3586"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hAnsi="Times New Roman" w:eastAsia="Times New Roman"/>
                      <w:sz w:val="21"/>
                    </w:rPr>
                  </w:pPr>
                  <w:r>
                    <w:rPr>
                      <w:rFonts w:ascii="Times New Roman" w:hAnsi="Times New Roman" w:eastAsia="Times New Roman"/>
                      <w:sz w:val="21"/>
                    </w:rPr>
                    <w:t>≥1</w:t>
                  </w:r>
                  <w:r>
                    <w:rPr>
                      <w:sz w:val="21"/>
                    </w:rPr>
                    <w:t>，＜</w:t>
                  </w:r>
                  <w:r>
                    <w:rPr>
                      <w:rFonts w:ascii="Times New Roman" w:hAnsi="Times New Roman" w:eastAsia="Times New Roman"/>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4822"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sz w:val="21"/>
                    </w:rPr>
                  </w:pPr>
                  <w:r>
                    <w:rPr>
                      <w:sz w:val="21"/>
                    </w:rPr>
                    <w:t>最高允许排放浓度（</w:t>
                  </w:r>
                  <w:r>
                    <w:rPr>
                      <w:rFonts w:ascii="Times New Roman" w:eastAsia="Times New Roman"/>
                      <w:sz w:val="21"/>
                    </w:rPr>
                    <w:t>mg/m</w:t>
                  </w:r>
                  <w:r>
                    <w:rPr>
                      <w:rFonts w:ascii="Times New Roman" w:eastAsia="Times New Roman"/>
                      <w:position w:val="7"/>
                      <w:sz w:val="13"/>
                    </w:rPr>
                    <w:t>3</w:t>
                  </w:r>
                  <w:r>
                    <w:rPr>
                      <w:sz w:val="21"/>
                    </w:rPr>
                    <w:t>）</w:t>
                  </w:r>
                </w:p>
              </w:tc>
              <w:tc>
                <w:tcPr>
                  <w:tcW w:w="3586"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sz w:val="21"/>
                    </w:rPr>
                  </w:pPr>
                  <w:r>
                    <w:rPr>
                      <w:rFonts w:ascii="Times New Roman"/>
                      <w:sz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4822"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sz w:val="21"/>
                    </w:rPr>
                  </w:pPr>
                  <w:r>
                    <w:rPr>
                      <w:sz w:val="21"/>
                    </w:rPr>
                    <w:t>净化设置最低去除率（</w:t>
                  </w:r>
                  <w:r>
                    <w:rPr>
                      <w:rFonts w:ascii="Times New Roman" w:eastAsia="Times New Roman"/>
                      <w:sz w:val="21"/>
                    </w:rPr>
                    <w:t>%</w:t>
                  </w:r>
                  <w:r>
                    <w:rPr>
                      <w:sz w:val="21"/>
                    </w:rPr>
                    <w:t>）</w:t>
                  </w:r>
                </w:p>
              </w:tc>
              <w:tc>
                <w:tcPr>
                  <w:tcW w:w="3586" w:type="dxa"/>
                  <w:vAlign w:val="top"/>
                </w:tcPr>
                <w:p>
                  <w:pPr>
                    <w:pStyle w:val="45"/>
                    <w:keepNext w:val="0"/>
                    <w:keepLines w:val="0"/>
                    <w:pageBreakBefore w:val="0"/>
                    <w:widowControl w:val="0"/>
                    <w:kinsoku/>
                    <w:wordWrap/>
                    <w:overflowPunct/>
                    <w:topLinePunct w:val="0"/>
                    <w:autoSpaceDE/>
                    <w:autoSpaceDN/>
                    <w:bidi w:val="0"/>
                    <w:adjustRightInd/>
                    <w:snapToGrid/>
                    <w:ind w:left="0" w:right="0"/>
                    <w:jc w:val="center"/>
                    <w:textAlignment w:val="auto"/>
                    <w:rPr>
                      <w:rFonts w:ascii="Times New Roman"/>
                      <w:sz w:val="21"/>
                    </w:rPr>
                  </w:pPr>
                  <w:r>
                    <w:rPr>
                      <w:rFonts w:ascii="Times New Roman"/>
                      <w:sz w:val="21"/>
                    </w:rPr>
                    <w:t>60</w:t>
                  </w:r>
                </w:p>
              </w:tc>
            </w:tr>
          </w:tbl>
          <w:p>
            <w:pPr>
              <w:numPr>
                <w:ilvl w:val="0"/>
                <w:numId w:val="0"/>
              </w:numPr>
              <w:spacing w:line="360" w:lineRule="auto"/>
              <w:rPr>
                <w:rFonts w:hint="eastAsia" w:ascii="Times New Roman" w:hAnsi="Times New Roman" w:cs="Times New Roman"/>
                <w:b/>
                <w:bCs/>
                <w:color w:val="auto"/>
                <w:sz w:val="24"/>
                <w:szCs w:val="24"/>
                <w:lang w:val="en-US" w:eastAsia="zh-CN"/>
              </w:rPr>
            </w:pPr>
          </w:p>
          <w:p>
            <w:pPr>
              <w:numPr>
                <w:ilvl w:val="0"/>
                <w:numId w:val="0"/>
              </w:numPr>
              <w:spacing w:line="360" w:lineRule="auto"/>
              <w:rPr>
                <w:rFonts w:hint="eastAsia" w:ascii="Times New Roman" w:hAnsi="Times New Roman" w:cs="Times New Roman"/>
                <w:b/>
                <w:bCs/>
                <w:color w:val="auto"/>
                <w:sz w:val="24"/>
                <w:szCs w:val="24"/>
                <w:lang w:val="en-US" w:eastAsia="zh-CN"/>
              </w:rPr>
            </w:pPr>
            <w:r>
              <w:rPr>
                <w:rFonts w:hint="eastAsia" w:ascii="Times New Roman" w:hAnsi="Times New Roman" w:cs="Times New Roman"/>
                <w:b/>
                <w:bCs/>
                <w:color w:val="auto"/>
                <w:sz w:val="24"/>
                <w:szCs w:val="24"/>
                <w:lang w:val="en-US" w:eastAsia="zh-CN"/>
              </w:rPr>
              <w:t>3、噪声排放标准</w:t>
            </w:r>
          </w:p>
          <w:bookmarkEnd w:id="1"/>
          <w:p>
            <w:pPr>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项目运</w:t>
            </w:r>
            <w:r>
              <w:rPr>
                <w:rFonts w:hint="default" w:ascii="Times New Roman" w:hAnsi="Times New Roman" w:cs="Times New Roman"/>
                <w:color w:val="auto"/>
                <w:sz w:val="24"/>
                <w:szCs w:val="24"/>
                <w:lang w:val="en-US" w:eastAsia="zh-CN"/>
              </w:rPr>
              <w:t>营运期厂界噪声执行《工业企业厂界环境噪声排放标准》（GB12348-2008）中</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val="en-US" w:eastAsia="zh-CN"/>
              </w:rPr>
              <w:t>类标准。</w:t>
            </w:r>
          </w:p>
          <w:p>
            <w:pPr>
              <w:spacing w:line="360" w:lineRule="auto"/>
              <w:jc w:val="center"/>
              <w:rPr>
                <w:rFonts w:hint="eastAsia" w:ascii="黑体" w:hAnsi="黑体" w:eastAsia="黑体" w:cs="黑体"/>
                <w:b w:val="0"/>
                <w:bCs/>
                <w:color w:val="auto"/>
                <w:sz w:val="21"/>
                <w:szCs w:val="21"/>
              </w:rPr>
            </w:pPr>
            <w:r>
              <w:rPr>
                <w:rFonts w:hint="eastAsia" w:ascii="黑体" w:hAnsi="黑体" w:eastAsia="黑体" w:cs="黑体"/>
                <w:b w:val="0"/>
                <w:bCs/>
                <w:color w:val="auto"/>
                <w:sz w:val="21"/>
                <w:szCs w:val="21"/>
              </w:rPr>
              <w:t>表</w:t>
            </w:r>
            <w:r>
              <w:rPr>
                <w:rFonts w:hint="eastAsia" w:ascii="黑体" w:hAnsi="黑体" w:eastAsia="黑体" w:cs="黑体"/>
                <w:b w:val="0"/>
                <w:bCs/>
                <w:color w:val="auto"/>
                <w:sz w:val="21"/>
                <w:szCs w:val="21"/>
                <w:lang w:val="en-US" w:eastAsia="zh-CN"/>
              </w:rPr>
              <w:t>1-4</w:t>
            </w:r>
            <w:r>
              <w:rPr>
                <w:rFonts w:hint="eastAsia" w:ascii="黑体" w:hAnsi="黑体" w:eastAsia="黑体" w:cs="黑体"/>
                <w:b w:val="0"/>
                <w:bCs/>
                <w:color w:val="auto"/>
                <w:sz w:val="21"/>
                <w:szCs w:val="21"/>
              </w:rPr>
              <w:t xml:space="preserve"> 噪声排放标准限值</w:t>
            </w:r>
          </w:p>
          <w:tbl>
            <w:tblPr>
              <w:tblStyle w:val="23"/>
              <w:tblW w:w="737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727"/>
              <w:gridCol w:w="2321"/>
              <w:gridCol w:w="232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2727"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w:t>
                  </w:r>
                </w:p>
              </w:tc>
              <w:tc>
                <w:tcPr>
                  <w:tcW w:w="464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标准值</w:t>
                  </w:r>
                  <w:r>
                    <w:rPr>
                      <w:rFonts w:hint="default" w:ascii="Times New Roman" w:hAnsi="Times New Roman" w:cs="Times New Roman"/>
                      <w:b w:val="0"/>
                      <w:bCs/>
                      <w:color w:val="auto"/>
                      <w:sz w:val="21"/>
                      <w:szCs w:val="21"/>
                    </w:rPr>
                    <w:t>（dB（A））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昼间</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夜间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72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类标准</w:t>
                  </w:r>
                </w:p>
              </w:tc>
              <w:tc>
                <w:tcPr>
                  <w:tcW w:w="232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60</w:t>
                  </w:r>
                </w:p>
              </w:tc>
              <w:tc>
                <w:tcPr>
                  <w:tcW w:w="23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50</w:t>
                  </w:r>
                </w:p>
              </w:tc>
            </w:tr>
          </w:tbl>
          <w:p>
            <w:pPr>
              <w:pStyle w:val="4"/>
              <w:spacing w:line="360" w:lineRule="auto"/>
              <w:rPr>
                <w:rFonts w:hint="default" w:ascii="Times New Roman" w:hAnsi="Times New Roman" w:cs="Times New Roman"/>
                <w:b/>
                <w:bCs w:val="0"/>
                <w:color w:val="auto"/>
                <w:sz w:val="24"/>
                <w:szCs w:val="24"/>
                <w:lang w:val="en-US" w:eastAsia="zh-CN"/>
              </w:rPr>
            </w:pPr>
            <w:bookmarkStart w:id="2" w:name="_Toc24319"/>
            <w:r>
              <w:rPr>
                <w:rFonts w:hint="eastAsia" w:cs="Times New Roman"/>
                <w:b/>
                <w:bCs w:val="0"/>
                <w:color w:val="auto"/>
                <w:sz w:val="24"/>
                <w:szCs w:val="24"/>
                <w:lang w:val="en-US" w:eastAsia="zh-CN"/>
              </w:rPr>
              <w:t>4</w:t>
            </w:r>
            <w:r>
              <w:rPr>
                <w:rFonts w:hint="default" w:ascii="Times New Roman" w:hAnsi="Times New Roman" w:cs="Times New Roman"/>
                <w:b/>
                <w:bCs w:val="0"/>
                <w:color w:val="auto"/>
                <w:sz w:val="24"/>
                <w:szCs w:val="24"/>
                <w:lang w:val="en-US" w:eastAsia="zh-CN"/>
              </w:rPr>
              <w:t>、固体废物</w:t>
            </w:r>
            <w:bookmarkEnd w:id="2"/>
          </w:p>
          <w:p>
            <w:pPr>
              <w:spacing w:line="360" w:lineRule="auto"/>
              <w:ind w:left="0" w:leftChars="0" w:firstLine="480" w:firstLineChars="200"/>
              <w:jc w:val="both"/>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一般固体废弃物执行《一般工业固体废物贮存和填埋污染控制标准》(GB18599-2020)要求；危险废物执行《危险废物贮存污染控制标准》（GB18597-2001）及2013年修改单要求。</w:t>
            </w:r>
          </w:p>
          <w:p>
            <w:pPr>
              <w:pStyle w:val="31"/>
              <w:ind w:firstLine="480" w:firstLineChars="200"/>
              <w:jc w:val="both"/>
              <w:rPr>
                <w:rFonts w:hint="default" w:cs="Times New Roman" w:eastAsiaTheme="minorEastAsia"/>
                <w:color w:val="0000FF"/>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914" w:hRule="atLeast"/>
          <w:jc w:val="center"/>
        </w:trPr>
        <w:tc>
          <w:tcPr>
            <w:tcW w:w="1458" w:type="dxa"/>
            <w:vAlign w:val="center"/>
          </w:tcPr>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总量</w:t>
            </w:r>
          </w:p>
          <w:p>
            <w:pPr>
              <w:spacing w:line="240" w:lineRule="auto"/>
              <w:jc w:val="center"/>
              <w:rPr>
                <w:rFonts w:hint="eastAsia" w:ascii="宋体" w:hAnsi="宋体" w:eastAsia="宋体" w:cs="宋体"/>
                <w:b w:val="0"/>
                <w:bCs w:val="0"/>
                <w:color w:val="auto"/>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控制</w:t>
            </w:r>
          </w:p>
          <w:p>
            <w:pPr>
              <w:spacing w:line="240" w:lineRule="auto"/>
              <w:jc w:val="center"/>
              <w:rPr>
                <w:rFonts w:hint="default" w:ascii="宋体" w:hAnsi="宋体" w:eastAsia="宋体" w:cs="宋体"/>
                <w:b w:val="0"/>
                <w:bCs w:val="0"/>
                <w:color w:val="0000FF"/>
                <w:kern w:val="0"/>
                <w:sz w:val="24"/>
                <w:szCs w:val="24"/>
                <w:vertAlign w:val="baseline"/>
                <w:lang w:val="en-US" w:eastAsia="zh-CN"/>
              </w:rPr>
            </w:pPr>
            <w:r>
              <w:rPr>
                <w:rFonts w:hint="eastAsia" w:ascii="宋体" w:hAnsi="宋体" w:eastAsia="宋体" w:cs="宋体"/>
                <w:b w:val="0"/>
                <w:bCs w:val="0"/>
                <w:color w:val="auto"/>
                <w:kern w:val="0"/>
                <w:sz w:val="24"/>
                <w:szCs w:val="24"/>
                <w:vertAlign w:val="baseline"/>
                <w:lang w:val="en-US" w:eastAsia="zh-CN"/>
              </w:rPr>
              <w:t>指标</w:t>
            </w:r>
          </w:p>
        </w:tc>
        <w:tc>
          <w:tcPr>
            <w:tcW w:w="7613" w:type="dxa"/>
            <w:gridSpan w:val="11"/>
            <w:vAlign w:val="center"/>
          </w:tcPr>
          <w:p>
            <w:pPr>
              <w:pStyle w:val="31"/>
              <w:keepNext w:val="0"/>
              <w:keepLines w:val="0"/>
              <w:pageBreakBefore w:val="0"/>
              <w:widowControl w:val="0"/>
              <w:kinsoku/>
              <w:wordWrap/>
              <w:overflowPunct/>
              <w:topLinePunct w:val="0"/>
              <w:autoSpaceDE w:val="0"/>
              <w:autoSpaceDN w:val="0"/>
              <w:bidi w:val="0"/>
              <w:adjustRightInd w:val="0"/>
              <w:snapToGrid/>
              <w:ind w:firstLine="480" w:firstLineChars="200"/>
              <w:jc w:val="both"/>
              <w:textAlignment w:val="auto"/>
              <w:rPr>
                <w:rFonts w:ascii="Times New Roman" w:hAnsi="宋体"/>
                <w:color w:val="auto"/>
                <w:sz w:val="24"/>
                <w:szCs w:val="24"/>
              </w:rPr>
            </w:pPr>
            <w:r>
              <w:rPr>
                <w:rFonts w:hint="eastAsia" w:ascii="Times New Roman" w:hAnsi="宋体"/>
                <w:color w:val="auto"/>
                <w:sz w:val="24"/>
                <w:szCs w:val="24"/>
                <w:lang w:val="en-US" w:eastAsia="zh-CN"/>
              </w:rPr>
              <w:t>项目纳入总量控制要求的主要污染物是</w:t>
            </w:r>
            <w:r>
              <w:rPr>
                <w:rFonts w:hint="default" w:ascii="Times New Roman" w:hAnsi="宋体"/>
                <w:color w:val="auto"/>
                <w:sz w:val="24"/>
                <w:szCs w:val="24"/>
                <w:lang w:val="en-US" w:eastAsia="zh-CN"/>
              </w:rPr>
              <w:t>VOCs</w:t>
            </w:r>
            <w:r>
              <w:rPr>
                <w:rFonts w:hint="eastAsia" w:ascii="Times New Roman" w:hAnsi="宋体"/>
                <w:color w:val="auto"/>
                <w:sz w:val="24"/>
                <w:szCs w:val="24"/>
                <w:lang w:val="en-US" w:eastAsia="zh-CN"/>
              </w:rPr>
              <w:t>（以非甲烷总烃计）、颗粒物。</w:t>
            </w:r>
          </w:p>
          <w:p>
            <w:pPr>
              <w:pStyle w:val="31"/>
              <w:keepNext w:val="0"/>
              <w:keepLines w:val="0"/>
              <w:pageBreakBefore w:val="0"/>
              <w:widowControl w:val="0"/>
              <w:kinsoku/>
              <w:wordWrap/>
              <w:overflowPunct/>
              <w:topLinePunct w:val="0"/>
              <w:autoSpaceDE w:val="0"/>
              <w:autoSpaceDN w:val="0"/>
              <w:bidi w:val="0"/>
              <w:adjustRightInd w:val="0"/>
              <w:snapToGrid/>
              <w:ind w:firstLine="480" w:firstLineChars="200"/>
              <w:jc w:val="both"/>
              <w:textAlignment w:val="auto"/>
              <w:rPr>
                <w:rFonts w:ascii="Times New Roman" w:hAnsi="宋体"/>
                <w:color w:val="auto"/>
                <w:sz w:val="24"/>
                <w:szCs w:val="24"/>
              </w:rPr>
            </w:pPr>
            <w:r>
              <w:rPr>
                <w:rFonts w:hint="eastAsia" w:ascii="Times New Roman" w:hAnsi="宋体"/>
                <w:color w:val="auto"/>
                <w:sz w:val="24"/>
                <w:szCs w:val="24"/>
                <w:lang w:val="en-US" w:eastAsia="zh-CN"/>
              </w:rPr>
              <w:t>（</w:t>
            </w:r>
            <w:r>
              <w:rPr>
                <w:rFonts w:hint="default" w:ascii="Times New Roman" w:hAnsi="宋体"/>
                <w:color w:val="auto"/>
                <w:sz w:val="24"/>
                <w:szCs w:val="24"/>
                <w:lang w:val="en-US" w:eastAsia="zh-CN"/>
              </w:rPr>
              <w:t>1</w:t>
            </w:r>
            <w:r>
              <w:rPr>
                <w:rFonts w:hint="eastAsia" w:ascii="Times New Roman" w:hAnsi="宋体"/>
                <w:color w:val="auto"/>
                <w:sz w:val="24"/>
                <w:szCs w:val="24"/>
                <w:lang w:val="en-US" w:eastAsia="zh-CN"/>
              </w:rPr>
              <w:t>）</w:t>
            </w:r>
            <w:r>
              <w:rPr>
                <w:rFonts w:hint="default" w:ascii="Times New Roman" w:hAnsi="宋体"/>
                <w:color w:val="auto"/>
                <w:sz w:val="24"/>
                <w:szCs w:val="24"/>
                <w:lang w:val="en-US" w:eastAsia="zh-CN"/>
              </w:rPr>
              <w:t>VOCs</w:t>
            </w:r>
            <w:r>
              <w:rPr>
                <w:rFonts w:hint="eastAsia" w:ascii="Times New Roman" w:hAnsi="宋体"/>
                <w:color w:val="auto"/>
                <w:sz w:val="24"/>
                <w:szCs w:val="24"/>
                <w:lang w:val="en-US" w:eastAsia="zh-CN"/>
              </w:rPr>
              <w:t>（以非甲烷总烃计）：</w:t>
            </w:r>
            <w:r>
              <w:rPr>
                <w:rFonts w:hint="default" w:ascii="Times New Roman" w:hAnsi="宋体"/>
                <w:color w:val="auto"/>
                <w:sz w:val="24"/>
                <w:szCs w:val="24"/>
                <w:lang w:val="en-US" w:eastAsia="zh-CN"/>
              </w:rPr>
              <w:t>0.22t/a</w:t>
            </w:r>
            <w:r>
              <w:rPr>
                <w:rFonts w:hint="eastAsia" w:ascii="Times New Roman" w:hAnsi="宋体"/>
                <w:color w:val="auto"/>
                <w:sz w:val="24"/>
                <w:szCs w:val="24"/>
                <w:lang w:val="en-US" w:eastAsia="zh-CN"/>
              </w:rPr>
              <w:t xml:space="preserve">（以有组织排放计） </w:t>
            </w:r>
          </w:p>
          <w:p>
            <w:pPr>
              <w:pStyle w:val="31"/>
              <w:keepNext w:val="0"/>
              <w:keepLines w:val="0"/>
              <w:pageBreakBefore w:val="0"/>
              <w:widowControl w:val="0"/>
              <w:kinsoku/>
              <w:wordWrap/>
              <w:overflowPunct/>
              <w:topLinePunct w:val="0"/>
              <w:autoSpaceDE w:val="0"/>
              <w:autoSpaceDN w:val="0"/>
              <w:bidi w:val="0"/>
              <w:adjustRightInd w:val="0"/>
              <w:snapToGrid/>
              <w:ind w:firstLine="480" w:firstLineChars="200"/>
              <w:jc w:val="both"/>
              <w:textAlignment w:val="auto"/>
              <w:rPr>
                <w:rFonts w:ascii="Times New Roman" w:hAnsi="宋体"/>
                <w:color w:val="auto"/>
                <w:sz w:val="24"/>
                <w:szCs w:val="24"/>
              </w:rPr>
            </w:pPr>
            <w:r>
              <w:rPr>
                <w:rFonts w:hint="eastAsia" w:ascii="Times New Roman" w:hAnsi="宋体"/>
                <w:color w:val="auto"/>
                <w:sz w:val="24"/>
                <w:szCs w:val="24"/>
                <w:lang w:val="en-US" w:eastAsia="zh-CN"/>
              </w:rPr>
              <w:t>（</w:t>
            </w:r>
            <w:r>
              <w:rPr>
                <w:rFonts w:hint="default" w:ascii="Times New Roman" w:hAnsi="宋体"/>
                <w:color w:val="auto"/>
                <w:sz w:val="24"/>
                <w:szCs w:val="24"/>
                <w:lang w:val="en-US" w:eastAsia="zh-CN"/>
              </w:rPr>
              <w:t>2</w:t>
            </w:r>
            <w:r>
              <w:rPr>
                <w:rFonts w:hint="eastAsia" w:ascii="Times New Roman" w:hAnsi="宋体"/>
                <w:color w:val="auto"/>
                <w:sz w:val="24"/>
                <w:szCs w:val="24"/>
                <w:lang w:val="en-US" w:eastAsia="zh-CN"/>
              </w:rPr>
              <w:t>）颗粒物：</w:t>
            </w:r>
            <w:r>
              <w:rPr>
                <w:rFonts w:hint="default" w:ascii="Times New Roman" w:hAnsi="宋体"/>
                <w:color w:val="auto"/>
                <w:sz w:val="24"/>
                <w:szCs w:val="24"/>
                <w:lang w:val="en-US" w:eastAsia="zh-CN"/>
              </w:rPr>
              <w:t>0.112t/a</w:t>
            </w:r>
            <w:r>
              <w:rPr>
                <w:rFonts w:hint="eastAsia" w:ascii="Times New Roman" w:hAnsi="宋体"/>
                <w:color w:val="auto"/>
                <w:sz w:val="24"/>
                <w:szCs w:val="24"/>
                <w:lang w:val="en-US" w:eastAsia="zh-CN"/>
              </w:rPr>
              <w:t>（以有组织排放计）</w:t>
            </w:r>
          </w:p>
          <w:p>
            <w:pPr>
              <w:pStyle w:val="31"/>
              <w:jc w:val="both"/>
              <w:rPr>
                <w:rFonts w:ascii="Times New Roman" w:hAnsi="宋体"/>
                <w:color w:val="0000FF"/>
                <w:sz w:val="24"/>
                <w:szCs w:val="24"/>
              </w:rPr>
            </w:pPr>
          </w:p>
          <w:p>
            <w:pPr>
              <w:pStyle w:val="31"/>
              <w:ind w:left="0" w:leftChars="0" w:firstLine="0" w:firstLineChars="0"/>
              <w:jc w:val="both"/>
              <w:rPr>
                <w:rFonts w:hint="default" w:ascii="Times New Roman" w:hAnsi="宋体"/>
                <w:color w:val="0000FF"/>
                <w:sz w:val="24"/>
                <w:szCs w:val="24"/>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3" w:name="_Toc29545"/>
      <w:bookmarkStart w:id="4" w:name="_Toc588"/>
      <w:bookmarkStart w:id="5" w:name="_Toc15208"/>
      <w:r>
        <w:rPr>
          <w:rFonts w:hint="eastAsia"/>
          <w:color w:val="auto"/>
          <w:lang w:val="en-US" w:eastAsia="zh-CN"/>
        </w:rPr>
        <w:t>表二 工程内容</w:t>
      </w:r>
      <w:bookmarkEnd w:id="3"/>
      <w:bookmarkEnd w:id="4"/>
      <w:bookmarkEnd w:id="5"/>
    </w:p>
    <w:tbl>
      <w:tblPr>
        <w:tblStyle w:val="23"/>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66" w:type="dxa"/>
            <w:vAlign w:val="top"/>
          </w:tcPr>
          <w:p>
            <w:pPr>
              <w:pStyle w:val="4"/>
              <w:spacing w:line="360" w:lineRule="auto"/>
              <w:rPr>
                <w:rFonts w:hint="eastAsia"/>
                <w:color w:val="auto"/>
                <w:lang w:val="en-US" w:eastAsia="zh-CN"/>
              </w:rPr>
            </w:pPr>
            <w:bookmarkStart w:id="6" w:name="_Toc4268"/>
            <w:r>
              <w:rPr>
                <w:rFonts w:hint="eastAsia"/>
                <w:color w:val="auto"/>
                <w:lang w:val="en-US" w:eastAsia="zh-CN"/>
              </w:rPr>
              <w:t>2.1 工程建设内容</w:t>
            </w:r>
            <w:bookmarkEnd w:id="6"/>
          </w:p>
          <w:p>
            <w:pPr>
              <w:widowControl/>
              <w:autoSpaceDE w:val="0"/>
              <w:autoSpaceDN w:val="0"/>
              <w:adjustRightInd w:val="0"/>
              <w:spacing w:line="360" w:lineRule="auto"/>
              <w:jc w:val="left"/>
              <w:rPr>
                <w:rFonts w:hint="eastAsia" w:ascii="Times New Roman" w:hAnsi="Times New Roman" w:cs="Times New Roman"/>
                <w:b/>
                <w:bCs/>
                <w:color w:val="auto"/>
                <w:kern w:val="24"/>
                <w:sz w:val="24"/>
                <w:lang w:val="en-US" w:eastAsia="zh-CN"/>
              </w:rPr>
            </w:pPr>
            <w:r>
              <w:rPr>
                <w:rFonts w:hint="eastAsia" w:ascii="Times New Roman" w:hAnsi="Times New Roman" w:cs="Times New Roman"/>
                <w:b/>
                <w:bCs/>
                <w:color w:val="auto"/>
                <w:kern w:val="24"/>
                <w:sz w:val="24"/>
                <w:lang w:val="en-US" w:eastAsia="zh-CN"/>
              </w:rPr>
              <w:t>2.1.1工程主要内容</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eastAsia" w:hAnsi="Times New Roman" w:eastAsia="宋体" w:cs="Times New Roman"/>
                <w:color w:val="auto"/>
                <w:sz w:val="24"/>
                <w:szCs w:val="24"/>
                <w:lang w:val="en-US" w:eastAsia="zh-CN"/>
              </w:rPr>
              <w:t>安徽建诚展览展示服务有限公司</w:t>
            </w:r>
            <w:r>
              <w:rPr>
                <w:rFonts w:hint="eastAsia" w:ascii="Times New Roman" w:hAnsi="Times New Roman" w:eastAsia="宋体" w:cs="Times New Roman"/>
                <w:color w:val="auto"/>
                <w:sz w:val="24"/>
                <w:szCs w:val="24"/>
                <w:lang w:val="en-US" w:eastAsia="zh-CN"/>
              </w:rPr>
              <w:t>（以下简称“我单位”）</w:t>
            </w:r>
            <w:r>
              <w:rPr>
                <w:rFonts w:hint="default" w:ascii="Times New Roman" w:hAnsi="Times New Roman" w:eastAsia="宋体" w:cs="Times New Roman"/>
                <w:color w:val="auto"/>
                <w:sz w:val="24"/>
                <w:szCs w:val="24"/>
                <w:lang w:val="en-US" w:eastAsia="zh-CN"/>
              </w:rPr>
              <w:t>投资</w:t>
            </w:r>
            <w:r>
              <w:rPr>
                <w:rFonts w:hint="eastAsia" w:hAnsi="Times New Roman" w:eastAsia="宋体" w:cs="Times New Roman"/>
                <w:color w:val="auto"/>
                <w:kern w:val="0"/>
                <w:sz w:val="24"/>
                <w:szCs w:val="24"/>
                <w:highlight w:val="none"/>
                <w:lang w:val="en-US" w:eastAsia="zh-CN"/>
              </w:rPr>
              <w:t>1000</w:t>
            </w:r>
            <w:r>
              <w:rPr>
                <w:rFonts w:hint="default" w:ascii="Times New Roman" w:hAnsi="Times New Roman" w:eastAsia="宋体" w:cs="Times New Roman"/>
                <w:color w:val="auto"/>
                <w:sz w:val="24"/>
                <w:szCs w:val="24"/>
                <w:lang w:val="en-US" w:eastAsia="zh-CN"/>
              </w:rPr>
              <w:t>万元在</w:t>
            </w:r>
            <w:r>
              <w:rPr>
                <w:rFonts w:hint="eastAsia" w:hAnsi="Times New Roman" w:eastAsia="宋体" w:cs="Times New Roman"/>
                <w:color w:val="auto"/>
                <w:sz w:val="24"/>
                <w:szCs w:val="24"/>
                <w:lang w:val="en-US" w:eastAsia="zh-CN"/>
              </w:rPr>
              <w:t>桐城市孔城镇高桥工业集中区</w:t>
            </w:r>
            <w:r>
              <w:rPr>
                <w:rFonts w:hint="default" w:ascii="Times New Roman" w:hAnsi="Times New Roman" w:eastAsia="宋体" w:cs="Times New Roman"/>
                <w:color w:val="auto"/>
                <w:sz w:val="24"/>
                <w:szCs w:val="24"/>
                <w:lang w:val="en-US" w:eastAsia="zh-CN"/>
              </w:rPr>
              <w:t>新建</w:t>
            </w:r>
            <w:r>
              <w:rPr>
                <w:rFonts w:hint="eastAsia" w:ascii="Times New Roman" w:hAnsi="Times New Roman" w:eastAsia="宋体" w:cs="Times New Roman"/>
                <w:color w:val="auto"/>
                <w:sz w:val="24"/>
                <w:szCs w:val="24"/>
                <w:lang w:val="en-US" w:eastAsia="zh-CN"/>
              </w:rPr>
              <w:t>“</w:t>
            </w:r>
            <w:r>
              <w:rPr>
                <w:rFonts w:hint="eastAsia" w:hAnsi="Times New Roman" w:eastAsia="宋体" w:cs="Times New Roman"/>
                <w:color w:val="auto"/>
                <w:sz w:val="24"/>
                <w:szCs w:val="24"/>
                <w:lang w:val="en-US" w:eastAsia="zh-CN"/>
              </w:rPr>
              <w:t>年产3000套展台展具智能生产线项目</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w:t>
            </w:r>
            <w:r>
              <w:rPr>
                <w:rFonts w:hint="eastAsia" w:hAnsi="Times New Roman" w:eastAsia="宋体" w:cs="Times New Roman"/>
                <w:color w:val="auto"/>
                <w:sz w:val="24"/>
                <w:szCs w:val="24"/>
                <w:lang w:val="en-US" w:eastAsia="zh-CN"/>
              </w:rPr>
              <w:t>占地</w:t>
            </w:r>
            <w:r>
              <w:rPr>
                <w:rFonts w:hint="default" w:ascii="Times New Roman" w:hAnsi="Times New Roman" w:eastAsia="宋体" w:cs="Times New Roman"/>
                <w:color w:val="auto"/>
                <w:sz w:val="24"/>
                <w:szCs w:val="24"/>
                <w:lang w:val="en-US" w:eastAsia="zh-CN"/>
              </w:rPr>
              <w:t>面积</w:t>
            </w:r>
            <w:r>
              <w:rPr>
                <w:rFonts w:hint="eastAsia" w:hAnsi="Times New Roman" w:eastAsia="宋体" w:cs="Times New Roman"/>
                <w:color w:val="auto"/>
                <w:sz w:val="24"/>
                <w:szCs w:val="24"/>
                <w:lang w:val="en-US" w:eastAsia="zh-CN"/>
              </w:rPr>
              <w:t>3643m</w:t>
            </w:r>
            <w:r>
              <w:rPr>
                <w:rFonts w:hint="eastAsia"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；主要建设</w:t>
            </w:r>
            <w:r>
              <w:rPr>
                <w:rFonts w:hint="eastAsia" w:hAnsi="Times New Roman" w:eastAsia="宋体" w:cs="Times New Roman"/>
                <w:color w:val="auto"/>
                <w:sz w:val="24"/>
                <w:szCs w:val="24"/>
                <w:lang w:val="en-US" w:eastAsia="zh-CN"/>
              </w:rPr>
              <w:t>一条年产3000套展台展具智能生产线。</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月，本项目经桐城市</w:t>
            </w:r>
            <w:r>
              <w:rPr>
                <w:rFonts w:hint="eastAsia" w:ascii="Times New Roman" w:hAnsi="Times New Roman" w:cs="Times New Roman"/>
                <w:color w:val="auto"/>
                <w:sz w:val="24"/>
                <w:szCs w:val="24"/>
                <w:lang w:val="en-US" w:eastAsia="zh-CN"/>
              </w:rPr>
              <w:t>经济开发区管理委员会</w:t>
            </w:r>
            <w:r>
              <w:rPr>
                <w:rFonts w:hint="default" w:ascii="Times New Roman" w:hAnsi="Times New Roman" w:cs="Times New Roman"/>
                <w:color w:val="auto"/>
                <w:sz w:val="24"/>
                <w:szCs w:val="24"/>
              </w:rPr>
              <w:t>备案（桐经</w:t>
            </w:r>
            <w:r>
              <w:rPr>
                <w:rFonts w:hint="eastAsia" w:ascii="Times New Roman" w:hAnsi="Times New Roman" w:cs="Times New Roman"/>
                <w:color w:val="auto"/>
                <w:sz w:val="24"/>
                <w:szCs w:val="24"/>
                <w:lang w:val="en-US" w:eastAsia="zh-CN"/>
              </w:rPr>
              <w:t>开项</w:t>
            </w: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3</w:t>
            </w:r>
            <w:r>
              <w:rPr>
                <w:rFonts w:hint="default" w:ascii="Times New Roman" w:hAnsi="Times New Roman" w:cs="Times New Roman"/>
                <w:color w:val="auto"/>
                <w:sz w:val="24"/>
                <w:szCs w:val="24"/>
              </w:rPr>
              <w:t>号）。随后，</w:t>
            </w:r>
            <w:r>
              <w:rPr>
                <w:rFonts w:hint="eastAsia" w:ascii="Times New Roman" w:hAnsi="Times New Roman" w:cs="Times New Roman"/>
                <w:color w:val="auto"/>
                <w:sz w:val="24"/>
                <w:szCs w:val="24"/>
                <w:lang w:eastAsia="zh-CN"/>
              </w:rPr>
              <w:t>安徽禾美环保集团有限公司</w:t>
            </w:r>
            <w:r>
              <w:rPr>
                <w:rFonts w:hint="default" w:ascii="Times New Roman" w:hAnsi="Times New Roman" w:cs="Times New Roman"/>
                <w:color w:val="auto"/>
                <w:sz w:val="24"/>
                <w:szCs w:val="24"/>
              </w:rPr>
              <w:t>编制了本项目环境影响报告表并报送至桐城市</w:t>
            </w:r>
            <w:r>
              <w:rPr>
                <w:rFonts w:hint="eastAsia" w:ascii="Times New Roman" w:hAnsi="Times New Roman" w:cs="Times New Roman"/>
                <w:color w:val="auto"/>
                <w:sz w:val="24"/>
                <w:szCs w:val="24"/>
                <w:lang w:val="en-US" w:eastAsia="zh-CN"/>
              </w:rPr>
              <w:t>生态环境分局</w:t>
            </w: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15</w:t>
            </w:r>
            <w:r>
              <w:rPr>
                <w:rFonts w:hint="default" w:ascii="Times New Roman" w:hAnsi="Times New Roman" w:cs="Times New Roman"/>
                <w:color w:val="auto"/>
                <w:sz w:val="24"/>
                <w:szCs w:val="24"/>
              </w:rPr>
              <w:t>日，原桐城市环境保护局对本项目环境影响报告表进行审批（</w:t>
            </w:r>
            <w:r>
              <w:rPr>
                <w:rFonts w:hint="eastAsia" w:ascii="Times New Roman" w:hAnsi="Times New Roman" w:cs="Times New Roman"/>
                <w:color w:val="auto"/>
                <w:sz w:val="24"/>
                <w:szCs w:val="24"/>
                <w:lang w:val="en-US" w:eastAsia="zh-CN"/>
              </w:rPr>
              <w:t>宜桐</w:t>
            </w:r>
            <w:r>
              <w:rPr>
                <w:rFonts w:hint="default" w:ascii="Times New Roman" w:hAnsi="Times New Roman" w:cs="Times New Roman"/>
                <w:color w:val="auto"/>
                <w:sz w:val="24"/>
                <w:szCs w:val="24"/>
              </w:rPr>
              <w:t>环建函[20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072</w:t>
            </w:r>
            <w:r>
              <w:rPr>
                <w:rFonts w:hint="default" w:ascii="Times New Roman" w:hAnsi="Times New Roman" w:cs="Times New Roman"/>
                <w:color w:val="auto"/>
                <w:sz w:val="24"/>
                <w:szCs w:val="24"/>
              </w:rPr>
              <w:t>号），</w:t>
            </w:r>
            <w:r>
              <w:rPr>
                <w:rFonts w:hint="eastAsia" w:ascii="Times New Roman" w:hAnsi="Times New Roman" w:cs="Times New Roman"/>
                <w:color w:val="auto"/>
                <w:sz w:val="24"/>
                <w:szCs w:val="24"/>
                <w:lang w:eastAsia="zh-CN"/>
              </w:rPr>
              <w:t>安徽建诚展览展示服务有限公司</w:t>
            </w:r>
            <w:r>
              <w:rPr>
                <w:rFonts w:hint="default" w:ascii="Times New Roman" w:hAnsi="Times New Roman" w:cs="Times New Roman"/>
                <w:color w:val="auto"/>
                <w:sz w:val="24"/>
                <w:szCs w:val="24"/>
              </w:rPr>
              <w:t>根据</w:t>
            </w:r>
            <w:r>
              <w:rPr>
                <w:rFonts w:hint="eastAsia" w:ascii="Times New Roman" w:hAnsi="Times New Roman" w:cs="Times New Roman"/>
                <w:color w:val="auto"/>
                <w:sz w:val="24"/>
                <w:szCs w:val="24"/>
                <w:lang w:eastAsia="zh-CN"/>
              </w:rPr>
              <w:t>桐城市生态环境分局</w:t>
            </w:r>
            <w:r>
              <w:rPr>
                <w:rFonts w:hint="default" w:ascii="Times New Roman" w:hAnsi="Times New Roman" w:cs="Times New Roman"/>
                <w:color w:val="auto"/>
                <w:sz w:val="24"/>
                <w:szCs w:val="24"/>
              </w:rPr>
              <w:t>对本项目的审批意见，全面落实报告表及其审批意见中提出的各项污染防治措施，对本项目的环境保护设施进行设计建设。2022年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月，我公司委托安徽工和环境监测有限责任公司对本项目项目进行竣工环境保护验收监测。</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cs="Times New Roman"/>
                <w:color w:val="auto"/>
                <w:sz w:val="24"/>
                <w:szCs w:val="24"/>
              </w:rPr>
              <w:t>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ascii="Times New Roman" w:hAnsi="Times New Roman" w:cs="Times New Roman"/>
                <w:color w:val="auto"/>
                <w:sz w:val="24"/>
                <w:szCs w:val="24"/>
                <w:lang w:val="en-US" w:eastAsia="zh-CN"/>
              </w:rPr>
              <w:t>9</w:t>
            </w:r>
            <w:r>
              <w:rPr>
                <w:rFonts w:hint="default" w:ascii="Times New Roman" w:hAnsi="Times New Roman" w:cs="Times New Roman"/>
                <w:color w:val="auto"/>
                <w:sz w:val="24"/>
                <w:szCs w:val="24"/>
              </w:rPr>
              <w:t>月</w:t>
            </w:r>
            <w:r>
              <w:rPr>
                <w:rFonts w:hint="eastAsia" w:ascii="Times New Roman" w:hAnsi="Times New Roman" w:cs="Times New Roman"/>
                <w:color w:val="auto"/>
                <w:sz w:val="24"/>
                <w:szCs w:val="24"/>
                <w:lang w:val="en-US" w:eastAsia="zh-CN"/>
              </w:rPr>
              <w:t>30</w:t>
            </w:r>
            <w:r>
              <w:rPr>
                <w:rFonts w:hint="default" w:ascii="Times New Roman" w:hAnsi="Times New Roman" w:cs="Times New Roman"/>
                <w:color w:val="auto"/>
                <w:sz w:val="24"/>
                <w:szCs w:val="24"/>
              </w:rPr>
              <w:t>日</w:t>
            </w:r>
            <w:r>
              <w:rPr>
                <w:rFonts w:hint="eastAsia" w:ascii="Times New Roman" w:hAnsi="Times New Roman" w:cs="Times New Roman"/>
                <w:color w:val="auto"/>
                <w:sz w:val="24"/>
                <w:szCs w:val="24"/>
                <w:lang w:val="en-US" w:eastAsia="zh-CN"/>
              </w:rPr>
              <w:t>-7月1</w:t>
            </w:r>
            <w:r>
              <w:rPr>
                <w:rFonts w:hint="default" w:ascii="Times New Roman" w:hAnsi="Times New Roman" w:cs="Times New Roman"/>
                <w:color w:val="auto"/>
                <w:sz w:val="24"/>
                <w:szCs w:val="24"/>
              </w:rPr>
              <w:t>日</w:t>
            </w:r>
            <w:r>
              <w:rPr>
                <w:rFonts w:hint="default" w:ascii="Times New Roman" w:hAnsi="Times New Roman" w:cs="Times New Roman"/>
                <w:color w:val="auto"/>
                <w:sz w:val="24"/>
                <w:szCs w:val="24"/>
                <w:lang w:eastAsia="zh-CN"/>
              </w:rPr>
              <w:t>，</w:t>
            </w:r>
            <w:r>
              <w:rPr>
                <w:rFonts w:hint="eastAsia" w:cs="宋体"/>
                <w:b w:val="0"/>
                <w:bCs w:val="0"/>
                <w:color w:val="auto"/>
                <w:sz w:val="24"/>
                <w:szCs w:val="24"/>
                <w:lang w:eastAsia="zh-CN"/>
              </w:rPr>
              <w:t>我单位</w:t>
            </w:r>
            <w:r>
              <w:rPr>
                <w:rFonts w:hint="eastAsia" w:ascii="Times New Roman" w:hAnsi="Times New Roman" w:eastAsia="宋体" w:cs="Times New Roman"/>
                <w:color w:val="auto"/>
                <w:sz w:val="24"/>
                <w:szCs w:val="24"/>
                <w:lang w:val="en-US" w:eastAsia="zh-CN"/>
              </w:rPr>
              <w:t>将本项目</w:t>
            </w:r>
            <w:r>
              <w:rPr>
                <w:rFonts w:hint="default" w:ascii="Times New Roman" w:hAnsi="Times New Roman" w:cs="Times New Roman"/>
                <w:color w:val="auto"/>
                <w:sz w:val="24"/>
                <w:szCs w:val="24"/>
                <w:lang w:val="en-US" w:eastAsia="zh-CN"/>
              </w:rPr>
              <w:t>调整</w:t>
            </w:r>
            <w:r>
              <w:rPr>
                <w:rFonts w:hint="eastAsia" w:ascii="Times New Roman" w:hAnsi="Times New Roman" w:cs="Times New Roman"/>
                <w:color w:val="auto"/>
                <w:sz w:val="24"/>
                <w:szCs w:val="24"/>
                <w:lang w:val="en-US" w:eastAsia="zh-CN"/>
              </w:rPr>
              <w:t>生产运营工况</w:t>
            </w:r>
            <w:r>
              <w:rPr>
                <w:rFonts w:hint="default" w:ascii="Times New Roman" w:hAnsi="Times New Roman" w:cs="Times New Roman"/>
                <w:color w:val="auto"/>
                <w:sz w:val="24"/>
                <w:szCs w:val="24"/>
                <w:lang w:val="en-US" w:eastAsia="zh-CN"/>
              </w:rPr>
              <w:t>至稳定状态，</w:t>
            </w:r>
            <w:r>
              <w:rPr>
                <w:rFonts w:hint="default" w:ascii="Times New Roman" w:hAnsi="Times New Roman" w:eastAsia="宋体" w:cs="Times New Roman"/>
                <w:color w:val="auto"/>
                <w:sz w:val="24"/>
                <w:szCs w:val="24"/>
              </w:rPr>
              <w:t>安徽工和环境监测有限责任公司对该</w:t>
            </w:r>
            <w:r>
              <w:rPr>
                <w:rFonts w:hint="default"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rPr>
              <w:t>环境保护设施运行</w:t>
            </w:r>
            <w:r>
              <w:rPr>
                <w:rFonts w:hint="eastAsia" w:ascii="Times New Roman" w:hAnsi="Times New Roman" w:eastAsia="宋体" w:cs="Times New Roman"/>
                <w:color w:val="auto"/>
                <w:sz w:val="24"/>
                <w:szCs w:val="24"/>
                <w:lang w:eastAsia="zh-CN"/>
              </w:rPr>
              <w:t>工况</w:t>
            </w:r>
            <w:r>
              <w:rPr>
                <w:rFonts w:hint="default" w:ascii="Times New Roman" w:hAnsi="Times New Roman" w:eastAsia="宋体" w:cs="Times New Roman"/>
                <w:color w:val="auto"/>
                <w:sz w:val="24"/>
                <w:szCs w:val="24"/>
              </w:rPr>
              <w:t>进行现场勘察，并进行布点监测。</w:t>
            </w:r>
          </w:p>
          <w:p>
            <w:pPr>
              <w:keepNext w:val="0"/>
              <w:keepLines w:val="0"/>
              <w:pageBreakBefore w:val="0"/>
              <w:kinsoku/>
              <w:wordWrap/>
              <w:overflowPunct/>
              <w:topLinePunct w:val="0"/>
              <w:autoSpaceDE/>
              <w:autoSpaceDN/>
              <w:bidi w:val="0"/>
              <w:adjustRightInd/>
              <w:snapToGrid/>
              <w:spacing w:line="360" w:lineRule="auto"/>
              <w:ind w:firstLine="480" w:firstLineChars="200"/>
              <w:rPr>
                <w:rFonts w:hint="default" w:ascii="Times New Roman" w:hAnsi="Times New Roman" w:cs="Times New Roman"/>
                <w:b w:val="0"/>
                <w:bCs w:val="0"/>
                <w:color w:val="auto"/>
                <w:sz w:val="24"/>
                <w:lang w:val="en-US" w:eastAsia="zh-CN"/>
              </w:rPr>
            </w:pPr>
            <w:r>
              <w:rPr>
                <w:rFonts w:hint="eastAsia" w:ascii="Times New Roman" w:hAnsi="Times New Roman" w:eastAsia="宋体" w:cs="Times New Roman"/>
                <w:b w:val="0"/>
                <w:bCs w:val="0"/>
                <w:color w:val="auto"/>
                <w:sz w:val="24"/>
                <w:szCs w:val="24"/>
                <w:lang w:val="en-US" w:eastAsia="zh-CN"/>
              </w:rPr>
              <w:t>本项目</w:t>
            </w:r>
            <w:r>
              <w:rPr>
                <w:rFonts w:hint="default" w:ascii="Times New Roman" w:hAnsi="Times New Roman" w:cs="Times New Roman"/>
                <w:b w:val="0"/>
                <w:bCs w:val="0"/>
                <w:color w:val="auto"/>
                <w:sz w:val="24"/>
                <w:lang w:eastAsia="zh-CN"/>
              </w:rPr>
              <w:t>主要建设内容见</w:t>
            </w:r>
            <w:r>
              <w:rPr>
                <w:rFonts w:hint="eastAsia" w:ascii="Times New Roman" w:hAnsi="Times New Roman" w:cs="Times New Roman"/>
                <w:b w:val="0"/>
                <w:bCs w:val="0"/>
                <w:color w:val="auto"/>
                <w:sz w:val="24"/>
                <w:lang w:val="en-US" w:eastAsia="zh-CN"/>
              </w:rPr>
              <w:t>下</w:t>
            </w:r>
            <w:r>
              <w:rPr>
                <w:rFonts w:hint="default" w:ascii="Times New Roman" w:hAnsi="Times New Roman" w:cs="Times New Roman"/>
                <w:b w:val="0"/>
                <w:bCs w:val="0"/>
                <w:color w:val="auto"/>
                <w:sz w:val="24"/>
                <w:lang w:eastAsia="zh-CN"/>
              </w:rPr>
              <w:t>表</w:t>
            </w:r>
            <w:r>
              <w:rPr>
                <w:rFonts w:hint="default" w:ascii="Times New Roman" w:hAnsi="Times New Roman" w:cs="Times New Roman"/>
                <w:b w:val="0"/>
                <w:bCs w:val="0"/>
                <w:color w:val="auto"/>
                <w:sz w:val="24"/>
                <w:lang w:val="en-US" w:eastAsia="zh-CN"/>
              </w:rPr>
              <w:t>。</w:t>
            </w:r>
          </w:p>
          <w:p>
            <w:pPr>
              <w:spacing w:line="360" w:lineRule="auto"/>
              <w:jc w:val="center"/>
              <w:rPr>
                <w:rFonts w:hint="eastAsia" w:ascii="Times New Roman" w:hAnsi="Times New Roman" w:eastAsia="宋体" w:cs="Times New Roman"/>
                <w:b/>
                <w:color w:val="auto"/>
                <w:kern w:val="0"/>
                <w:sz w:val="21"/>
                <w:szCs w:val="21"/>
                <w:lang w:eastAsia="zh-CN"/>
              </w:rPr>
            </w:pPr>
            <w:r>
              <w:rPr>
                <w:rFonts w:hint="eastAsia" w:ascii="Times New Roman" w:hAnsi="Times New Roman" w:eastAsia="宋体" w:cs="Times New Roman"/>
                <w:b/>
                <w:color w:val="auto"/>
                <w:kern w:val="0"/>
                <w:sz w:val="21"/>
                <w:szCs w:val="21"/>
                <w:lang w:eastAsia="zh-CN"/>
              </w:rPr>
              <w:t>表</w:t>
            </w:r>
            <w:r>
              <w:rPr>
                <w:rFonts w:hint="eastAsia" w:ascii="Times New Roman" w:hAnsi="Times New Roman" w:eastAsia="宋体" w:cs="Times New Roman"/>
                <w:b/>
                <w:color w:val="auto"/>
                <w:kern w:val="0"/>
                <w:sz w:val="21"/>
                <w:szCs w:val="21"/>
                <w:lang w:val="en-US" w:eastAsia="zh-CN"/>
              </w:rPr>
              <w:t>2-1  本项目主要建设内容</w:t>
            </w:r>
          </w:p>
          <w:tbl>
            <w:tblPr>
              <w:tblStyle w:val="22"/>
              <w:tblW w:w="498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737"/>
              <w:gridCol w:w="1891"/>
              <w:gridCol w:w="3844"/>
              <w:gridCol w:w="265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项目内容</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val="en-US" w:eastAsia="zh-CN"/>
                    </w:rPr>
                    <w:t>环评中</w:t>
                  </w:r>
                  <w:r>
                    <w:rPr>
                      <w:rFonts w:hint="default" w:ascii="Times New Roman" w:hAnsi="Times New Roman" w:cs="Times New Roman"/>
                      <w:b/>
                      <w:bCs/>
                      <w:color w:val="auto"/>
                      <w:sz w:val="21"/>
                      <w:szCs w:val="21"/>
                    </w:rPr>
                    <w:t>建设内容</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实际建设情况</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主体工程</w:t>
                  </w:r>
                </w:p>
              </w:tc>
              <w:tc>
                <w:tcPr>
                  <w:tcW w:w="1036" w:type="pct"/>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rPr>
                    <w:t>木工工作区</w:t>
                  </w:r>
                </w:p>
              </w:tc>
              <w:tc>
                <w:tcPr>
                  <w:tcW w:w="2106" w:type="pct"/>
                  <w:tcBorders>
                    <w:bottom w:val="single" w:color="auto" w:sz="4" w:space="0"/>
                    <w:tl2br w:val="nil"/>
                    <w:tr2bl w:val="nil"/>
                  </w:tcBorders>
                  <w:noWrap w:val="0"/>
                  <w:vAlign w:val="center"/>
                </w:tcPr>
                <w:p>
                  <w:pPr>
                    <w:autoSpaceDE w:val="0"/>
                    <w:autoSpaceDN w:val="0"/>
                    <w:spacing w:line="240" w:lineRule="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位于项目所在厂房中部，共两个木工工作区，总面积约为900m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。主要原材料下料和木工装订组装，主要为木料开料、锯、刨、钻等工序操作工序，内含美工刻字车间，面积约17m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，用于部分有产品需求木制半成品的美工刻字。</w:t>
                  </w:r>
                </w:p>
              </w:tc>
              <w:tc>
                <w:tcPr>
                  <w:tcW w:w="1452" w:type="pct"/>
                  <w:tcBorders>
                    <w:bottom w:val="single" w:color="auto" w:sz="4" w:space="0"/>
                    <w:tl2br w:val="nil"/>
                    <w:tr2bl w:val="nil"/>
                  </w:tcBorders>
                  <w:noWrap w:val="0"/>
                  <w:vAlign w:val="center"/>
                </w:tcPr>
                <w:p>
                  <w:pPr>
                    <w:autoSpaceDE w:val="0"/>
                    <w:autoSpaceDN w:val="0"/>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已按照设计要求建设，设置两个木工工作区，木工工作区东北角为</w:t>
                  </w:r>
                  <w:r>
                    <w:rPr>
                      <w:rFonts w:hint="default" w:ascii="Times New Roman" w:hAnsi="Times New Roman" w:eastAsia="宋体" w:cs="Times New Roman"/>
                      <w:color w:val="auto"/>
                      <w:sz w:val="21"/>
                      <w:szCs w:val="21"/>
                      <w:lang w:val="en-US" w:eastAsia="zh-CN"/>
                    </w:rPr>
                    <w:t>美工刻字车间</w:t>
                  </w:r>
                  <w:r>
                    <w:rPr>
                      <w:rFonts w:hint="eastAsia" w:ascii="Times New Roman" w:hAnsi="Times New Roman" w:eastAsia="宋体" w:cs="Times New Roman"/>
                      <w:color w:val="auto"/>
                      <w:sz w:val="21"/>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机加工生产线</w:t>
                  </w:r>
                </w:p>
              </w:tc>
              <w:tc>
                <w:tcPr>
                  <w:tcW w:w="2106" w:type="pct"/>
                  <w:tcBorders>
                    <w:top w:val="single" w:color="auto" w:sz="4" w:space="0"/>
                    <w:tl2br w:val="nil"/>
                    <w:tr2bl w:val="nil"/>
                  </w:tcBorders>
                  <w:noWrap w:val="0"/>
                  <w:vAlign w:val="center"/>
                </w:tcPr>
                <w:p>
                  <w:pPr>
                    <w:autoSpaceDE w:val="0"/>
                    <w:autoSpaceDN w:val="0"/>
                    <w:spacing w:line="240" w:lineRule="auto"/>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位于项目所在厂房东北角，面积约153m</w:t>
                  </w:r>
                  <w:r>
                    <w:rPr>
                      <w:rFonts w:hint="default" w:ascii="Times New Roman" w:hAnsi="Times New Roman" w:cs="Times New Roman" w:eastAsiaTheme="minorEastAsia"/>
                      <w:color w:val="auto"/>
                      <w:sz w:val="21"/>
                      <w:szCs w:val="21"/>
                      <w:vertAlign w:val="superscript"/>
                      <w:lang w:val="en-US" w:eastAsia="zh-CN"/>
                    </w:rPr>
                    <w:t>2</w:t>
                  </w:r>
                  <w:r>
                    <w:rPr>
                      <w:rFonts w:hint="default" w:ascii="Times New Roman" w:hAnsi="Times New Roman" w:cs="Times New Roman" w:eastAsiaTheme="minorEastAsia"/>
                      <w:color w:val="auto"/>
                      <w:sz w:val="21"/>
                      <w:szCs w:val="21"/>
                      <w:lang w:val="en-US" w:eastAsia="zh-CN"/>
                    </w:rPr>
                    <w:t>。主要对原材料喷底漆后打磨，内含一台打磨设备。</w:t>
                  </w:r>
                </w:p>
              </w:tc>
              <w:tc>
                <w:tcPr>
                  <w:tcW w:w="1452" w:type="pct"/>
                  <w:tcBorders>
                    <w:top w:val="single" w:color="auto" w:sz="4" w:space="0"/>
                    <w:tl2br w:val="nil"/>
                    <w:tr2bl w:val="nil"/>
                  </w:tcBorders>
                  <w:noWrap w:val="0"/>
                  <w:vAlign w:val="center"/>
                </w:tcPr>
                <w:p>
                  <w:pPr>
                    <w:autoSpaceDE w:val="0"/>
                    <w:autoSpaceDN w:val="0"/>
                    <w:spacing w:line="240" w:lineRule="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底漆房和打磨房已按照设计建设，配备一套水帘喷涂设备和打磨设备。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涂装区</w:t>
                  </w:r>
                </w:p>
              </w:tc>
              <w:tc>
                <w:tcPr>
                  <w:tcW w:w="2106" w:type="pct"/>
                  <w:tcBorders>
                    <w:tl2br w:val="nil"/>
                    <w:tr2bl w:val="nil"/>
                  </w:tcBorders>
                  <w:noWrap w:val="0"/>
                  <w:vAlign w:val="center"/>
                </w:tcPr>
                <w:p>
                  <w:pPr>
                    <w:autoSpaceDE w:val="0"/>
                    <w:autoSpaceDN w:val="0"/>
                    <w:spacing w:line="240" w:lineRule="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位于项目所在厂房东北侧，内含一个烘干房，面积约130m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，主要用于半成品烘干；两个面漆房，各占40m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，用于刷面漆，各内置一个水淋设备；一个底漆房占地154m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，用于刷底漆，内置一个水淋设备。</w:t>
                  </w:r>
                </w:p>
              </w:tc>
              <w:tc>
                <w:tcPr>
                  <w:tcW w:w="1452" w:type="pct"/>
                  <w:tcBorders>
                    <w:tl2br w:val="nil"/>
                    <w:tr2bl w:val="nil"/>
                  </w:tcBorders>
                  <w:noWrap w:val="0"/>
                  <w:vAlign w:val="center"/>
                </w:tcPr>
                <w:p>
                  <w:pPr>
                    <w:autoSpaceDE w:val="0"/>
                    <w:autoSpaceDN w:val="0"/>
                    <w:spacing w:line="240" w:lineRule="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2个面漆房和1个烘干房均按设计建设，喷漆房内各设置一套水帘喷涂设备。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面漆待喷区</w:t>
                  </w:r>
                </w:p>
              </w:tc>
              <w:tc>
                <w:tcPr>
                  <w:tcW w:w="2106" w:type="pct"/>
                  <w:tcBorders>
                    <w:tl2br w:val="nil"/>
                    <w:tr2bl w:val="nil"/>
                  </w:tcBorders>
                  <w:noWrap w:val="0"/>
                  <w:vAlign w:val="center"/>
                </w:tcPr>
                <w:p>
                  <w:pPr>
                    <w:autoSpaceDE w:val="0"/>
                    <w:autoSpaceDN w:val="0"/>
                    <w:spacing w:line="240" w:lineRule="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位于项目所在厂房北部，占地面积约108m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，用于待喷漆产品的临时堆放。</w:t>
                  </w:r>
                </w:p>
              </w:tc>
              <w:tc>
                <w:tcPr>
                  <w:tcW w:w="1452" w:type="pct"/>
                  <w:tcBorders>
                    <w:tl2br w:val="nil"/>
                    <w:tr2bl w:val="nil"/>
                  </w:tcBorders>
                  <w:noWrap w:val="0"/>
                  <w:vAlign w:val="center"/>
                </w:tcPr>
                <w:p>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已按照设计建设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组装发货区</w:t>
                  </w:r>
                </w:p>
              </w:tc>
              <w:tc>
                <w:tcPr>
                  <w:tcW w:w="2106" w:type="pct"/>
                  <w:tcBorders>
                    <w:tl2br w:val="nil"/>
                    <w:tr2bl w:val="nil"/>
                  </w:tcBorders>
                  <w:noWrap w:val="0"/>
                  <w:vAlign w:val="center"/>
                </w:tcPr>
                <w:p>
                  <w:pPr>
                    <w:autoSpaceDE w:val="0"/>
                    <w:autoSpaceDN w:val="0"/>
                    <w:spacing w:line="240" w:lineRule="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位于项目所在厂房北部，占地面积162m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，用于待发货产品的临时堆放。</w:t>
                  </w:r>
                </w:p>
              </w:tc>
              <w:tc>
                <w:tcPr>
                  <w:tcW w:w="1452" w:type="pct"/>
                  <w:tcBorders>
                    <w:tl2br w:val="nil"/>
                    <w:tr2bl w:val="nil"/>
                  </w:tcBorders>
                  <w:noWrap w:val="0"/>
                  <w:vAlign w:val="center"/>
                </w:tcPr>
                <w:p>
                  <w:pPr>
                    <w:autoSpaceDE w:val="0"/>
                    <w:autoSpaceDN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已按照设计建设，临近出入口</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焊工区</w:t>
                  </w:r>
                </w:p>
              </w:tc>
              <w:tc>
                <w:tcPr>
                  <w:tcW w:w="2106" w:type="pct"/>
                  <w:tcBorders>
                    <w:tl2br w:val="nil"/>
                    <w:tr2bl w:val="nil"/>
                  </w:tcBorders>
                  <w:noWrap w:val="0"/>
                  <w:vAlign w:val="center"/>
                </w:tcPr>
                <w:p>
                  <w:pPr>
                    <w:autoSpaceDE w:val="0"/>
                    <w:autoSpaceDN w:val="0"/>
                    <w:spacing w:line="240" w:lineRule="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位于项目所在厂房东侧，面积约为345m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。主要进行铁质构件的切割、焊接、打磨。</w:t>
                  </w:r>
                </w:p>
              </w:tc>
              <w:tc>
                <w:tcPr>
                  <w:tcW w:w="1452" w:type="pct"/>
                  <w:tcBorders>
                    <w:tl2br w:val="nil"/>
                    <w:tr2bl w:val="nil"/>
                  </w:tcBorders>
                  <w:noWrap w:val="0"/>
                  <w:vAlign w:val="center"/>
                </w:tcPr>
                <w:p>
                  <w:pPr>
                    <w:autoSpaceDE w:val="0"/>
                    <w:autoSpaceDN w:val="0"/>
                    <w:spacing w:line="240" w:lineRule="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焊工区位于厂房西北侧，主要用于工件的焊接。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给排水</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项目供水由桐城市经开区给水管网供给，用水量：1845m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/a</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项目实行雨污分流，雨水排至市政雨水管，再排入龙眠河；项目水帘喷漆废水经隔渣+混凝气浮工艺处理后回用至水帘柜，不外排。生活污水经化粪池处理后进入经开区污水管网，再经桐城市城南污水处理厂处理达标后，最终进入龙眠河，项目排水量：1440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/a</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厂区用水接自桐城市开发区管网，雨污分流，最终排入龙眠河。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供电</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由桐城经济技术开发区供电，用电量：100万kw·h。</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供电由开发区供电管网提供</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辅助工程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办公间</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项目建设办公间，位于焊工区上方，新建2层楼，占地约920m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，主要用于职工生活、办公等。</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办公区位于焊接区域的上方2层办公间内，已建设。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位于项目所在厂房西西北部，占地面积约120m</w:t>
                  </w:r>
                  <w:r>
                    <w:rPr>
                      <w:rFonts w:hint="eastAsia" w:ascii="Times New Roman" w:hAnsi="Times New Roman" w:cs="Times New Roman"/>
                      <w:color w:val="auto"/>
                      <w:sz w:val="21"/>
                      <w:szCs w:val="21"/>
                      <w:vertAlign w:val="superscript"/>
                      <w:lang w:val="en-US" w:eastAsia="zh-CN"/>
                    </w:rPr>
                    <w:t>2</w:t>
                  </w:r>
                  <w:r>
                    <w:rPr>
                      <w:rFonts w:hint="eastAsia" w:ascii="Times New Roman" w:hAnsi="Times New Roman" w:cs="Times New Roman"/>
                      <w:color w:val="auto"/>
                      <w:sz w:val="21"/>
                      <w:szCs w:val="21"/>
                      <w:lang w:val="en-US" w:eastAsia="zh-CN"/>
                    </w:rPr>
                    <w:t>。</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食堂位于厂房西侧，临近道路。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储运工程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五金配件房</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位于项目所在厂房西南侧，面积约为20m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。主要用于存放各类五金用品</w:t>
                  </w:r>
                  <w:r>
                    <w:rPr>
                      <w:rFonts w:hint="eastAsia" w:ascii="Times New Roman" w:hAnsi="Times New Roman" w:eastAsia="宋体" w:cs="Times New Roman"/>
                      <w:color w:val="auto"/>
                      <w:sz w:val="21"/>
                      <w:szCs w:val="21"/>
                      <w:lang w:val="en-US" w:eastAsia="zh-CN"/>
                    </w:rPr>
                    <w:t>。</w:t>
                  </w:r>
                </w:p>
              </w:tc>
              <w:tc>
                <w:tcPr>
                  <w:tcW w:w="1452"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五金配件房、工具房、垫料仓库均按照设计建设，位于库存区西侧，食堂南侧</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工具房</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位于项目所在厂房南侧，面积约为15m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。主要用于储存生产过程中的各种工具。</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电料仓库</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位于项目所在厂房西侧，总面积约为45m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。主要用于存放各类电料</w:t>
                  </w:r>
                  <w:r>
                    <w:rPr>
                      <w:rFonts w:hint="eastAsia" w:ascii="Times New Roman" w:hAnsi="Times New Roman" w:eastAsia="宋体" w:cs="Times New Roman"/>
                      <w:color w:val="auto"/>
                      <w:sz w:val="21"/>
                      <w:szCs w:val="21"/>
                      <w:lang w:val="en-US" w:eastAsia="zh-CN"/>
                    </w:rPr>
                    <w:t>。</w:t>
                  </w:r>
                </w:p>
              </w:tc>
              <w:tc>
                <w:tcPr>
                  <w:tcW w:w="1452"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漆料库存</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位于项目所在厂房东北角，面积约为13m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。主要用于存放油漆等材料</w:t>
                  </w:r>
                  <w:r>
                    <w:rPr>
                      <w:rFonts w:hint="eastAsia" w:ascii="Times New Roman" w:hAnsi="Times New Roman" w:eastAsia="宋体" w:cs="Times New Roman"/>
                      <w:color w:val="auto"/>
                      <w:sz w:val="21"/>
                      <w:szCs w:val="21"/>
                      <w:lang w:val="en-US" w:eastAsia="zh-CN"/>
                    </w:rPr>
                    <w:t>。</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漆料仓库建设于厂区东北角，紧邻打磨房</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木板原料区</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位于项目木工工作区东部，面积约114m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。主要用于存放各类板材等</w:t>
                  </w:r>
                  <w:r>
                    <w:rPr>
                      <w:rFonts w:hint="eastAsia" w:ascii="Times New Roman" w:hAnsi="Times New Roman" w:eastAsia="宋体" w:cs="Times New Roman"/>
                      <w:color w:val="auto"/>
                      <w:sz w:val="21"/>
                      <w:szCs w:val="21"/>
                      <w:lang w:val="en-US" w:eastAsia="zh-CN"/>
                    </w:rPr>
                    <w:t>。</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04"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木加工粉尘采用“中央吸尘系统收集+布袋除尘器处理”由15m高排气筒DA001排放；喷漆房废气和烘干房废气一并经“水喷淋+过滤棉+二级活性炭”装置处理后由15m高排气筒DA002排放；打磨柜打磨产生的粉尘，经打磨柜配套的除尘系统处理后，尾气通过15m高排气筒 DA003排放。组装过程少量废气以无组织排放方式排放；焊接烟尘经移动式焊接烟尘进化器收集处理，并加强车间通风；钢材打磨粉尘在车间内自然沉降；食堂油烟经高效油烟净化器处理后由楼顶烟囱排放。</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厂内熔化废气经集气罩收集后经布袋除尘器和活性炭吸收后经15m高排气筒排放。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厂区实行雨污分流。污水产生量1440t/a。水帘喷漆废水经隔渣+混凝+气浮工艺处理后回用至水帘柜，不外排。生活污水经化粪池处理后进入经开区污水管网，再经桐城市城南污水处理厂处理，出水达到《城镇污水处理厂污染物排放标准》(GB18918-2002)一级A标准后排入龙眠河；</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废水收集后经厂区污水</w:t>
                  </w:r>
                  <w:r>
                    <w:rPr>
                      <w:rFonts w:hint="eastAsia" w:ascii="Times New Roman" w:hAnsi="Times New Roman" w:cs="Times New Roman"/>
                      <w:color w:val="auto"/>
                      <w:sz w:val="21"/>
                      <w:szCs w:val="21"/>
                      <w:lang w:val="en-US" w:eastAsia="zh-CN"/>
                    </w:rPr>
                    <w:t>处理设备</w:t>
                  </w:r>
                  <w:r>
                    <w:rPr>
                      <w:rFonts w:hint="default" w:ascii="Times New Roman" w:hAnsi="Times New Roman" w:cs="Times New Roman"/>
                      <w:color w:val="auto"/>
                      <w:sz w:val="21"/>
                      <w:szCs w:val="21"/>
                      <w:lang w:val="en-US" w:eastAsia="zh-CN"/>
                    </w:rPr>
                    <w:t>处理</w:t>
                  </w:r>
                  <w:r>
                    <w:rPr>
                      <w:rFonts w:hint="eastAsia" w:ascii="Times New Roman" w:hAnsi="Times New Roman" w:cs="Times New Roman"/>
                      <w:color w:val="auto"/>
                      <w:sz w:val="21"/>
                      <w:szCs w:val="21"/>
                      <w:lang w:val="en-US" w:eastAsia="zh-CN"/>
                    </w:rPr>
                    <w:t>达标</w:t>
                  </w:r>
                  <w:r>
                    <w:rPr>
                      <w:rFonts w:hint="default" w:ascii="Times New Roman" w:hAnsi="Times New Roman" w:cs="Times New Roman"/>
                      <w:color w:val="auto"/>
                      <w:sz w:val="21"/>
                      <w:szCs w:val="21"/>
                      <w:lang w:val="en-US" w:eastAsia="zh-CN"/>
                    </w:rPr>
                    <w:t>后</w:t>
                  </w:r>
                  <w:r>
                    <w:rPr>
                      <w:rFonts w:hint="eastAsia" w:ascii="Times New Roman" w:hAnsi="Times New Roman" w:cs="Times New Roman"/>
                      <w:color w:val="auto"/>
                      <w:sz w:val="21"/>
                      <w:szCs w:val="21"/>
                      <w:lang w:val="en-US" w:eastAsia="zh-CN"/>
                    </w:rPr>
                    <w:t>用于厂区绿化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选用低噪声设备、安装减振基座、减振垫、对风机进行消音等措施。</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已落实减震措施、厂房隔声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一般固废：项目生活垃圾交由环卫部门统一清运处理；木材和废金属加工产生的废边角料和尾气系统收集的木屑粉尘厂区暂存后外售综合利用；</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危险固废：废油漆桶、废胶桶、废活性炭、废过滤棉、废漆渣、废滤渣、漆面打磨粉尘厂内暂存后交有资质单位处理。项目设1间独立危废间，建筑面积10m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lang w:val="en-US" w:eastAsia="zh-CN"/>
                    </w:rPr>
                    <w:t>，危废间严格按照《危险废物贮存污染控制标准》（GB 18597-2001）进行控制和管理。</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生活垃圾定期清运，一般固废厂内综合利用，危险废物委托有资质单位处理。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404"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p>
              </w:tc>
              <w:tc>
                <w:tcPr>
                  <w:tcW w:w="103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地下水</w:t>
                  </w:r>
                </w:p>
              </w:tc>
              <w:tc>
                <w:tcPr>
                  <w:tcW w:w="21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场地内采取分区防渗措施，其中危废库、涂装区为重点污染防治区，车间内其他区域为一般污染防治区，并采取相应的防治措施。</w:t>
                  </w:r>
                </w:p>
              </w:tc>
              <w:tc>
                <w:tcPr>
                  <w:tcW w:w="145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cs="Times New Roman"/>
                      <w:color w:val="auto"/>
                      <w:sz w:val="21"/>
                      <w:szCs w:val="21"/>
                      <w:lang w:val="en-US" w:eastAsia="zh-CN"/>
                    </w:rPr>
                  </w:pPr>
                </w:p>
              </w:tc>
            </w:tr>
          </w:tbl>
          <w:p>
            <w:pPr>
              <w:pStyle w:val="36"/>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2</w:t>
            </w:r>
            <w:r>
              <w:rPr>
                <w:rFonts w:hint="eastAsia" w:ascii="Times New Roman" w:hAnsi="Times New Roman" w:cs="Times New Roman" w:eastAsiaTheme="minorEastAsia"/>
                <w:b/>
                <w:bCs/>
                <w:color w:val="auto"/>
                <w:kern w:val="24"/>
                <w:sz w:val="24"/>
                <w:szCs w:val="24"/>
                <w:lang w:val="en-US" w:eastAsia="zh-CN" w:bidi="ar-SA"/>
              </w:rPr>
              <w:t>产品方案</w:t>
            </w:r>
          </w:p>
          <w:p>
            <w:pPr>
              <w:pStyle w:val="4"/>
              <w:ind w:firstLine="480" w:firstLineChars="200"/>
              <w:rPr>
                <w:rFonts w:hint="eastAsia"/>
                <w:color w:val="auto"/>
                <w:lang w:val="en-US" w:eastAsia="zh-CN"/>
              </w:rPr>
            </w:pPr>
            <w:r>
              <w:rPr>
                <w:rFonts w:hint="eastAsia" w:ascii="Times New Roman" w:hAnsi="Times New Roman" w:cs="Times New Roman"/>
                <w:b w:val="0"/>
                <w:bCs w:val="0"/>
                <w:color w:val="auto"/>
                <w:kern w:val="24"/>
                <w:sz w:val="24"/>
                <w:szCs w:val="24"/>
                <w:lang w:val="en-US" w:eastAsia="zh-CN" w:bidi="ar-SA"/>
              </w:rPr>
              <w:t>项目产品方案详见下表。</w:t>
            </w:r>
          </w:p>
          <w:p>
            <w:pPr>
              <w:jc w:val="center"/>
              <w:rPr>
                <w:rFonts w:hint="eastAsia" w:ascii="Times New Roman" w:hAnsi="Times New Roman" w:eastAsia="宋体" w:cs="Times New Roman"/>
                <w:b/>
                <w:color w:val="auto"/>
                <w:kern w:val="0"/>
                <w:sz w:val="21"/>
                <w:szCs w:val="21"/>
                <w:lang w:eastAsia="zh-CN"/>
              </w:rPr>
            </w:pPr>
            <w:r>
              <w:rPr>
                <w:rFonts w:hint="eastAsia" w:ascii="Times New Roman" w:hAnsi="Times New Roman" w:eastAsia="宋体" w:cs="Times New Roman"/>
                <w:b/>
                <w:color w:val="auto"/>
                <w:kern w:val="0"/>
                <w:sz w:val="21"/>
                <w:szCs w:val="21"/>
                <w:lang w:eastAsia="zh-CN"/>
              </w:rPr>
              <w:t>表</w:t>
            </w:r>
            <w:r>
              <w:rPr>
                <w:rFonts w:hint="eastAsia" w:ascii="Times New Roman" w:hAnsi="Times New Roman" w:eastAsia="宋体" w:cs="Times New Roman"/>
                <w:b/>
                <w:color w:val="auto"/>
                <w:kern w:val="0"/>
                <w:sz w:val="21"/>
                <w:szCs w:val="21"/>
                <w:lang w:val="en-US" w:eastAsia="zh-CN"/>
              </w:rPr>
              <w:t xml:space="preserve">2-2  </w:t>
            </w:r>
            <w:r>
              <w:rPr>
                <w:rFonts w:hint="eastAsia" w:ascii="Times New Roman" w:hAnsi="Times New Roman" w:eastAsia="宋体" w:cs="Times New Roman"/>
                <w:b/>
                <w:color w:val="auto"/>
                <w:kern w:val="0"/>
                <w:sz w:val="21"/>
                <w:szCs w:val="21"/>
                <w:lang w:eastAsia="zh-CN"/>
              </w:rPr>
              <w:t>项目产品方案</w:t>
            </w:r>
          </w:p>
          <w:tbl>
            <w:tblPr>
              <w:tblStyle w:val="22"/>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537"/>
              <w:gridCol w:w="3433"/>
              <w:gridCol w:w="3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5"/>
                    <w:spacing w:line="251" w:lineRule="exact"/>
                    <w:ind w:left="24" w:right="19"/>
                    <w:jc w:val="center"/>
                    <w:rPr>
                      <w:b/>
                      <w:bCs/>
                      <w:sz w:val="21"/>
                    </w:rPr>
                  </w:pPr>
                  <w:r>
                    <w:rPr>
                      <w:b/>
                      <w:bCs/>
                      <w:sz w:val="21"/>
                    </w:rPr>
                    <w:t>序号</w:t>
                  </w:r>
                </w:p>
              </w:tc>
              <w:tc>
                <w:tcPr>
                  <w:tcW w:w="1878" w:type="pct"/>
                  <w:vAlign w:val="center"/>
                </w:tcPr>
                <w:p>
                  <w:pPr>
                    <w:pStyle w:val="45"/>
                    <w:spacing w:line="251" w:lineRule="exact"/>
                    <w:ind w:left="696" w:right="689"/>
                    <w:jc w:val="center"/>
                    <w:rPr>
                      <w:b/>
                      <w:bCs/>
                      <w:sz w:val="21"/>
                    </w:rPr>
                  </w:pPr>
                  <w:r>
                    <w:rPr>
                      <w:b/>
                      <w:bCs/>
                      <w:sz w:val="21"/>
                    </w:rPr>
                    <w:t>产品名称</w:t>
                  </w:r>
                </w:p>
              </w:tc>
              <w:tc>
                <w:tcPr>
                  <w:tcW w:w="1733" w:type="pct"/>
                  <w:vAlign w:val="center"/>
                </w:tcPr>
                <w:p>
                  <w:pPr>
                    <w:pStyle w:val="45"/>
                    <w:spacing w:line="251" w:lineRule="exact"/>
                    <w:ind w:left="549" w:right="546"/>
                    <w:jc w:val="center"/>
                    <w:rPr>
                      <w:b/>
                      <w:bCs/>
                      <w:sz w:val="21"/>
                    </w:rPr>
                  </w:pPr>
                  <w:r>
                    <w:rPr>
                      <w:b/>
                      <w:bCs/>
                      <w:sz w:val="21"/>
                    </w:rPr>
                    <w:t>产量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5"/>
                    <w:spacing w:before="16" w:line="236" w:lineRule="exact"/>
                    <w:ind w:left="9"/>
                    <w:jc w:val="center"/>
                    <w:rPr>
                      <w:rFonts w:ascii="Times New Roman"/>
                      <w:sz w:val="21"/>
                    </w:rPr>
                  </w:pPr>
                  <w:r>
                    <w:rPr>
                      <w:rFonts w:ascii="Times New Roman"/>
                      <w:w w:val="99"/>
                      <w:sz w:val="21"/>
                    </w:rPr>
                    <w:t>1</w:t>
                  </w:r>
                </w:p>
              </w:tc>
              <w:tc>
                <w:tcPr>
                  <w:tcW w:w="1878" w:type="pct"/>
                  <w:vAlign w:val="center"/>
                </w:tcPr>
                <w:p>
                  <w:pPr>
                    <w:pStyle w:val="45"/>
                    <w:spacing w:before="2" w:line="250" w:lineRule="exact"/>
                    <w:ind w:left="696" w:right="689"/>
                    <w:jc w:val="center"/>
                    <w:rPr>
                      <w:sz w:val="21"/>
                    </w:rPr>
                  </w:pPr>
                  <w:r>
                    <w:rPr>
                      <w:sz w:val="21"/>
                    </w:rPr>
                    <w:t>涂料展板</w:t>
                  </w:r>
                </w:p>
              </w:tc>
              <w:tc>
                <w:tcPr>
                  <w:tcW w:w="1733" w:type="pct"/>
                  <w:vAlign w:val="center"/>
                </w:tcPr>
                <w:p>
                  <w:pPr>
                    <w:pStyle w:val="45"/>
                    <w:spacing w:before="2" w:line="250" w:lineRule="exact"/>
                    <w:ind w:left="552" w:right="546"/>
                    <w:jc w:val="center"/>
                    <w:rPr>
                      <w:sz w:val="21"/>
                    </w:rPr>
                  </w:pPr>
                  <w:r>
                    <w:rPr>
                      <w:rFonts w:ascii="Times New Roman" w:eastAsia="Times New Roman"/>
                      <w:sz w:val="21"/>
                    </w:rPr>
                    <w:t>1500</w:t>
                  </w:r>
                  <w:r>
                    <w:rPr>
                      <w:sz w:val="21"/>
                    </w:rPr>
                    <w:t>套</w:t>
                  </w:r>
                  <w:r>
                    <w:rPr>
                      <w:rFonts w:ascii="Times New Roman" w:eastAsia="Times New Roman"/>
                      <w:sz w:val="21"/>
                    </w:rPr>
                    <w:t>/</w:t>
                  </w:r>
                  <w:r>
                    <w:rPr>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5"/>
                    <w:spacing w:before="14" w:line="238" w:lineRule="exact"/>
                    <w:ind w:left="9"/>
                    <w:jc w:val="center"/>
                    <w:rPr>
                      <w:rFonts w:ascii="Times New Roman"/>
                      <w:sz w:val="21"/>
                    </w:rPr>
                  </w:pPr>
                  <w:r>
                    <w:rPr>
                      <w:rFonts w:ascii="Times New Roman"/>
                      <w:w w:val="99"/>
                      <w:sz w:val="21"/>
                    </w:rPr>
                    <w:t>2</w:t>
                  </w:r>
                </w:p>
              </w:tc>
              <w:tc>
                <w:tcPr>
                  <w:tcW w:w="1878" w:type="pct"/>
                  <w:vAlign w:val="center"/>
                </w:tcPr>
                <w:p>
                  <w:pPr>
                    <w:pStyle w:val="45"/>
                    <w:spacing w:line="252" w:lineRule="exact"/>
                    <w:ind w:left="696" w:right="689"/>
                    <w:jc w:val="center"/>
                    <w:rPr>
                      <w:sz w:val="21"/>
                    </w:rPr>
                  </w:pPr>
                  <w:r>
                    <w:rPr>
                      <w:sz w:val="21"/>
                    </w:rPr>
                    <w:t>烤漆展板</w:t>
                  </w:r>
                </w:p>
              </w:tc>
              <w:tc>
                <w:tcPr>
                  <w:tcW w:w="1733" w:type="pct"/>
                  <w:vAlign w:val="center"/>
                </w:tcPr>
                <w:p>
                  <w:pPr>
                    <w:pStyle w:val="45"/>
                    <w:spacing w:line="252" w:lineRule="exact"/>
                    <w:ind w:left="552" w:right="546"/>
                    <w:jc w:val="center"/>
                    <w:rPr>
                      <w:sz w:val="21"/>
                    </w:rPr>
                  </w:pPr>
                  <w:r>
                    <w:rPr>
                      <w:rFonts w:ascii="Times New Roman" w:eastAsia="Times New Roman"/>
                      <w:sz w:val="21"/>
                    </w:rPr>
                    <w:t>750</w:t>
                  </w:r>
                  <w:r>
                    <w:rPr>
                      <w:sz w:val="21"/>
                    </w:rPr>
                    <w:t>套</w:t>
                  </w:r>
                  <w:r>
                    <w:rPr>
                      <w:rFonts w:ascii="Times New Roman" w:eastAsia="Times New Roman"/>
                      <w:sz w:val="21"/>
                    </w:rPr>
                    <w:t>/</w:t>
                  </w:r>
                  <w:r>
                    <w:rPr>
                      <w:sz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1388" w:type="pct"/>
                  <w:vAlign w:val="center"/>
                </w:tcPr>
                <w:p>
                  <w:pPr>
                    <w:pStyle w:val="45"/>
                    <w:spacing w:before="15" w:line="237" w:lineRule="exact"/>
                    <w:ind w:left="9"/>
                    <w:jc w:val="center"/>
                    <w:rPr>
                      <w:rFonts w:ascii="Times New Roman"/>
                      <w:sz w:val="21"/>
                    </w:rPr>
                  </w:pPr>
                  <w:r>
                    <w:rPr>
                      <w:rFonts w:ascii="Times New Roman"/>
                      <w:w w:val="99"/>
                      <w:sz w:val="21"/>
                    </w:rPr>
                    <w:t>3</w:t>
                  </w:r>
                </w:p>
              </w:tc>
              <w:tc>
                <w:tcPr>
                  <w:tcW w:w="1878" w:type="pct"/>
                  <w:vAlign w:val="center"/>
                </w:tcPr>
                <w:p>
                  <w:pPr>
                    <w:pStyle w:val="45"/>
                    <w:spacing w:before="1" w:line="251" w:lineRule="exact"/>
                    <w:ind w:left="696" w:right="689"/>
                    <w:jc w:val="center"/>
                    <w:rPr>
                      <w:sz w:val="21"/>
                    </w:rPr>
                  </w:pPr>
                  <w:r>
                    <w:rPr>
                      <w:sz w:val="21"/>
                    </w:rPr>
                    <w:t>铁架展板</w:t>
                  </w:r>
                </w:p>
              </w:tc>
              <w:tc>
                <w:tcPr>
                  <w:tcW w:w="1733" w:type="pct"/>
                  <w:vAlign w:val="center"/>
                </w:tcPr>
                <w:p>
                  <w:pPr>
                    <w:pStyle w:val="45"/>
                    <w:spacing w:before="1" w:line="251" w:lineRule="exact"/>
                    <w:ind w:left="552" w:right="546"/>
                    <w:jc w:val="center"/>
                    <w:rPr>
                      <w:sz w:val="21"/>
                    </w:rPr>
                  </w:pPr>
                  <w:r>
                    <w:rPr>
                      <w:rFonts w:ascii="Times New Roman" w:eastAsia="Times New Roman"/>
                      <w:sz w:val="21"/>
                    </w:rPr>
                    <w:t>750</w:t>
                  </w:r>
                  <w:r>
                    <w:rPr>
                      <w:sz w:val="21"/>
                    </w:rPr>
                    <w:t>套</w:t>
                  </w:r>
                  <w:r>
                    <w:rPr>
                      <w:rFonts w:ascii="Times New Roman" w:eastAsia="Times New Roman"/>
                      <w:sz w:val="21"/>
                    </w:rPr>
                    <w:t>/</w:t>
                  </w:r>
                  <w:r>
                    <w:rPr>
                      <w:sz w:val="21"/>
                    </w:rPr>
                    <w:t>年</w:t>
                  </w:r>
                </w:p>
              </w:tc>
            </w:tr>
          </w:tbl>
          <w:p>
            <w:pPr>
              <w:pStyle w:val="36"/>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.3</w:t>
            </w:r>
            <w:r>
              <w:rPr>
                <w:rFonts w:hint="eastAsia" w:ascii="Times New Roman" w:hAnsi="Times New Roman" w:cs="Times New Roman" w:eastAsiaTheme="minorEastAsia"/>
                <w:b/>
                <w:bCs/>
                <w:color w:val="auto"/>
                <w:kern w:val="24"/>
                <w:sz w:val="24"/>
                <w:szCs w:val="24"/>
                <w:lang w:val="en-US" w:eastAsia="zh-CN" w:bidi="ar-SA"/>
              </w:rPr>
              <w:t>主要设备</w:t>
            </w:r>
          </w:p>
          <w:p>
            <w:pPr>
              <w:pStyle w:val="36"/>
              <w:spacing w:line="360" w:lineRule="auto"/>
              <w:ind w:firstLine="480"/>
              <w:jc w:val="left"/>
              <w:rPr>
                <w:rFonts w:hint="eastAsia" w:ascii="Times New Roman" w:hAnsi="Times New Roman" w:cs="Times New Roman" w:eastAsiaTheme="minorEastAsia"/>
                <w:color w:val="auto"/>
                <w:kern w:val="24"/>
                <w:sz w:val="24"/>
                <w:szCs w:val="24"/>
                <w:lang w:val="en-US" w:eastAsia="zh-CN" w:bidi="ar-SA"/>
              </w:rPr>
            </w:pPr>
            <w:r>
              <w:rPr>
                <w:rFonts w:hint="eastAsia" w:ascii="Times New Roman" w:hAnsi="Times New Roman" w:cs="Times New Roman" w:eastAsiaTheme="minorEastAsia"/>
                <w:color w:val="auto"/>
                <w:kern w:val="24"/>
                <w:sz w:val="24"/>
                <w:szCs w:val="24"/>
                <w:lang w:val="en-US" w:eastAsia="zh-CN" w:bidi="ar-SA"/>
              </w:rPr>
              <w:t>项目主要配套设备详见</w:t>
            </w:r>
            <w:r>
              <w:rPr>
                <w:rFonts w:hint="eastAsia" w:ascii="Times New Roman" w:hAnsi="Times New Roman" w:cs="Times New Roman"/>
                <w:color w:val="auto"/>
                <w:kern w:val="24"/>
                <w:sz w:val="24"/>
                <w:szCs w:val="24"/>
                <w:lang w:val="en-US" w:eastAsia="zh-CN" w:bidi="ar-SA"/>
              </w:rPr>
              <w:t>下表</w:t>
            </w:r>
            <w:r>
              <w:rPr>
                <w:rFonts w:hint="eastAsia" w:ascii="Times New Roman" w:hAnsi="Times New Roman" w:cs="Times New Roman" w:eastAsiaTheme="minorEastAsia"/>
                <w:color w:val="auto"/>
                <w:kern w:val="24"/>
                <w:sz w:val="24"/>
                <w:szCs w:val="24"/>
                <w:lang w:val="en-US" w:eastAsia="zh-CN" w:bidi="ar-SA"/>
              </w:rPr>
              <w:t>。</w:t>
            </w:r>
          </w:p>
          <w:p>
            <w:pPr>
              <w:spacing w:line="360" w:lineRule="auto"/>
              <w:jc w:val="center"/>
              <w:rPr>
                <w:rFonts w:hint="default" w:ascii="Times New Roman" w:hAnsi="Times New Roman" w:eastAsia="宋体" w:cs="Times New Roman"/>
                <w:b/>
                <w:color w:val="auto"/>
                <w:kern w:val="0"/>
                <w:sz w:val="21"/>
                <w:szCs w:val="21"/>
                <w:lang w:eastAsia="zh-CN"/>
              </w:rPr>
            </w:pPr>
            <w:r>
              <w:rPr>
                <w:rFonts w:hint="default" w:ascii="Times New Roman" w:hAnsi="Times New Roman" w:eastAsia="宋体" w:cs="Times New Roman"/>
                <w:b/>
                <w:color w:val="auto"/>
                <w:kern w:val="0"/>
                <w:sz w:val="21"/>
                <w:szCs w:val="21"/>
                <w:lang w:eastAsia="zh-CN"/>
              </w:rPr>
              <w:t>表</w:t>
            </w:r>
            <w:r>
              <w:rPr>
                <w:rFonts w:hint="default" w:ascii="Times New Roman" w:hAnsi="Times New Roman" w:eastAsia="宋体" w:cs="Times New Roman"/>
                <w:b/>
                <w:color w:val="auto"/>
                <w:kern w:val="0"/>
                <w:sz w:val="21"/>
                <w:szCs w:val="21"/>
                <w:lang w:val="en-US" w:eastAsia="zh-CN"/>
              </w:rPr>
              <w:t>2-</w:t>
            </w:r>
            <w:r>
              <w:rPr>
                <w:rFonts w:hint="eastAsia" w:ascii="Times New Roman" w:hAnsi="Times New Roman" w:eastAsia="宋体" w:cs="Times New Roman"/>
                <w:b/>
                <w:color w:val="auto"/>
                <w:kern w:val="0"/>
                <w:sz w:val="21"/>
                <w:szCs w:val="21"/>
                <w:lang w:val="en-US" w:eastAsia="zh-CN"/>
              </w:rPr>
              <w:t>3</w:t>
            </w:r>
            <w:r>
              <w:rPr>
                <w:rFonts w:hint="default" w:ascii="Times New Roman" w:hAnsi="Times New Roman" w:eastAsia="宋体" w:cs="Times New Roman"/>
                <w:b/>
                <w:color w:val="auto"/>
                <w:kern w:val="0"/>
                <w:sz w:val="21"/>
                <w:szCs w:val="21"/>
                <w:lang w:eastAsia="zh-CN"/>
              </w:rPr>
              <w:t>项目主要生产设备一览表</w:t>
            </w:r>
          </w:p>
          <w:tbl>
            <w:tblPr>
              <w:tblStyle w:val="22"/>
              <w:tblW w:w="4996" w:type="pct"/>
              <w:tblInd w:w="0" w:type="dxa"/>
              <w:tblLayout w:type="autofit"/>
              <w:tblCellMar>
                <w:top w:w="0" w:type="dxa"/>
                <w:left w:w="0" w:type="dxa"/>
                <w:bottom w:w="0" w:type="dxa"/>
                <w:right w:w="0" w:type="dxa"/>
              </w:tblCellMar>
            </w:tblPr>
            <w:tblGrid>
              <w:gridCol w:w="1658"/>
              <w:gridCol w:w="5541"/>
              <w:gridCol w:w="1944"/>
            </w:tblGrid>
            <w:tr>
              <w:tblPrEx>
                <w:tblCellMar>
                  <w:top w:w="0" w:type="dxa"/>
                  <w:left w:w="0" w:type="dxa"/>
                  <w:bottom w:w="0" w:type="dxa"/>
                  <w:right w:w="0" w:type="dxa"/>
                </w:tblCellMar>
              </w:tblPrEx>
              <w:trPr>
                <w:trHeight w:val="454" w:hRule="atLeast"/>
              </w:trPr>
              <w:tc>
                <w:tcPr>
                  <w:tcW w:w="907" w:type="pct"/>
                  <w:tcBorders>
                    <w:top w:val="single" w:color="auto" w:sz="2" w:space="0"/>
                    <w:left w:val="single" w:color="auto" w:sz="0"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序号</w:t>
                  </w:r>
                </w:p>
              </w:tc>
              <w:tc>
                <w:tcPr>
                  <w:tcW w:w="3030" w:type="pct"/>
                  <w:tcBorders>
                    <w:top w:val="single" w:color="auto" w:sz="2"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设备名称</w:t>
                  </w:r>
                </w:p>
              </w:tc>
              <w:tc>
                <w:tcPr>
                  <w:tcW w:w="1062" w:type="pct"/>
                  <w:tcBorders>
                    <w:top w:val="single" w:color="auto" w:sz="2"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数量（台、套）</w:t>
                  </w:r>
                </w:p>
              </w:tc>
            </w:tr>
            <w:tr>
              <w:tblPrEx>
                <w:tblCellMar>
                  <w:top w:w="0" w:type="dxa"/>
                  <w:left w:w="0" w:type="dxa"/>
                  <w:bottom w:w="0" w:type="dxa"/>
                  <w:right w:w="0" w:type="dxa"/>
                </w:tblCellMar>
              </w:tblPrEx>
              <w:trPr>
                <w:trHeight w:val="454" w:hRule="atLeast"/>
              </w:trPr>
              <w:tc>
                <w:tcPr>
                  <w:tcW w:w="5000" w:type="pct"/>
                  <w:gridSpan w:val="3"/>
                  <w:tcBorders>
                    <w:top w:val="single" w:color="auto" w:sz="2" w:space="0"/>
                    <w:left w:val="single" w:color="auto" w:sz="0"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cs="Times New Roman"/>
                      <w:b/>
                      <w:bCs/>
                      <w:color w:val="auto"/>
                      <w:kern w:val="0"/>
                      <w:sz w:val="21"/>
                      <w:szCs w:val="21"/>
                      <w:lang w:val="en-US" w:eastAsia="zh-CN" w:bidi="ar"/>
                    </w:rPr>
                    <w:t>生产设备</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1</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推台锯</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2</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雕刻机</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3</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螺杆空压机</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4</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木锯</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5</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手持电动工具</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33</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6</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角磨机</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15</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7</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水帘喷漆台</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3</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8</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电焊机</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15</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9</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bottom"/>
                </w:tcPr>
                <w:p>
                  <w:pPr>
                    <w:pStyle w:val="77"/>
                    <w:keepNext w:val="0"/>
                    <w:keepLines w:val="0"/>
                    <w:widowControl w:val="0"/>
                    <w:shd w:val="clear" w:color="auto" w:fill="auto"/>
                    <w:bidi w:val="0"/>
                    <w:spacing w:before="0" w:after="0" w:line="240" w:lineRule="auto"/>
                    <w:ind w:left="0" w:leftChars="0" w:right="0" w:rightChars="0" w:firstLine="0" w:firstLineChars="0"/>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气保焊机</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bottom"/>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10</w:t>
                  </w:r>
                </w:p>
              </w:tc>
            </w:tr>
            <w:tr>
              <w:tblPrEx>
                <w:tblCellMar>
                  <w:top w:w="0" w:type="dxa"/>
                  <w:left w:w="0" w:type="dxa"/>
                  <w:bottom w:w="0" w:type="dxa"/>
                  <w:right w:w="0" w:type="dxa"/>
                </w:tblCellMar>
              </w:tblPrEx>
              <w:trPr>
                <w:trHeight w:val="454" w:hRule="atLeast"/>
              </w:trPr>
              <w:tc>
                <w:tcPr>
                  <w:tcW w:w="5000" w:type="pct"/>
                  <w:gridSpan w:val="3"/>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b/>
                      <w:bCs/>
                      <w:color w:val="auto"/>
                      <w:kern w:val="0"/>
                      <w:sz w:val="21"/>
                      <w:szCs w:val="21"/>
                      <w:lang w:val="en-US" w:eastAsia="zh-CN" w:bidi="ar"/>
                    </w:rPr>
                    <w:t>环保设备</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打磨除尘器</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2</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2</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木工吸尘器</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cs="Times New Roman"/>
                      <w:color w:val="auto"/>
                      <w:kern w:val="0"/>
                      <w:sz w:val="21"/>
                      <w:szCs w:val="21"/>
                      <w:lang w:val="en-US" w:eastAsia="zh-CN" w:bidi="ar"/>
                    </w:rPr>
                    <w:t>1</w:t>
                  </w:r>
                </w:p>
              </w:tc>
            </w:tr>
            <w:tr>
              <w:tblPrEx>
                <w:tblCellMar>
                  <w:top w:w="0" w:type="dxa"/>
                  <w:left w:w="0" w:type="dxa"/>
                  <w:bottom w:w="0" w:type="dxa"/>
                  <w:right w:w="0" w:type="dxa"/>
                </w:tblCellMar>
              </w:tblPrEx>
              <w:trPr>
                <w:trHeight w:val="454" w:hRule="atLeast"/>
              </w:trPr>
              <w:tc>
                <w:tcPr>
                  <w:tcW w:w="907"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3</w:t>
                  </w:r>
                </w:p>
              </w:tc>
              <w:tc>
                <w:tcPr>
                  <w:tcW w:w="3030" w:type="pc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活性炭吸附设备</w:t>
                  </w:r>
                </w:p>
              </w:tc>
              <w:tc>
                <w:tcPr>
                  <w:tcW w:w="1062" w:type="pct"/>
                  <w:tcBorders>
                    <w:top w:val="single" w:color="auto" w:sz="4" w:space="0"/>
                    <w:left w:val="single" w:color="auto" w:sz="4" w:space="0"/>
                    <w:bottom w:val="single" w:color="auto" w:sz="4" w:space="0"/>
                    <w:right w:val="single" w:color="auto" w:sz="2" w:space="0"/>
                  </w:tcBorders>
                  <w:noWrap/>
                  <w:tcMar>
                    <w:top w:w="15" w:type="dxa"/>
                    <w:left w:w="15" w:type="dxa"/>
                    <w:right w:w="15" w:type="dxa"/>
                  </w:tcMar>
                  <w:vAlign w:val="center"/>
                </w:tcPr>
                <w:p>
                  <w:pPr>
                    <w:keepNext w:val="0"/>
                    <w:keepLines w:val="0"/>
                    <w:widowControl/>
                    <w:suppressLineNumbers w:val="0"/>
                    <w:spacing w:line="240" w:lineRule="auto"/>
                    <w:jc w:val="center"/>
                    <w:rPr>
                      <w:rFonts w:hint="default"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3</w:t>
                  </w:r>
                </w:p>
              </w:tc>
            </w:tr>
          </w:tbl>
          <w:p>
            <w:pPr>
              <w:pStyle w:val="36"/>
              <w:spacing w:line="360" w:lineRule="auto"/>
              <w:ind w:firstLine="0" w:firstLineChars="0"/>
              <w:rPr>
                <w:rFonts w:hint="eastAsia" w:ascii="Times New Roman" w:hAnsi="Times New Roman" w:cs="Times New Roman" w:eastAsiaTheme="minorEastAsia"/>
                <w:b/>
                <w:bCs/>
                <w:color w:val="auto"/>
                <w:kern w:val="24"/>
                <w:sz w:val="24"/>
                <w:szCs w:val="24"/>
                <w:shd w:val="clear" w:color="auto" w:fill="auto"/>
                <w:lang w:val="en-US" w:eastAsia="zh-CN" w:bidi="ar-SA"/>
              </w:rPr>
            </w:pPr>
            <w:r>
              <w:rPr>
                <w:rFonts w:hint="eastAsia" w:ascii="Times New Roman" w:hAnsi="Times New Roman" w:cs="Times New Roman"/>
                <w:b/>
                <w:bCs/>
                <w:color w:val="auto"/>
                <w:kern w:val="24"/>
                <w:sz w:val="24"/>
                <w:szCs w:val="24"/>
                <w:shd w:val="clear" w:color="auto" w:fill="auto"/>
                <w:lang w:val="en-US" w:eastAsia="zh-CN" w:bidi="ar-SA"/>
              </w:rPr>
              <w:t>2</w:t>
            </w:r>
            <w:r>
              <w:rPr>
                <w:rFonts w:hint="eastAsia" w:ascii="Times New Roman" w:hAnsi="Times New Roman" w:cs="Times New Roman" w:eastAsiaTheme="minorEastAsia"/>
                <w:b/>
                <w:bCs/>
                <w:color w:val="auto"/>
                <w:kern w:val="24"/>
                <w:sz w:val="24"/>
                <w:szCs w:val="24"/>
                <w:shd w:val="clear" w:color="auto" w:fill="auto"/>
                <w:lang w:val="en-US" w:eastAsia="zh-CN" w:bidi="ar-SA"/>
              </w:rPr>
              <w:t>.1.</w:t>
            </w:r>
            <w:r>
              <w:rPr>
                <w:rFonts w:hint="eastAsia" w:ascii="Times New Roman" w:hAnsi="Times New Roman" w:cs="Times New Roman"/>
                <w:b/>
                <w:bCs/>
                <w:color w:val="auto"/>
                <w:kern w:val="24"/>
                <w:sz w:val="24"/>
                <w:szCs w:val="24"/>
                <w:shd w:val="clear" w:color="auto" w:fill="auto"/>
                <w:lang w:val="en-US" w:eastAsia="zh-CN" w:bidi="ar-SA"/>
              </w:rPr>
              <w:t>4</w:t>
            </w:r>
            <w:r>
              <w:rPr>
                <w:rFonts w:hint="eastAsia" w:ascii="Times New Roman" w:hAnsi="Times New Roman" w:cs="Times New Roman" w:eastAsiaTheme="minorEastAsia"/>
                <w:b/>
                <w:bCs/>
                <w:color w:val="auto"/>
                <w:kern w:val="24"/>
                <w:sz w:val="24"/>
                <w:szCs w:val="24"/>
                <w:shd w:val="clear" w:color="auto" w:fill="auto"/>
                <w:lang w:val="en-US" w:eastAsia="zh-CN" w:bidi="ar-SA"/>
              </w:rPr>
              <w:t>工作制度及劳动定员</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职工人数：该项目劳动定员40人，单班制生产，每班工作8小时。</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jc w:val="both"/>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工作时数：年工作日为300天。</w:t>
            </w:r>
          </w:p>
          <w:p>
            <w:pPr>
              <w:pStyle w:val="4"/>
              <w:rPr>
                <w:rFonts w:hint="eastAsia"/>
                <w:color w:val="auto"/>
                <w:lang w:val="en-US" w:eastAsia="zh-CN"/>
              </w:rPr>
            </w:pPr>
            <w:r>
              <w:rPr>
                <w:rFonts w:hint="eastAsia"/>
                <w:color w:val="auto"/>
                <w:lang w:val="en-US" w:eastAsia="zh-CN"/>
              </w:rPr>
              <w:t>2.1.5公用工程</w:t>
            </w:r>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ascii="Times New Roman" w:hAnsi="Times New Roman" w:eastAsia="宋体"/>
                <w:bCs/>
                <w:caps w:val="0"/>
                <w:color w:val="auto"/>
                <w:sz w:val="24"/>
                <w:szCs w:val="24"/>
              </w:rPr>
              <w:t>（1）给排水</w:t>
            </w:r>
          </w:p>
          <w:p>
            <w:pPr>
              <w:keepNext w:val="0"/>
              <w:keepLines w:val="0"/>
              <w:pageBreakBefore w:val="0"/>
              <w:widowControl w:val="0"/>
              <w:tabs>
                <w:tab w:val="left" w:pos="4298"/>
              </w:tabs>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caps w:val="0"/>
                <w:color w:val="auto"/>
                <w:sz w:val="24"/>
                <w:szCs w:val="24"/>
              </w:rPr>
            </w:pPr>
            <w:r>
              <w:rPr>
                <w:rFonts w:ascii="Times New Roman" w:hAnsi="Times New Roman" w:eastAsia="宋体"/>
                <w:bCs/>
                <w:caps w:val="0"/>
                <w:color w:val="auto"/>
                <w:sz w:val="24"/>
                <w:szCs w:val="24"/>
              </w:rPr>
              <w:t>给水：项目用水</w:t>
            </w:r>
            <w:r>
              <w:rPr>
                <w:rFonts w:ascii="Times New Roman" w:hAnsi="Times New Roman" w:eastAsia="宋体"/>
                <w:bCs/>
                <w:caps w:val="0"/>
                <w:snapToGrid w:val="0"/>
                <w:color w:val="auto"/>
                <w:sz w:val="24"/>
                <w:szCs w:val="24"/>
              </w:rPr>
              <w:t>由</w:t>
            </w:r>
            <w:r>
              <w:rPr>
                <w:rFonts w:hint="eastAsia" w:ascii="Times New Roman" w:hAnsi="Times New Roman" w:eastAsia="宋体"/>
                <w:bCs/>
                <w:caps w:val="0"/>
                <w:snapToGrid w:val="0"/>
                <w:color w:val="auto"/>
                <w:sz w:val="24"/>
                <w:szCs w:val="24"/>
                <w:lang w:val="en-US" w:eastAsia="zh-CN"/>
              </w:rPr>
              <w:t>工业园区</w:t>
            </w:r>
            <w:r>
              <w:rPr>
                <w:rFonts w:ascii="Times New Roman" w:hAnsi="Times New Roman" w:eastAsia="宋体"/>
                <w:bCs/>
                <w:caps w:val="0"/>
                <w:snapToGrid w:val="0"/>
                <w:color w:val="auto"/>
                <w:sz w:val="24"/>
                <w:szCs w:val="24"/>
              </w:rPr>
              <w:t>供水管网供给</w:t>
            </w:r>
            <w:r>
              <w:rPr>
                <w:rFonts w:ascii="Times New Roman" w:hAnsi="Times New Roman" w:eastAsia="宋体"/>
                <w:caps w:val="0"/>
                <w:color w:val="auto"/>
                <w:sz w:val="24"/>
                <w:szCs w:val="24"/>
              </w:rPr>
              <w:t>。</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ascii="Times New Roman" w:hAnsi="Times New Roman" w:eastAsia="宋体"/>
                <w:bCs/>
                <w:caps w:val="0"/>
                <w:color w:val="auto"/>
                <w:sz w:val="24"/>
                <w:szCs w:val="24"/>
              </w:rPr>
              <w:t>排水：项目实行雨污分流</w:t>
            </w:r>
            <w:r>
              <w:rPr>
                <w:rFonts w:hint="eastAsia" w:ascii="Times New Roman" w:hAnsi="Times New Roman" w:eastAsia="宋体"/>
                <w:bCs/>
                <w:caps w:val="0"/>
                <w:color w:val="auto"/>
                <w:sz w:val="24"/>
                <w:szCs w:val="24"/>
              </w:rPr>
              <w:t>系统</w:t>
            </w:r>
            <w:r>
              <w:rPr>
                <w:rFonts w:ascii="Times New Roman" w:hAnsi="Times New Roman" w:eastAsia="宋体"/>
                <w:bCs/>
                <w:caps w:val="0"/>
                <w:color w:val="auto"/>
                <w:sz w:val="24"/>
                <w:szCs w:val="24"/>
              </w:rPr>
              <w:t>。雨水排入</w:t>
            </w:r>
            <w:r>
              <w:rPr>
                <w:rFonts w:hint="eastAsia" w:ascii="Times New Roman" w:hAnsi="Times New Roman" w:eastAsia="宋体"/>
                <w:bCs/>
                <w:caps w:val="0"/>
                <w:color w:val="auto"/>
                <w:sz w:val="24"/>
                <w:szCs w:val="24"/>
                <w:lang w:val="en-US" w:eastAsia="zh-CN"/>
              </w:rPr>
              <w:t>厂区</w:t>
            </w:r>
            <w:r>
              <w:rPr>
                <w:rFonts w:hint="eastAsia" w:ascii="Times New Roman" w:hAnsi="Times New Roman" w:eastAsia="宋体"/>
                <w:bCs/>
                <w:caps w:val="0"/>
                <w:color w:val="auto"/>
                <w:sz w:val="24"/>
                <w:szCs w:val="24"/>
              </w:rPr>
              <w:t>雨水管；</w:t>
            </w:r>
            <w:r>
              <w:rPr>
                <w:rFonts w:hint="eastAsia" w:ascii="Times New Roman" w:hAnsi="Times New Roman" w:eastAsia="宋体"/>
                <w:bCs/>
                <w:caps w:val="0"/>
                <w:color w:val="auto"/>
                <w:sz w:val="24"/>
                <w:szCs w:val="24"/>
                <w:lang w:val="en-US" w:eastAsia="zh-CN"/>
              </w:rPr>
              <w:t>厂区废水为生活废水，无生产废水。废水收集后进入化粪池</w:t>
            </w:r>
            <w:r>
              <w:rPr>
                <w:rFonts w:hint="eastAsia" w:ascii="Times New Roman" w:hAnsi="Times New Roman" w:eastAsia="宋体"/>
                <w:bCs/>
                <w:caps w:val="0"/>
                <w:color w:val="auto"/>
                <w:sz w:val="24"/>
                <w:szCs w:val="24"/>
              </w:rPr>
              <w:t>处理</w:t>
            </w: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处理达标进入园区污水管网，经开发区污水处理厂处理达标后排入龙眠河。</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ascii="Times New Roman" w:hAnsi="Times New Roman" w:eastAsia="宋体"/>
                <w:bCs/>
                <w:caps w:val="0"/>
                <w:color w:val="auto"/>
                <w:sz w:val="24"/>
                <w:szCs w:val="24"/>
              </w:rPr>
            </w:pPr>
            <w:r>
              <w:rPr>
                <w:rFonts w:hint="eastAsia" w:ascii="Times New Roman" w:hAnsi="Times New Roman" w:eastAsia="宋体"/>
                <w:bCs/>
                <w:caps w:val="0"/>
                <w:color w:val="auto"/>
                <w:sz w:val="24"/>
                <w:szCs w:val="24"/>
                <w:lang w:eastAsia="zh-CN"/>
              </w:rPr>
              <w:t>（</w:t>
            </w:r>
            <w:r>
              <w:rPr>
                <w:rFonts w:hint="eastAsia" w:ascii="Times New Roman" w:hAnsi="Times New Roman" w:eastAsia="宋体"/>
                <w:bCs/>
                <w:caps w:val="0"/>
                <w:color w:val="auto"/>
                <w:sz w:val="24"/>
                <w:szCs w:val="24"/>
                <w:lang w:val="en-US" w:eastAsia="zh-CN"/>
              </w:rPr>
              <w:t>2</w:t>
            </w:r>
            <w:r>
              <w:rPr>
                <w:rFonts w:hint="eastAsia" w:ascii="Times New Roman" w:hAnsi="Times New Roman" w:eastAsia="宋体"/>
                <w:bCs/>
                <w:caps w:val="0"/>
                <w:color w:val="auto"/>
                <w:sz w:val="24"/>
                <w:szCs w:val="24"/>
                <w:lang w:eastAsia="zh-CN"/>
              </w:rPr>
              <w:t>）</w:t>
            </w:r>
            <w:r>
              <w:rPr>
                <w:rFonts w:ascii="Times New Roman" w:hAnsi="Times New Roman" w:eastAsia="宋体"/>
                <w:bCs/>
                <w:caps w:val="0"/>
                <w:color w:val="auto"/>
                <w:sz w:val="24"/>
                <w:szCs w:val="24"/>
              </w:rPr>
              <w:t>供电</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 w:val="0"/>
                <w:bCs/>
                <w:caps w:val="0"/>
                <w:color w:val="auto"/>
                <w:sz w:val="24"/>
                <w:szCs w:val="24"/>
              </w:rPr>
            </w:pPr>
            <w:r>
              <w:rPr>
                <w:rFonts w:hint="eastAsia" w:ascii="Times New Roman" w:hAnsi="Times New Roman" w:eastAsia="宋体"/>
                <w:b w:val="0"/>
                <w:bCs/>
                <w:caps w:val="0"/>
                <w:color w:val="auto"/>
                <w:sz w:val="24"/>
                <w:szCs w:val="24"/>
              </w:rPr>
              <w:t>由</w:t>
            </w:r>
            <w:r>
              <w:rPr>
                <w:rFonts w:hint="eastAsia" w:ascii="Times New Roman" w:hAnsi="Times New Roman" w:eastAsia="宋体"/>
                <w:b w:val="0"/>
                <w:bCs/>
                <w:caps w:val="0"/>
                <w:color w:val="auto"/>
                <w:sz w:val="24"/>
                <w:szCs w:val="24"/>
                <w:lang w:val="en-US" w:eastAsia="zh-CN"/>
              </w:rPr>
              <w:t>开发区</w:t>
            </w:r>
            <w:r>
              <w:rPr>
                <w:rFonts w:hint="eastAsia" w:ascii="Times New Roman" w:hAnsi="Times New Roman" w:eastAsia="宋体"/>
                <w:b w:val="0"/>
                <w:bCs/>
                <w:caps w:val="0"/>
                <w:color w:val="auto"/>
                <w:sz w:val="24"/>
                <w:szCs w:val="24"/>
              </w:rPr>
              <w:t>供电电网供给。</w:t>
            </w:r>
          </w:p>
          <w:p>
            <w:pPr>
              <w:pStyle w:val="36"/>
              <w:spacing w:line="360" w:lineRule="auto"/>
              <w:ind w:firstLine="0" w:firstLineChars="0"/>
              <w:rPr>
                <w:rFonts w:hint="eastAsia" w:ascii="Times New Roman" w:hAnsi="Times New Roman" w:cs="Times New Roman" w:eastAsiaTheme="minorEastAsia"/>
                <w:b/>
                <w:bCs/>
                <w:color w:val="auto"/>
                <w:kern w:val="24"/>
                <w:sz w:val="24"/>
                <w:szCs w:val="24"/>
                <w:lang w:val="en-US" w:eastAsia="zh-CN" w:bidi="ar-SA"/>
              </w:rPr>
            </w:pPr>
            <w:r>
              <w:rPr>
                <w:rFonts w:hint="eastAsia" w:ascii="Times New Roman" w:hAnsi="Times New Roman" w:cs="Times New Roman" w:eastAsiaTheme="minorEastAsia"/>
                <w:b/>
                <w:bCs/>
                <w:color w:val="auto"/>
                <w:kern w:val="24"/>
                <w:sz w:val="24"/>
                <w:szCs w:val="24"/>
                <w:lang w:val="en-US" w:eastAsia="zh-CN" w:bidi="ar-SA"/>
              </w:rPr>
              <w:t>2.1.</w:t>
            </w:r>
            <w:r>
              <w:rPr>
                <w:rFonts w:hint="eastAsia" w:ascii="Times New Roman" w:hAnsi="Times New Roman" w:cs="Times New Roman"/>
                <w:b/>
                <w:bCs/>
                <w:color w:val="auto"/>
                <w:kern w:val="24"/>
                <w:sz w:val="24"/>
                <w:szCs w:val="24"/>
                <w:lang w:val="en-US" w:eastAsia="zh-CN" w:bidi="ar-SA"/>
              </w:rPr>
              <w:t>6</w:t>
            </w:r>
            <w:r>
              <w:rPr>
                <w:rFonts w:hint="eastAsia" w:ascii="Times New Roman" w:hAnsi="Times New Roman" w:cs="Times New Roman" w:eastAsiaTheme="minorEastAsia"/>
                <w:b/>
                <w:bCs/>
                <w:color w:val="auto"/>
                <w:kern w:val="24"/>
                <w:sz w:val="24"/>
                <w:szCs w:val="24"/>
                <w:lang w:val="en-US" w:eastAsia="zh-CN" w:bidi="ar-SA"/>
              </w:rPr>
              <w:t>总平面布置</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firstLine="480" w:firstLineChars="200"/>
              <w:textAlignment w:val="auto"/>
              <w:rPr>
                <w:rFonts w:hint="eastAsia" w:ascii="Times New Roman" w:hAnsi="Times New Roman" w:eastAsia="宋体"/>
                <w:bCs/>
                <w:caps w:val="0"/>
                <w:color w:val="auto"/>
                <w:sz w:val="24"/>
                <w:szCs w:val="24"/>
                <w:lang w:val="en-US" w:eastAsia="zh-CN"/>
              </w:rPr>
            </w:pPr>
            <w:r>
              <w:rPr>
                <w:rFonts w:hint="eastAsia" w:ascii="Times New Roman" w:hAnsi="Times New Roman" w:eastAsia="宋体"/>
                <w:bCs/>
                <w:caps w:val="0"/>
                <w:color w:val="auto"/>
                <w:sz w:val="24"/>
                <w:szCs w:val="24"/>
                <w:lang w:val="en-US" w:eastAsia="zh-CN"/>
              </w:rPr>
              <w:t>项目租用桐城巿经济开发区开源钢材加工厂厂房，总建筑面积3643平方米，其中生产厂房2688平方米，仓库699平方米、生活区256平方米。建设木工工作区、铁工车间、开料雕刻区、打磨区、批灰区、喷漆房、无尘房、木板原材料仓库、五金仓库、电料仓库、物料库存间、办公楼、生活区等。经过该平面布置生产车间工艺路线短捷顺畅，满足生产工艺流程的需要，符合生产过程中对环保、消防、安全等有关规定，为安全生产创造有利条件。在符合生产流程、操作要求和使用功能的前提下，布置较为集中，人流与货流组织较为合理，结合场地自然条件，符合生产性质、规模、工艺流程等要求。综上，项目平面布局合理可行。</w:t>
            </w:r>
          </w:p>
          <w:p>
            <w:pPr>
              <w:rPr>
                <w:rFonts w:hint="eastAsia" w:ascii="Times New Roman" w:hAnsi="Times New Roman" w:eastAsia="宋体"/>
                <w:bCs/>
                <w:caps w:val="0"/>
                <w:color w:val="0000FF"/>
                <w:sz w:val="24"/>
                <w:szCs w:val="24"/>
                <w:lang w:val="en-US" w:eastAsia="zh-CN"/>
              </w:rPr>
            </w:pPr>
          </w:p>
          <w:p>
            <w:pPr>
              <w:pStyle w:val="6"/>
              <w:jc w:val="center"/>
              <w:rPr>
                <w:rFonts w:hint="eastAsia" w:ascii="Times New Roman" w:hAnsi="Times New Roman" w:eastAsia="宋体"/>
                <w:bCs/>
                <w:caps w:val="0"/>
                <w:color w:val="0000FF"/>
                <w:sz w:val="24"/>
                <w:szCs w:val="24"/>
                <w:lang w:val="en-US" w:eastAsia="zh-CN"/>
              </w:rPr>
            </w:pPr>
            <w:r>
              <w:drawing>
                <wp:inline distT="0" distB="0" distL="114300" distR="114300">
                  <wp:extent cx="8096250" cy="5803265"/>
                  <wp:effectExtent l="0" t="0" r="6985" b="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9"/>
                          <a:stretch>
                            <a:fillRect/>
                          </a:stretch>
                        </pic:blipFill>
                        <pic:spPr>
                          <a:xfrm rot="16200000">
                            <a:off x="0" y="0"/>
                            <a:ext cx="8096250" cy="5803265"/>
                          </a:xfrm>
                          <a:prstGeom prst="rect">
                            <a:avLst/>
                          </a:prstGeom>
                          <a:noFill/>
                          <a:ln>
                            <a:noFill/>
                          </a:ln>
                        </pic:spPr>
                      </pic:pic>
                    </a:graphicData>
                  </a:graphic>
                </wp:inline>
              </w:drawing>
            </w:r>
          </w:p>
          <w:p>
            <w:pPr>
              <w:jc w:val="center"/>
              <w:rPr>
                <w:rFonts w:hint="default" w:cs="Times New Roman"/>
                <w:b w:val="0"/>
                <w:bCs w:val="0"/>
                <w:color w:val="0000FF"/>
                <w:kern w:val="0"/>
                <w:sz w:val="24"/>
                <w:szCs w:val="24"/>
                <w:vertAlign w:val="baseline"/>
                <w:lang w:val="en-US" w:eastAsia="zh-CN"/>
              </w:rPr>
            </w:pPr>
            <w:r>
              <w:rPr>
                <w:rFonts w:hint="eastAsia" w:ascii="Times New Roman" w:hAnsi="Times New Roman" w:eastAsia="宋体" w:cs="Times New Roman"/>
                <w:b/>
                <w:color w:val="auto"/>
                <w:kern w:val="0"/>
                <w:sz w:val="21"/>
                <w:szCs w:val="21"/>
                <w:lang w:val="en-US" w:eastAsia="zh-CN"/>
              </w:rPr>
              <w:t>图2-1  项目场地位置示意图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3" w:hRule="atLeast"/>
          <w:jc w:val="center"/>
        </w:trPr>
        <w:tc>
          <w:tcPr>
            <w:tcW w:w="9366" w:type="dxa"/>
            <w:vAlign w:val="top"/>
          </w:tcPr>
          <w:p>
            <w:pPr>
              <w:pStyle w:val="4"/>
              <w:spacing w:line="360" w:lineRule="auto"/>
              <w:rPr>
                <w:rFonts w:hint="eastAsia"/>
                <w:color w:val="auto"/>
                <w:lang w:val="en-US" w:eastAsia="zh-CN"/>
              </w:rPr>
            </w:pPr>
            <w:bookmarkStart w:id="7" w:name="_Toc2043"/>
            <w:r>
              <w:rPr>
                <w:rFonts w:hint="eastAsia"/>
                <w:color w:val="auto"/>
                <w:lang w:val="en-US" w:eastAsia="zh-CN"/>
              </w:rPr>
              <w:t>2.2 原辅料消耗及水平衡</w:t>
            </w:r>
          </w:p>
          <w:p>
            <w:pPr>
              <w:pStyle w:val="36"/>
              <w:spacing w:line="360" w:lineRule="auto"/>
              <w:ind w:left="0" w:leftChars="0" w:firstLine="0" w:firstLineChars="0"/>
              <w:jc w:val="left"/>
              <w:rPr>
                <w:rFonts w:hint="eastAsia" w:ascii="Times New Roman" w:hAnsi="Times New Roman" w:cs="Times New Roman" w:eastAsiaTheme="minorEastAsia"/>
                <w:b/>
                <w:bCs/>
                <w:color w:val="auto"/>
                <w:sz w:val="24"/>
                <w:szCs w:val="22"/>
                <w:lang w:val="en-US" w:eastAsia="zh-CN"/>
              </w:rPr>
            </w:pPr>
            <w:r>
              <w:rPr>
                <w:rFonts w:hint="eastAsia" w:ascii="Times New Roman" w:hAnsi="Times New Roman" w:cs="Times New Roman"/>
                <w:b/>
                <w:bCs/>
                <w:color w:val="auto"/>
                <w:sz w:val="24"/>
                <w:szCs w:val="22"/>
                <w:lang w:val="en-US" w:eastAsia="zh-CN"/>
              </w:rPr>
              <w:t>2.2.1原辅料消耗</w:t>
            </w:r>
          </w:p>
          <w:p>
            <w:pPr>
              <w:pStyle w:val="36"/>
              <w:spacing w:line="360" w:lineRule="auto"/>
              <w:ind w:firstLine="480"/>
              <w:jc w:val="left"/>
              <w:rPr>
                <w:rFonts w:hint="default" w:ascii="Times New Roman" w:hAnsi="Times New Roman" w:cs="Times New Roman"/>
                <w:color w:val="auto"/>
                <w:sz w:val="24"/>
                <w:szCs w:val="22"/>
              </w:rPr>
            </w:pPr>
            <w:r>
              <w:rPr>
                <w:rFonts w:hint="default" w:ascii="Times New Roman" w:hAnsi="Times New Roman" w:cs="Times New Roman" w:eastAsiaTheme="minorEastAsia"/>
                <w:color w:val="auto"/>
                <w:kern w:val="24"/>
                <w:sz w:val="24"/>
                <w:szCs w:val="22"/>
              </w:rPr>
              <w:t>根</w:t>
            </w:r>
            <w:r>
              <w:rPr>
                <w:rFonts w:hint="default" w:ascii="Times New Roman" w:hAnsi="Times New Roman" w:cs="Times New Roman"/>
                <w:color w:val="auto"/>
                <w:sz w:val="24"/>
                <w:szCs w:val="22"/>
              </w:rPr>
              <w:t>据建设单位提供资料，项目所用的原辅材料及能源用量详见</w:t>
            </w:r>
            <w:r>
              <w:rPr>
                <w:rFonts w:hint="default" w:ascii="Times New Roman" w:hAnsi="Times New Roman" w:cs="Times New Roman"/>
                <w:color w:val="auto"/>
                <w:sz w:val="24"/>
                <w:szCs w:val="22"/>
                <w:lang w:eastAsia="zh-CN"/>
              </w:rPr>
              <w:t>下</w:t>
            </w:r>
            <w:r>
              <w:rPr>
                <w:rFonts w:hint="default" w:ascii="Times New Roman" w:hAnsi="Times New Roman" w:cs="Times New Roman"/>
                <w:color w:val="auto"/>
                <w:sz w:val="24"/>
                <w:szCs w:val="22"/>
              </w:rPr>
              <w:t>表。</w:t>
            </w:r>
          </w:p>
          <w:p>
            <w:pPr>
              <w:spacing w:line="360" w:lineRule="auto"/>
              <w:jc w:val="center"/>
              <w:rPr>
                <w:rFonts w:hint="eastAsia" w:ascii="Times New Roman" w:hAnsi="Times New Roman" w:eastAsia="宋体" w:cs="Times New Roman"/>
                <w:b/>
                <w:color w:val="auto"/>
                <w:sz w:val="21"/>
                <w:szCs w:val="21"/>
                <w:lang w:eastAsia="zh-CN"/>
              </w:rPr>
            </w:pPr>
            <w:r>
              <w:rPr>
                <w:rFonts w:hint="default" w:ascii="Times New Roman" w:hAnsi="Times New Roman" w:eastAsia="宋体" w:cs="Times New Roman"/>
                <w:b/>
                <w:color w:val="auto"/>
                <w:kern w:val="0"/>
                <w:sz w:val="21"/>
                <w:szCs w:val="21"/>
              </w:rPr>
              <w:t>表</w:t>
            </w:r>
            <w:r>
              <w:rPr>
                <w:rFonts w:hint="default" w:ascii="Times New Roman" w:hAnsi="Times New Roman" w:eastAsia="宋体" w:cs="Times New Roman"/>
                <w:b/>
                <w:color w:val="auto"/>
                <w:kern w:val="0"/>
                <w:sz w:val="21"/>
                <w:szCs w:val="21"/>
                <w:lang w:val="en-US" w:eastAsia="zh-CN"/>
              </w:rPr>
              <w:t>2-3</w:t>
            </w:r>
            <w:r>
              <w:rPr>
                <w:rFonts w:hint="default" w:ascii="Times New Roman" w:hAnsi="Times New Roman" w:eastAsia="宋体" w:cs="Times New Roman"/>
                <w:b/>
                <w:color w:val="auto"/>
                <w:kern w:val="0"/>
                <w:sz w:val="21"/>
                <w:szCs w:val="21"/>
              </w:rPr>
              <w:t>项目原辅材料消耗一览表</w:t>
            </w:r>
          </w:p>
          <w:tbl>
            <w:tblPr>
              <w:tblStyle w:val="22"/>
              <w:tblW w:w="4995"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0" w:type="dxa"/>
                <w:bottom w:w="0" w:type="dxa"/>
                <w:right w:w="0" w:type="dxa"/>
              </w:tblCellMar>
            </w:tblPr>
            <w:tblGrid>
              <w:gridCol w:w="808"/>
              <w:gridCol w:w="2620"/>
              <w:gridCol w:w="1918"/>
              <w:gridCol w:w="1777"/>
              <w:gridCol w:w="201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43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04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消耗量</w:t>
                  </w:r>
                </w:p>
              </w:tc>
              <w:tc>
                <w:tcPr>
                  <w:tcW w:w="97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储存方式</w:t>
                  </w:r>
                </w:p>
              </w:tc>
              <w:tc>
                <w:tcPr>
                  <w:tcW w:w="110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来源及运输方式</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原料</w:t>
                  </w: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color w:val="auto"/>
                      <w:kern w:val="0"/>
                      <w:sz w:val="21"/>
                      <w:szCs w:val="21"/>
                      <w:lang w:eastAsia="zh-CN"/>
                    </w:rPr>
                    <w:t>密度板</w:t>
                  </w:r>
                </w:p>
              </w:tc>
              <w:tc>
                <w:tcPr>
                  <w:tcW w:w="104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2000张</w:t>
                  </w:r>
                </w:p>
              </w:tc>
              <w:tc>
                <w:tcPr>
                  <w:tcW w:w="972"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r>
                    <w:rPr>
                      <w:rFonts w:hint="default" w:ascii="Times New Roman" w:hAnsi="Times New Roman" w:cs="Times New Roman"/>
                      <w:color w:val="auto"/>
                      <w:sz w:val="21"/>
                      <w:szCs w:val="21"/>
                      <w:lang w:val="en-US" w:eastAsia="zh-CN"/>
                    </w:rPr>
                    <w:t>车间</w:t>
                  </w:r>
                  <w:r>
                    <w:rPr>
                      <w:rFonts w:hint="default" w:ascii="Times New Roman" w:hAnsi="Times New Roman" w:eastAsia="宋体" w:cs="Times New Roman"/>
                      <w:color w:val="auto"/>
                      <w:sz w:val="21"/>
                      <w:szCs w:val="21"/>
                    </w:rPr>
                    <w:t>内暂存</w:t>
                  </w:r>
                </w:p>
              </w:tc>
              <w:tc>
                <w:tcPr>
                  <w:tcW w:w="1101"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外购、汽车运输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多层板</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2000张</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kern w:val="2"/>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方管</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40吨</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铝塑板</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1200张</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PU 白底漆</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1.5吨</w:t>
                  </w:r>
                </w:p>
              </w:tc>
              <w:tc>
                <w:tcPr>
                  <w:tcW w:w="972"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漆料房存放</w:t>
                  </w: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PU 亮光清面漆</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0.75吨</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PU 油漆固化剂</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1.25吨</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PU 油漆稀释剂</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1.5吨</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p>
              </w:tc>
              <w:tc>
                <w:tcPr>
                  <w:tcW w:w="143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水性漆</w:t>
                  </w:r>
                </w:p>
              </w:tc>
              <w:tc>
                <w:tcPr>
                  <w:tcW w:w="1049"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2吨</w:t>
                  </w:r>
                </w:p>
              </w:tc>
              <w:tc>
                <w:tcPr>
                  <w:tcW w:w="972" w:type="pct"/>
                  <w:vMerge w:val="continue"/>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color w:val="auto"/>
                      <w:sz w:val="21"/>
                      <w:szCs w:val="21"/>
                    </w:rPr>
                  </w:pPr>
                </w:p>
              </w:tc>
              <w:tc>
                <w:tcPr>
                  <w:tcW w:w="1101" w:type="pct"/>
                  <w:vMerge w:val="continue"/>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snapToGrid/>
                    <w:spacing w:beforeLines="0" w:afterLines="0" w:line="240" w:lineRule="auto"/>
                    <w:ind w:firstLine="0"/>
                    <w:contextualSpacing/>
                    <w:jc w:val="center"/>
                    <w:textAlignment w:val="auto"/>
                    <w:rPr>
                      <w:rFonts w:hint="default" w:ascii="Times New Roman" w:hAnsi="Times New Roman" w:eastAsia="宋体" w:cs="Times New Roman"/>
                      <w:color w:val="auto"/>
                      <w:sz w:val="21"/>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资源</w:t>
                  </w:r>
                </w:p>
              </w:tc>
              <w:tc>
                <w:tcPr>
                  <w:tcW w:w="143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水</w:t>
                  </w:r>
                </w:p>
              </w:tc>
              <w:tc>
                <w:tcPr>
                  <w:tcW w:w="104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lang w:val="en-US" w:eastAsia="zh-CN"/>
                    </w:rPr>
                    <w:t>10658</w:t>
                  </w:r>
                  <w:r>
                    <w:rPr>
                      <w:rFonts w:hint="default" w:ascii="Times New Roman" w:hAnsi="Times New Roman" w:cs="Times New Roman"/>
                      <w:color w:val="auto"/>
                      <w:kern w:val="0"/>
                      <w:sz w:val="21"/>
                      <w:szCs w:val="21"/>
                    </w:rPr>
                    <w:t>m</w:t>
                  </w:r>
                  <w:r>
                    <w:rPr>
                      <w:rFonts w:hint="default" w:ascii="Times New Roman" w:hAnsi="Times New Roman" w:cs="Times New Roman"/>
                      <w:color w:val="auto"/>
                      <w:kern w:val="0"/>
                      <w:sz w:val="21"/>
                      <w:szCs w:val="21"/>
                      <w:vertAlign w:val="superscript"/>
                    </w:rPr>
                    <w:t>3</w:t>
                  </w:r>
                  <w:r>
                    <w:rPr>
                      <w:rFonts w:hint="default" w:ascii="Times New Roman" w:hAnsi="Times New Roman" w:cs="Times New Roman"/>
                      <w:color w:val="auto"/>
                      <w:kern w:val="0"/>
                      <w:sz w:val="21"/>
                      <w:szCs w:val="21"/>
                    </w:rPr>
                    <w:t>/a</w:t>
                  </w:r>
                </w:p>
              </w:tc>
              <w:tc>
                <w:tcPr>
                  <w:tcW w:w="97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自来水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cantSplit/>
                <w:trHeight w:val="454" w:hRule="atLeast"/>
                <w:jc w:val="center"/>
              </w:trPr>
              <w:tc>
                <w:tcPr>
                  <w:tcW w:w="44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kern w:val="0"/>
                      <w:sz w:val="21"/>
                      <w:szCs w:val="21"/>
                    </w:rPr>
                    <w:t>能源</w:t>
                  </w:r>
                </w:p>
              </w:tc>
              <w:tc>
                <w:tcPr>
                  <w:tcW w:w="143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1"/>
                    </w:rPr>
                    <w:t>电</w:t>
                  </w:r>
                </w:p>
              </w:tc>
              <w:tc>
                <w:tcPr>
                  <w:tcW w:w="104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9.072</w:t>
                  </w:r>
                  <w:r>
                    <w:rPr>
                      <w:rFonts w:hint="default" w:ascii="Times New Roman" w:hAnsi="Times New Roman" w:cs="Times New Roman"/>
                      <w:color w:val="auto"/>
                      <w:sz w:val="21"/>
                      <w:szCs w:val="21"/>
                    </w:rPr>
                    <w:t>万度/a</w:t>
                  </w:r>
                </w:p>
              </w:tc>
              <w:tc>
                <w:tcPr>
                  <w:tcW w:w="97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contextualSpacing/>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w:t>
                  </w:r>
                </w:p>
              </w:tc>
              <w:tc>
                <w:tcPr>
                  <w:tcW w:w="110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contextualSpacing/>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开发区</w:t>
                  </w:r>
                  <w:r>
                    <w:rPr>
                      <w:rFonts w:hint="default" w:ascii="Times New Roman" w:hAnsi="Times New Roman" w:cs="Times New Roman"/>
                      <w:bCs/>
                      <w:color w:val="auto"/>
                      <w:sz w:val="21"/>
                      <w:szCs w:val="21"/>
                    </w:rPr>
                    <w:t>电网</w:t>
                  </w:r>
                </w:p>
              </w:tc>
            </w:tr>
          </w:tbl>
          <w:p>
            <w:pPr>
              <w:pStyle w:val="4"/>
              <w:spacing w:line="360" w:lineRule="auto"/>
              <w:rPr>
                <w:rFonts w:hint="eastAsia"/>
                <w:color w:val="auto"/>
                <w:lang w:val="en-US" w:eastAsia="zh-CN"/>
              </w:rPr>
            </w:pPr>
            <w:r>
              <w:rPr>
                <w:rFonts w:hint="eastAsia"/>
                <w:color w:val="auto"/>
                <w:lang w:val="en-US" w:eastAsia="zh-CN"/>
              </w:rPr>
              <w:t>2.2.2 水平衡</w:t>
            </w:r>
            <w:bookmarkEnd w:id="7"/>
          </w:p>
          <w:p>
            <w:pPr>
              <w:spacing w:line="360" w:lineRule="auto"/>
              <w:ind w:firstLine="480" w:firstLineChars="200"/>
              <w:rPr>
                <w:rFonts w:hint="default" w:ascii="Times New Roman" w:hAnsi="Times New Roman" w:cs="Times New Roman"/>
                <w:bCs/>
                <w:color w:val="auto"/>
                <w:sz w:val="24"/>
              </w:rPr>
            </w:pPr>
            <w:r>
              <w:rPr>
                <w:rFonts w:hint="eastAsia" w:ascii="Times New Roman" w:hAnsi="Times New Roman" w:eastAsia="宋体"/>
                <w:bCs/>
                <w:caps w:val="0"/>
                <w:color w:val="auto"/>
                <w:sz w:val="24"/>
                <w:szCs w:val="24"/>
                <w:lang w:val="en-US" w:eastAsia="zh-CN"/>
              </w:rPr>
              <w:t>本项目产生废水</w:t>
            </w:r>
            <w:r>
              <w:rPr>
                <w:rFonts w:hint="eastAsia" w:ascii="Times New Roman" w:hAnsi="Times New Roman" w:cs="Times New Roman"/>
                <w:bCs/>
                <w:color w:val="auto"/>
                <w:sz w:val="24"/>
              </w:rPr>
              <w:t>主要为</w:t>
            </w:r>
            <w:r>
              <w:rPr>
                <w:rFonts w:hint="eastAsia" w:ascii="Times New Roman" w:hAnsi="Times New Roman" w:cs="Times New Roman"/>
                <w:bCs/>
                <w:color w:val="auto"/>
                <w:sz w:val="24"/>
                <w:lang w:val="en-US" w:eastAsia="zh-CN"/>
              </w:rPr>
              <w:t>清洗废水</w:t>
            </w:r>
            <w:r>
              <w:rPr>
                <w:rFonts w:hint="default" w:ascii="Times New Roman" w:hAnsi="Times New Roman" w:cs="Times New Roman"/>
                <w:bCs/>
                <w:color w:val="auto"/>
                <w:sz w:val="24"/>
              </w:rPr>
              <w:t>。</w:t>
            </w:r>
          </w:p>
          <w:p>
            <w:pPr>
              <w:pStyle w:val="2"/>
              <w:spacing w:line="360" w:lineRule="auto"/>
              <w:ind w:firstLine="480" w:firstLineChars="200"/>
              <w:rPr>
                <w:rFonts w:hint="default" w:ascii="Times New Roman" w:hAnsi="Times New Roman" w:eastAsia="宋体" w:cs="Times New Roman"/>
                <w:bCs/>
                <w:caps w:val="0"/>
                <w:color w:val="auto"/>
                <w:sz w:val="24"/>
                <w:szCs w:val="24"/>
                <w:lang w:val="en-US" w:eastAsia="zh-CN"/>
              </w:rPr>
            </w:pPr>
            <w:r>
              <w:rPr>
                <w:rFonts w:hint="eastAsia" w:hAnsi="Times New Roman" w:eastAsia="宋体" w:cs="Times New Roman"/>
                <w:bCs/>
                <w:caps w:val="0"/>
                <w:color w:val="auto"/>
                <w:sz w:val="24"/>
                <w:szCs w:val="24"/>
                <w:lang w:val="en-US" w:eastAsia="zh-CN"/>
              </w:rPr>
              <w:t>根据厂区实地调查厂区清洗用水量4t/d，消耗量按20%计算，清洗废水产生量为3.2t/d。经厂内污水处理设备处理后用于厂内绿化灌溉，不外排。</w:t>
            </w:r>
          </w:p>
          <w:p>
            <w:pPr>
              <w:rPr>
                <w:rFonts w:hint="default" w:ascii="Times New Roman" w:hAnsi="Times New Roman" w:eastAsia="宋体" w:cs="Times New Roman"/>
                <w:bCs/>
                <w:caps w:val="0"/>
                <w:color w:val="0000FF"/>
                <w:sz w:val="24"/>
                <w:szCs w:val="24"/>
                <w:lang w:val="en-US" w:eastAsia="zh-CN"/>
              </w:rPr>
            </w:pPr>
          </w:p>
          <w:p>
            <w:pPr>
              <w:pStyle w:val="2"/>
              <w:rPr>
                <w:rFonts w:hint="default" w:ascii="Times New Roman" w:hAnsi="Times New Roman" w:eastAsia="宋体" w:cs="Times New Roman"/>
                <w:bCs/>
                <w:caps w:val="0"/>
                <w:color w:val="0000FF"/>
                <w:sz w:val="24"/>
                <w:szCs w:val="24"/>
                <w:lang w:val="en-US" w:eastAsia="zh-CN"/>
              </w:rPr>
            </w:pPr>
          </w:p>
          <w:p>
            <w:pPr>
              <w:pStyle w:val="31"/>
              <w:ind w:left="0" w:leftChars="0" w:firstLine="0" w:firstLineChars="0"/>
              <w:jc w:val="center"/>
              <w:rPr>
                <w:rFonts w:hint="default"/>
                <w:color w:val="0000FF"/>
                <w:lang w:val="en-US" w:eastAsia="zh-CN"/>
              </w:rPr>
            </w:pPr>
            <w:r>
              <w:rPr>
                <w:rFonts w:hint="default"/>
                <w:color w:val="0000FF"/>
                <w:lang w:val="en-US" w:eastAsia="zh-CN"/>
              </w:rPr>
              <w:object>
                <v:shape id="_x0000_i1025" o:spt="75" type="#_x0000_t75" style="height:194.6pt;width:411.05pt;" o:ole="t" filled="f" o:preferrelative="t" stroked="f" coordsize="21600,21600">
                  <v:path/>
                  <v:fill on="f" focussize="0,0"/>
                  <v:stroke on="f"/>
                  <v:imagedata r:id="rId11" o:title=""/>
                  <o:lock v:ext="edit" aspectratio="t"/>
                  <w10:wrap type="none"/>
                  <w10:anchorlock/>
                </v:shape>
                <o:OLEObject Type="Embed" ProgID="Visio.Drawing.15" ShapeID="_x0000_i1025" DrawAspect="Content" ObjectID="_1468075725" r:id="rId10">
                  <o:LockedField>false</o:LockedField>
                </o:OLEObject>
              </w:object>
            </w:r>
          </w:p>
          <w:p>
            <w:pPr>
              <w:spacing w:line="360" w:lineRule="auto"/>
              <w:jc w:val="center"/>
              <w:rPr>
                <w:rFonts w:hint="default"/>
                <w:color w:val="0000FF"/>
                <w:sz w:val="21"/>
                <w:szCs w:val="21"/>
                <w:lang w:val="en-US" w:eastAsia="zh-CN"/>
              </w:rPr>
            </w:pPr>
            <w:r>
              <w:rPr>
                <w:rFonts w:hint="default" w:ascii="Times New Roman" w:hAnsi="Times New Roman" w:eastAsia="黑体" w:cs="Times New Roman"/>
                <w:b/>
                <w:bCs/>
                <w:color w:val="auto"/>
                <w:sz w:val="21"/>
                <w:szCs w:val="21"/>
                <w:lang w:val="en-US" w:eastAsia="zh-CN"/>
              </w:rPr>
              <w:t>图2</w:t>
            </w:r>
            <w:r>
              <w:rPr>
                <w:rFonts w:hint="eastAsia"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项目水平衡图 </w:t>
            </w:r>
            <w:r>
              <w:rPr>
                <w:rFonts w:hint="default" w:ascii="Times New Roman" w:hAnsi="Times New Roman" w:eastAsia="黑体" w:cs="Times New Roman"/>
                <w:color w:val="auto"/>
                <w:sz w:val="21"/>
                <w:szCs w:val="21"/>
                <w:lang w:val="en-US" w:eastAsia="zh-CN"/>
              </w:rPr>
              <w:t>（单位：t/</w:t>
            </w:r>
            <w:r>
              <w:rPr>
                <w:rFonts w:hint="eastAsia" w:ascii="Times New Roman" w:hAnsi="Times New Roman" w:eastAsia="黑体" w:cs="Times New Roman"/>
                <w:color w:val="auto"/>
                <w:sz w:val="21"/>
                <w:szCs w:val="21"/>
                <w:lang w:val="en-US" w:eastAsia="zh-CN"/>
              </w:rPr>
              <w:t>a</w:t>
            </w:r>
            <w:r>
              <w:rPr>
                <w:rFonts w:hint="default" w:ascii="Times New Roman" w:hAnsi="Times New Roman" w:eastAsia="黑体" w:cs="Times New Roman"/>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366" w:type="dxa"/>
            <w:vAlign w:val="top"/>
          </w:tcPr>
          <w:p>
            <w:pPr>
              <w:pStyle w:val="4"/>
              <w:spacing w:line="360" w:lineRule="auto"/>
              <w:rPr>
                <w:rFonts w:hint="eastAsia"/>
                <w:color w:val="auto"/>
                <w:lang w:val="en-US" w:eastAsia="zh-CN"/>
              </w:rPr>
            </w:pPr>
            <w:bookmarkStart w:id="8" w:name="_Toc28728"/>
            <w:r>
              <w:rPr>
                <w:rFonts w:hint="eastAsia"/>
                <w:color w:val="auto"/>
                <w:lang w:val="en-US" w:eastAsia="zh-CN"/>
              </w:rPr>
              <w:t>2.3 主要工艺流程及产污环节</w:t>
            </w:r>
            <w:bookmarkEnd w:id="8"/>
          </w:p>
          <w:p>
            <w:pPr>
              <w:adjustRightInd w:val="0"/>
              <w:snapToGrid w:val="0"/>
              <w:spacing w:line="360" w:lineRule="auto"/>
              <w:ind w:firstLine="480" w:firstLineChars="200"/>
              <w:rPr>
                <w:rFonts w:eastAsia="黑体"/>
                <w:color w:val="auto"/>
                <w:sz w:val="24"/>
                <w:szCs w:val="22"/>
              </w:rPr>
            </w:pPr>
            <w:r>
              <w:rPr>
                <w:rFonts w:eastAsia="黑体"/>
                <w:color w:val="auto"/>
                <w:sz w:val="24"/>
                <w:szCs w:val="22"/>
              </w:rPr>
              <w:t>一、工艺流程简述</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项目产品生产是由</w:t>
            </w:r>
            <w:r>
              <w:rPr>
                <w:rFonts w:hint="eastAsia" w:ascii="Times New Roman" w:hAnsi="Times New Roman" w:eastAsia="宋体" w:cs="Times New Roman"/>
                <w:color w:val="auto"/>
                <w:sz w:val="24"/>
                <w:szCs w:val="24"/>
                <w:lang w:val="en-US" w:eastAsia="zh-CN"/>
              </w:rPr>
              <w:t>框架加工和喷漆</w:t>
            </w:r>
            <w:r>
              <w:rPr>
                <w:rFonts w:hint="default" w:ascii="Times New Roman" w:hAnsi="Times New Roman" w:eastAsia="宋体" w:cs="Times New Roman"/>
                <w:color w:val="auto"/>
                <w:sz w:val="24"/>
                <w:szCs w:val="24"/>
                <w:lang w:val="en-US" w:eastAsia="zh-CN"/>
              </w:rPr>
              <w:t>两个主要生产环节组成。</w:t>
            </w:r>
            <w:r>
              <w:rPr>
                <w:rFonts w:hint="eastAsia" w:ascii="Times New Roman" w:hAnsi="Times New Roman" w:eastAsia="宋体" w:cs="Times New Roman"/>
                <w:color w:val="auto"/>
                <w:sz w:val="24"/>
                <w:szCs w:val="24"/>
                <w:lang w:val="en-US" w:eastAsia="zh-CN"/>
              </w:rPr>
              <w:t>具体生产流程如下图所示：</w:t>
            </w: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eastAsia" w:ascii="Times New Roman" w:hAnsi="Times New Roman" w:eastAsia="宋体" w:cs="Times New Roman"/>
                <w:color w:val="auto"/>
                <w:sz w:val="24"/>
                <w:szCs w:val="24"/>
                <w:lang w:val="en-US" w:eastAsia="zh-CN"/>
              </w:rPr>
            </w:pPr>
          </w:p>
          <w:p>
            <w:pPr>
              <w:pStyle w:val="11"/>
              <w:rPr>
                <w:rFonts w:hint="eastAsia" w:ascii="Times New Roman" w:hAnsi="Times New Roman" w:eastAsia="宋体" w:cs="Times New Roman"/>
                <w:color w:val="auto"/>
                <w:sz w:val="24"/>
                <w:szCs w:val="24"/>
                <w:lang w:val="en-US" w:eastAsia="zh-CN"/>
              </w:rPr>
            </w:pPr>
          </w:p>
          <w:p>
            <w:pPr>
              <w:rPr>
                <w:rFonts w:hint="default"/>
                <w:lang w:val="en-US" w:eastAsia="zh-CN"/>
              </w:rPr>
            </w:pPr>
          </w:p>
          <w:p>
            <w:pPr>
              <w:adjustRightInd w:val="0"/>
              <w:snapToGrid w:val="0"/>
              <w:spacing w:line="360" w:lineRule="auto"/>
              <w:ind w:firstLine="420" w:firstLineChars="200"/>
              <w:rPr>
                <w:rFonts w:hint="default" w:ascii="Times New Roman" w:hAnsi="Times New Roman" w:eastAsia="宋体" w:cs="Times New Roman"/>
                <w:color w:val="auto"/>
                <w:sz w:val="24"/>
                <w:szCs w:val="24"/>
                <w:lang w:val="en-US" w:eastAsia="zh-CN"/>
              </w:rPr>
            </w:pPr>
            <w:r>
              <w:drawing>
                <wp:inline distT="0" distB="0" distL="114300" distR="114300">
                  <wp:extent cx="5257165" cy="7139305"/>
                  <wp:effectExtent l="0" t="0" r="635" b="44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a:stretch>
                            <a:fillRect/>
                          </a:stretch>
                        </pic:blipFill>
                        <pic:spPr>
                          <a:xfrm>
                            <a:off x="0" y="0"/>
                            <a:ext cx="5257165" cy="7139305"/>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图</w:t>
            </w:r>
            <w:r>
              <w:rPr>
                <w:rFonts w:hint="default"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rPr>
              <w:t>-</w:t>
            </w:r>
            <w:r>
              <w:rPr>
                <w:rFonts w:hint="eastAsia" w:ascii="Times New Roman" w:hAnsi="Times New Roman" w:eastAsia="宋体" w:cs="Times New Roman"/>
                <w:b/>
                <w:bCs/>
                <w:color w:val="auto"/>
                <w:sz w:val="24"/>
                <w:szCs w:val="24"/>
                <w:lang w:val="en-US" w:eastAsia="zh-CN"/>
              </w:rPr>
              <w:t>3产品</w:t>
            </w:r>
            <w:r>
              <w:rPr>
                <w:rFonts w:hint="default" w:ascii="Times New Roman" w:hAnsi="Times New Roman" w:eastAsia="宋体" w:cs="Times New Roman"/>
                <w:b/>
                <w:bCs/>
                <w:color w:val="auto"/>
                <w:sz w:val="24"/>
                <w:szCs w:val="24"/>
              </w:rPr>
              <w:t>工艺流程及产污节点图</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铝活塞铸造工艺流程：</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锯料：外购木板和钢板，根据客户要求，木材通过电子锯锯料，钢板通过剪板机剪切，分别得到符合要求的木板和钢板。</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机加工：根据不同产品需求，木板通过压刨、钻孔、雕刻和修边和封边等工序，钢板通过折弯和打磨等工序，分别得到木板和钢板的半成品。</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喷底漆：为提高结构件的防腐能力并加强结构件与面漆的结合能力，结构件先喷涂底漆，喷涂底漆在密闭喷漆室内进行，项目采用人工方式进行喷涂。此工序产生噪声、喷漆及烘干废气等。</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烘干：喷底漆完成过后，移至烘干房，将烘干房内温度升至60℃左中右，采用红外线加热烘烤，烤漆时用电加热，无需采用燃料，烘烤时间大约为30分钟。此工序产生烤漆废气。</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打磨：喷底漆后需进行打磨，此工序会产生打磨粉尘。</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喷面漆及烘干：为使结构件美观并增强其防腐性能，在完成前还需喷涂面漆，将原子灰打磨好的工件移至喷漆房，人工用喷枪将面漆喷涂在工件上，形成涂层，喷面漆与喷底漆都在喷漆室内完成。2个工人独立喷涂作业。此工序产生少量喷漆和烘干废气和噪声。与喷底漆相似，面漆喷涂后也需进行烘干处理。</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组装：将完成喷漆的木板工件和钢板工件进行组装。</w:t>
            </w:r>
          </w:p>
          <w:p>
            <w:pPr>
              <w:pStyle w:val="2"/>
              <w:keepNext w:val="0"/>
              <w:keepLines w:val="0"/>
              <w:pageBreakBefore w:val="0"/>
              <w:widowControl w:val="0"/>
              <w:kinsoku/>
              <w:wordWrap/>
              <w:overflowPunct/>
              <w:topLinePunct w:val="0"/>
              <w:autoSpaceDE/>
              <w:autoSpaceDN/>
              <w:bidi w:val="0"/>
              <w:adjustRightInd/>
              <w:snapToGrid/>
              <w:spacing w:after="0" w:afterLines="0"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包装：将完成组装的成品进行包装，放入成品堆放区，等待出货。此工序产生少量的固体废物和噪声。</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黑体"/>
                <w:color w:val="auto"/>
                <w:sz w:val="24"/>
                <w:szCs w:val="22"/>
                <w:lang w:val="en-US" w:eastAsia="zh-CN"/>
              </w:rPr>
            </w:pPr>
            <w:r>
              <w:rPr>
                <w:rFonts w:eastAsia="黑体"/>
                <w:color w:val="auto"/>
                <w:sz w:val="24"/>
                <w:szCs w:val="22"/>
              </w:rPr>
              <w:t>二、主要</w:t>
            </w:r>
            <w:r>
              <w:rPr>
                <w:rFonts w:hint="eastAsia" w:eastAsia="黑体"/>
                <w:color w:val="auto"/>
                <w:sz w:val="24"/>
                <w:szCs w:val="22"/>
                <w:lang w:val="en-US" w:eastAsia="zh-CN"/>
              </w:rPr>
              <w:t>产排污环节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auto"/>
                <w:sz w:val="24"/>
                <w:szCs w:val="22"/>
              </w:rPr>
            </w:pPr>
            <w:r>
              <w:rPr>
                <w:color w:val="auto"/>
                <w:sz w:val="24"/>
                <w:szCs w:val="22"/>
              </w:rPr>
              <w:t>项目污染物产生</w:t>
            </w:r>
            <w:r>
              <w:rPr>
                <w:rFonts w:hint="eastAsia"/>
                <w:color w:val="auto"/>
                <w:sz w:val="24"/>
                <w:szCs w:val="22"/>
                <w:lang w:val="en-US" w:eastAsia="zh-CN"/>
              </w:rPr>
              <w:t>环节一览表</w:t>
            </w:r>
            <w:r>
              <w:rPr>
                <w:color w:val="auto"/>
                <w:sz w:val="24"/>
                <w:szCs w:val="22"/>
              </w:rPr>
              <w:t>见表2-</w:t>
            </w:r>
            <w:r>
              <w:rPr>
                <w:rFonts w:hint="eastAsia"/>
                <w:color w:val="auto"/>
                <w:sz w:val="24"/>
                <w:szCs w:val="22"/>
                <w:lang w:val="en-US" w:eastAsia="zh-CN"/>
              </w:rPr>
              <w:t>4</w:t>
            </w:r>
            <w:r>
              <w:rPr>
                <w:color w:val="auto"/>
                <w:sz w:val="24"/>
                <w:szCs w:val="22"/>
              </w:rPr>
              <w:t>。</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rPr>
              <w:t>表2-</w:t>
            </w:r>
            <w:r>
              <w:rPr>
                <w:rFonts w:hint="default" w:ascii="Times New Roman" w:hAnsi="Times New Roman" w:eastAsia="宋体" w:cs="Times New Roman"/>
                <w:b/>
                <w:bCs w:val="0"/>
                <w:color w:val="auto"/>
                <w:szCs w:val="21"/>
                <w:lang w:val="en-US" w:eastAsia="zh-CN"/>
              </w:rPr>
              <w:t>4</w:t>
            </w:r>
            <w:r>
              <w:rPr>
                <w:rFonts w:hint="eastAsia" w:ascii="Times New Roman" w:hAnsi="Times New Roman" w:eastAsia="宋体" w:cs="Times New Roman"/>
                <w:b/>
                <w:bCs w:val="0"/>
                <w:color w:val="auto"/>
                <w:szCs w:val="21"/>
                <w:lang w:val="en-US" w:eastAsia="zh-CN"/>
              </w:rPr>
              <w:t xml:space="preserve"> </w:t>
            </w:r>
            <w:r>
              <w:rPr>
                <w:rFonts w:hint="default" w:ascii="Times New Roman" w:hAnsi="Times New Roman" w:eastAsia="宋体" w:cs="Times New Roman"/>
                <w:b/>
                <w:bCs w:val="0"/>
                <w:color w:val="auto"/>
                <w:szCs w:val="21"/>
              </w:rPr>
              <w:t>项目污染物产生</w:t>
            </w:r>
            <w:r>
              <w:rPr>
                <w:rFonts w:hint="default" w:ascii="Times New Roman" w:hAnsi="Times New Roman" w:eastAsia="宋体" w:cs="Times New Roman"/>
                <w:b/>
                <w:bCs w:val="0"/>
                <w:color w:val="auto"/>
                <w:szCs w:val="21"/>
                <w:lang w:val="en-US" w:eastAsia="zh-CN"/>
              </w:rPr>
              <w:t>环节一览表</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3506"/>
              <w:gridCol w:w="4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1918"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污染源</w:t>
                  </w:r>
                </w:p>
              </w:tc>
              <w:tc>
                <w:tcPr>
                  <w:tcW w:w="2448" w:type="pct"/>
                  <w:noWrap w:val="0"/>
                  <w:vAlign w:val="center"/>
                </w:tcPr>
                <w:p>
                  <w:pPr>
                    <w:adjustRightInd w:val="0"/>
                    <w:snapToGrid w:val="0"/>
                    <w:spacing w:line="300" w:lineRule="exact"/>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主要污染因子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restar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废气</w:t>
                  </w: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木材加工工序（锯料、机加工）</w:t>
                  </w:r>
                </w:p>
              </w:tc>
              <w:tc>
                <w:tcPr>
                  <w:tcW w:w="244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lang w:val="en-US" w:eastAsia="zh-CN"/>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continue"/>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涂装工序（喷漆、烘干）</w:t>
                  </w:r>
                </w:p>
              </w:tc>
              <w:tc>
                <w:tcPr>
                  <w:tcW w:w="244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漆雾，有机废气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continue"/>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组装工序</w:t>
                  </w:r>
                </w:p>
              </w:tc>
              <w:tc>
                <w:tcPr>
                  <w:tcW w:w="244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sz w:val="21"/>
                    </w:rPr>
                    <w:t>有机废气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continue"/>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焊接工序</w:t>
                  </w:r>
                </w:p>
              </w:tc>
              <w:tc>
                <w:tcPr>
                  <w:tcW w:w="244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sz w:val="21"/>
                    </w:rPr>
                    <w:t>焊接烟尘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vMerge w:val="continue"/>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不锈钢板机加工</w:t>
                  </w:r>
                </w:p>
              </w:tc>
              <w:tc>
                <w:tcPr>
                  <w:tcW w:w="244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sz w:val="21"/>
                    </w:rPr>
                    <w:t>打磨粉尘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废水</w:t>
                  </w:r>
                </w:p>
              </w:tc>
              <w:tc>
                <w:tcPr>
                  <w:tcW w:w="191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生活废水</w:t>
                  </w:r>
                </w:p>
              </w:tc>
              <w:tc>
                <w:tcPr>
                  <w:tcW w:w="2448" w:type="pct"/>
                  <w:noWrap w:val="0"/>
                  <w:vAlign w:val="center"/>
                </w:tcPr>
                <w:p>
                  <w:pPr>
                    <w:adjustRightInd w:val="0"/>
                    <w:snapToGrid w:val="0"/>
                    <w:spacing w:line="300" w:lineRule="exact"/>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color w:val="auto"/>
                      <w:sz w:val="21"/>
                      <w:szCs w:val="21"/>
                      <w:lang w:val="en-US" w:eastAsia="zh-CN"/>
                    </w:rPr>
                    <w:t>CODCr、BOD</w:t>
                  </w:r>
                  <w:r>
                    <w:rPr>
                      <w:rFonts w:hint="default" w:ascii="Times New Roman" w:hAnsi="Times New Roman" w:cs="Times New Roman" w:eastAsiaTheme="minorEastAsia"/>
                      <w:color w:val="auto"/>
                      <w:sz w:val="21"/>
                      <w:szCs w:val="21"/>
                      <w:vertAlign w:val="subscript"/>
                      <w:lang w:val="en-US" w:eastAsia="zh-CN"/>
                    </w:rPr>
                    <w:t>5</w:t>
                  </w:r>
                  <w:r>
                    <w:rPr>
                      <w:rFonts w:hint="default" w:ascii="Times New Roman" w:hAnsi="Times New Roman" w:cs="Times New Roman" w:eastAsiaTheme="minorEastAsia"/>
                      <w:color w:val="auto"/>
                      <w:sz w:val="21"/>
                      <w:szCs w:val="21"/>
                      <w:lang w:val="en-US" w:eastAsia="zh-CN"/>
                    </w:rPr>
                    <w:t>、SS、NH</w:t>
                  </w:r>
                  <w:r>
                    <w:rPr>
                      <w:rFonts w:hint="default" w:ascii="Times New Roman" w:hAnsi="Times New Roman" w:cs="Times New Roman" w:eastAsiaTheme="minorEastAsia"/>
                      <w:color w:val="auto"/>
                      <w:sz w:val="21"/>
                      <w:szCs w:val="21"/>
                      <w:vertAlign w:val="subscript"/>
                      <w:lang w:val="en-US" w:eastAsia="zh-CN"/>
                    </w:rPr>
                    <w:t>3</w:t>
                  </w:r>
                  <w:r>
                    <w:rPr>
                      <w:rFonts w:hint="default" w:ascii="Times New Roman" w:hAnsi="Times New Roman" w:cs="Times New Roman" w:eastAsiaTheme="minorEastAsia"/>
                      <w:color w:val="auto"/>
                      <w:sz w:val="21"/>
                      <w:szCs w:val="21"/>
                      <w:lang w:val="en-US" w:eastAsia="zh-CN"/>
                    </w:rPr>
                    <w:t>-N等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918"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全过程</w:t>
                  </w:r>
                </w:p>
              </w:tc>
              <w:tc>
                <w:tcPr>
                  <w:tcW w:w="2448"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机械设备运行噪声</w:t>
                  </w:r>
                  <w:r>
                    <w:rPr>
                      <w:rFonts w:hint="default" w:ascii="Times New Roman" w:hAnsi="Times New Roman" w:cs="Times New Roman"/>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32" w:type="pct"/>
                  <w:noWrap w:val="0"/>
                  <w:vAlign w:val="center"/>
                </w:tcPr>
                <w:p>
                  <w:pPr>
                    <w:adjustRightInd w:val="0"/>
                    <w:snapToGrid w:val="0"/>
                    <w:spacing w:line="30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固废</w:t>
                  </w:r>
                </w:p>
              </w:tc>
              <w:tc>
                <w:tcPr>
                  <w:tcW w:w="1918" w:type="pct"/>
                  <w:noWrap w:val="0"/>
                  <w:vAlign w:val="center"/>
                </w:tcPr>
                <w:p>
                  <w:pPr>
                    <w:adjustRightInd w:val="0"/>
                    <w:snapToGrid w:val="0"/>
                    <w:spacing w:line="300" w:lineRule="exact"/>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加工、喷涂</w:t>
                  </w:r>
                </w:p>
              </w:tc>
              <w:tc>
                <w:tcPr>
                  <w:tcW w:w="2448" w:type="pct"/>
                  <w:noWrap w:val="0"/>
                  <w:vAlign w:val="center"/>
                </w:tcPr>
                <w:p>
                  <w:pPr>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一般工业固废、</w:t>
                  </w:r>
                  <w:r>
                    <w:rPr>
                      <w:rFonts w:hint="eastAsia" w:ascii="Times New Roman" w:hAnsi="Times New Roman" w:eastAsia="宋体" w:cs="Times New Roman"/>
                      <w:color w:val="auto"/>
                      <w:sz w:val="21"/>
                      <w:szCs w:val="21"/>
                      <w:lang w:val="en-US" w:eastAsia="zh-CN"/>
                    </w:rPr>
                    <w:t>危险废物</w:t>
                  </w:r>
                </w:p>
              </w:tc>
            </w:tr>
          </w:tbl>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b/>
                <w:bCs/>
                <w:color w:val="auto"/>
                <w:sz w:val="24"/>
                <w:szCs w:val="24"/>
                <w:lang w:val="en-US" w:eastAsia="zh-CN"/>
              </w:rPr>
            </w:pPr>
            <w:r>
              <w:rPr>
                <w:rFonts w:hint="eastAsia"/>
                <w:b/>
                <w:bCs/>
                <w:color w:val="auto"/>
                <w:sz w:val="24"/>
                <w:szCs w:val="24"/>
                <w:lang w:val="en-US" w:eastAsia="zh-CN"/>
              </w:rPr>
              <w:t>2.4项目变动情况分析：</w:t>
            </w:r>
          </w:p>
          <w:p>
            <w:pPr>
              <w:pStyle w:val="75"/>
              <w:spacing w:line="360" w:lineRule="auto"/>
              <w:rPr>
                <w:rFonts w:hint="eastAsia"/>
                <w:b w:val="0"/>
                <w:bCs/>
                <w:color w:val="auto"/>
                <w:sz w:val="24"/>
                <w:szCs w:val="24"/>
                <w:lang w:val="en-US" w:eastAsia="zh-CN"/>
              </w:rPr>
            </w:pPr>
            <w:r>
              <w:rPr>
                <w:rFonts w:hint="eastAsia"/>
                <w:b w:val="0"/>
                <w:bCs/>
                <w:color w:val="auto"/>
                <w:sz w:val="24"/>
                <w:szCs w:val="24"/>
                <w:lang w:val="en-US" w:eastAsia="zh-CN"/>
              </w:rPr>
              <w:t>本项目变动情况如下表所示：</w:t>
            </w:r>
          </w:p>
          <w:p>
            <w:pPr>
              <w:pStyle w:val="2"/>
              <w:spacing w:line="360" w:lineRule="auto"/>
              <w:jc w:val="center"/>
              <w:rPr>
                <w:rFonts w:hint="eastAsia" w:cs="宋体"/>
                <w:b/>
                <w:bCs/>
                <w:color w:val="auto"/>
                <w:sz w:val="21"/>
                <w:szCs w:val="21"/>
              </w:rPr>
            </w:pPr>
            <w:r>
              <w:rPr>
                <w:rFonts w:hint="eastAsia" w:cs="宋体"/>
                <w:b/>
                <w:bCs/>
                <w:color w:val="auto"/>
                <w:sz w:val="21"/>
                <w:szCs w:val="21"/>
              </w:rPr>
              <w:t>表</w:t>
            </w:r>
            <w:r>
              <w:rPr>
                <w:rFonts w:hint="eastAsia" w:ascii="Times New Roman" w:hAnsi="Times New Roman" w:cs="宋体"/>
                <w:b/>
                <w:bCs/>
                <w:color w:val="auto"/>
                <w:sz w:val="21"/>
                <w:szCs w:val="21"/>
              </w:rPr>
              <w:t>2</w:t>
            </w:r>
            <w:r>
              <w:rPr>
                <w:rFonts w:hint="eastAsia" w:cs="宋体"/>
                <w:b/>
                <w:bCs/>
                <w:color w:val="auto"/>
                <w:sz w:val="21"/>
                <w:szCs w:val="21"/>
              </w:rPr>
              <w:t>-</w:t>
            </w:r>
            <w:r>
              <w:rPr>
                <w:rFonts w:hint="eastAsia" w:ascii="Times New Roman" w:hAnsi="Times New Roman" w:cs="宋体"/>
                <w:b/>
                <w:bCs/>
                <w:color w:val="auto"/>
                <w:sz w:val="21"/>
                <w:szCs w:val="21"/>
              </w:rPr>
              <w:t>5</w:t>
            </w:r>
            <w:r>
              <w:rPr>
                <w:rFonts w:hint="eastAsia" w:cs="宋体"/>
                <w:b/>
                <w:bCs/>
                <w:color w:val="auto"/>
                <w:sz w:val="21"/>
                <w:szCs w:val="21"/>
              </w:rPr>
              <w:t>项目变动情况表</w:t>
            </w:r>
          </w:p>
          <w:tbl>
            <w:tblPr>
              <w:tblStyle w:val="22"/>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3298"/>
              <w:gridCol w:w="3282"/>
              <w:gridCol w:w="25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725" w:hRule="atLeast"/>
                <w:jc w:val="center"/>
              </w:trPr>
              <w:tc>
                <w:tcPr>
                  <w:tcW w:w="1809" w:type="pct"/>
                  <w:noWrap w:val="0"/>
                  <w:vAlign w:val="center"/>
                </w:tcPr>
                <w:p>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环评与批复要求</w:t>
                  </w:r>
                </w:p>
              </w:tc>
              <w:tc>
                <w:tcPr>
                  <w:tcW w:w="1800" w:type="pct"/>
                  <w:noWrap w:val="0"/>
                  <w:vAlign w:val="center"/>
                </w:tcPr>
                <w:p>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项目实际建设情况</w:t>
                  </w:r>
                </w:p>
              </w:tc>
              <w:tc>
                <w:tcPr>
                  <w:tcW w:w="1390" w:type="pct"/>
                  <w:noWrap w:val="0"/>
                  <w:vAlign w:val="center"/>
                </w:tcPr>
                <w:p>
                  <w:pPr>
                    <w:adjustRightInd w:val="0"/>
                    <w:snapToGri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变更说明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809" w:type="pct"/>
                  <w:noWrap w:val="0"/>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喷漆房废气和烘干房废气一并经</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水喷淋+过滤棉+二级活性炭</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装置处理后由15m高排气筒排放</w:t>
                  </w:r>
                </w:p>
              </w:tc>
              <w:tc>
                <w:tcPr>
                  <w:tcW w:w="1800" w:type="pct"/>
                  <w:noWrap w:val="0"/>
                  <w:vAlign w:val="center"/>
                </w:tcPr>
                <w:p>
                  <w:pPr>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实际建设过程，将底漆房和临近的一个面漆房废气收集后</w:t>
                  </w:r>
                  <w:r>
                    <w:rPr>
                      <w:rFonts w:hint="default" w:ascii="Times New Roman" w:hAnsi="Times New Roman" w:cs="Times New Roman"/>
                      <w:color w:val="auto"/>
                      <w:sz w:val="21"/>
                      <w:szCs w:val="21"/>
                    </w:rPr>
                    <w:t>经</w:t>
                  </w:r>
                  <w:r>
                    <w:rPr>
                      <w:rFonts w:hint="eastAsia" w:ascii="Times New Roman" w:hAnsi="Times New Roman" w:cs="Times New Roman"/>
                      <w:color w:val="auto"/>
                      <w:sz w:val="21"/>
                      <w:szCs w:val="21"/>
                      <w:lang w:val="en-US" w:eastAsia="zh-CN"/>
                    </w:rPr>
                    <w:t>一套</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水喷淋+过滤棉+二级活性炭</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装置处理后由15m高排气筒排放</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将烘干房和临近的一个面漆房废气收集后</w:t>
                  </w:r>
                  <w:r>
                    <w:rPr>
                      <w:rFonts w:hint="default" w:ascii="Times New Roman" w:hAnsi="Times New Roman" w:cs="Times New Roman"/>
                      <w:color w:val="auto"/>
                      <w:sz w:val="21"/>
                      <w:szCs w:val="21"/>
                    </w:rPr>
                    <w:t>经</w:t>
                  </w:r>
                  <w:r>
                    <w:rPr>
                      <w:rFonts w:hint="eastAsia" w:ascii="Times New Roman" w:hAnsi="Times New Roman" w:cs="Times New Roman"/>
                      <w:color w:val="auto"/>
                      <w:sz w:val="21"/>
                      <w:szCs w:val="21"/>
                      <w:lang w:val="en-US" w:eastAsia="zh-CN"/>
                    </w:rPr>
                    <w:t>一套</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水喷淋+过滤棉+二级活性炭</w:t>
                  </w:r>
                  <w:r>
                    <w:rPr>
                      <w:rFonts w:hint="eastAsia" w:ascii="Times New Roman" w:hAnsi="Times New Roman" w:cs="Times New Roman"/>
                      <w:color w:val="auto"/>
                      <w:sz w:val="21"/>
                      <w:szCs w:val="21"/>
                      <w:lang w:eastAsia="zh-CN"/>
                    </w:rPr>
                    <w:t>”</w:t>
                  </w:r>
                  <w:r>
                    <w:rPr>
                      <w:rFonts w:hint="default" w:ascii="Times New Roman" w:hAnsi="Times New Roman" w:cs="Times New Roman"/>
                      <w:color w:val="auto"/>
                      <w:sz w:val="21"/>
                      <w:szCs w:val="21"/>
                    </w:rPr>
                    <w:t>装置处理后由15m高排气筒排放</w:t>
                  </w:r>
                  <w:r>
                    <w:rPr>
                      <w:rFonts w:hint="eastAsia" w:ascii="Times New Roman" w:hAnsi="Times New Roman" w:cs="Times New Roman"/>
                      <w:color w:val="auto"/>
                      <w:sz w:val="21"/>
                      <w:szCs w:val="21"/>
                      <w:lang w:eastAsia="zh-CN"/>
                    </w:rPr>
                    <w:t>。</w:t>
                  </w:r>
                </w:p>
              </w:tc>
              <w:tc>
                <w:tcPr>
                  <w:tcW w:w="1390" w:type="pct"/>
                  <w:noWrap w:val="0"/>
                  <w:vAlign w:val="center"/>
                </w:tcPr>
                <w:p>
                  <w:pPr>
                    <w:widowControl/>
                    <w:jc w:val="center"/>
                    <w:rPr>
                      <w:rFonts w:hint="default" w:ascii="Times New Roman" w:hAnsi="Times New Roman" w:cs="Times New Roman" w:eastAsiaTheme="minorEastAsia"/>
                      <w:bCs/>
                      <w:color w:val="auto"/>
                      <w:sz w:val="21"/>
                      <w:szCs w:val="21"/>
                      <w:lang w:val="en-US" w:eastAsia="zh-CN"/>
                    </w:rPr>
                  </w:pPr>
                  <w:r>
                    <w:rPr>
                      <w:rFonts w:hint="eastAsia" w:ascii="Times New Roman" w:hAnsi="Times New Roman" w:cs="Times New Roman"/>
                      <w:bCs/>
                      <w:color w:val="auto"/>
                      <w:sz w:val="21"/>
                      <w:szCs w:val="21"/>
                      <w:lang w:val="en-US" w:eastAsia="zh-CN"/>
                    </w:rPr>
                    <w:t>原设计中将1间底漆房2间面漆房和烘干房的废气经一套系统处理。由于四个房间很少同时使用，故建设时进行调整，分别经2套处理设备处理。</w:t>
                  </w:r>
                </w:p>
              </w:tc>
            </w:tr>
          </w:tbl>
          <w:p>
            <w:pPr>
              <w:autoSpaceDE w:val="0"/>
              <w:autoSpaceDN w:val="0"/>
              <w:adjustRightInd w:val="0"/>
              <w:spacing w:line="360" w:lineRule="auto"/>
              <w:ind w:firstLine="480" w:firstLineChars="200"/>
              <w:jc w:val="left"/>
              <w:rPr>
                <w:rFonts w:hint="eastAsia"/>
                <w:color w:val="auto"/>
                <w:sz w:val="24"/>
              </w:rPr>
            </w:pPr>
            <w:r>
              <w:rPr>
                <w:rFonts w:hint="eastAsia"/>
                <w:color w:val="auto"/>
                <w:sz w:val="24"/>
              </w:rPr>
              <w:t>经现场勘察项目</w:t>
            </w:r>
            <w:r>
              <w:rPr>
                <w:color w:val="auto"/>
                <w:sz w:val="24"/>
              </w:rPr>
              <w:t>建设</w:t>
            </w:r>
            <w:r>
              <w:rPr>
                <w:rFonts w:hint="eastAsia"/>
                <w:color w:val="auto"/>
                <w:sz w:val="24"/>
              </w:rPr>
              <w:t>基本</w:t>
            </w:r>
            <w:r>
              <w:rPr>
                <w:color w:val="auto"/>
                <w:sz w:val="24"/>
              </w:rPr>
              <w:t>落实环评文件和环评批复要求，</w:t>
            </w:r>
            <w:r>
              <w:rPr>
                <w:rFonts w:hint="eastAsia"/>
                <w:color w:val="auto"/>
                <w:sz w:val="24"/>
              </w:rPr>
              <w:t>项目为</w:t>
            </w:r>
            <w:r>
              <w:rPr>
                <w:rFonts w:hint="eastAsia"/>
                <w:color w:val="auto"/>
                <w:sz w:val="24"/>
                <w:lang w:val="en-US" w:eastAsia="zh-CN"/>
              </w:rPr>
              <w:t>废气处理方式增加了处理设施，</w:t>
            </w:r>
            <w:r>
              <w:rPr>
                <w:rFonts w:hint="eastAsia"/>
                <w:color w:val="auto"/>
                <w:sz w:val="24"/>
              </w:rPr>
              <w:t>不改变</w:t>
            </w:r>
            <w:r>
              <w:rPr>
                <w:rFonts w:hint="eastAsia"/>
                <w:color w:val="auto"/>
                <w:sz w:val="24"/>
                <w:lang w:val="en-US" w:eastAsia="zh-CN"/>
              </w:rPr>
              <w:t>整体功能和作用</w:t>
            </w:r>
            <w:r>
              <w:rPr>
                <w:rFonts w:hint="eastAsia"/>
                <w:color w:val="auto"/>
                <w:sz w:val="24"/>
              </w:rPr>
              <w:t>。项目变动未涉及</w:t>
            </w:r>
            <w:r>
              <w:rPr>
                <w:rFonts w:hint="eastAsia"/>
                <w:color w:val="auto"/>
                <w:sz w:val="24"/>
                <w:lang w:val="en-US" w:eastAsia="zh-CN"/>
              </w:rPr>
              <w:t>功能</w:t>
            </w:r>
            <w:r>
              <w:rPr>
                <w:rFonts w:hint="eastAsia"/>
                <w:color w:val="auto"/>
                <w:sz w:val="24"/>
              </w:rPr>
              <w:t>的改变，其他情况均与环评阶段中一致</w:t>
            </w:r>
            <w:r>
              <w:rPr>
                <w:rFonts w:hint="eastAsia"/>
                <w:color w:val="auto"/>
                <w:sz w:val="24"/>
                <w:lang w:eastAsia="zh-CN"/>
              </w:rPr>
              <w:t>，</w:t>
            </w:r>
            <w:r>
              <w:rPr>
                <w:rFonts w:hint="eastAsia"/>
                <w:color w:val="auto"/>
                <w:sz w:val="24"/>
                <w:lang w:val="en-US" w:eastAsia="zh-CN"/>
              </w:rPr>
              <w:t>不属于重大变动</w:t>
            </w:r>
            <w:r>
              <w:rPr>
                <w:color w:val="auto"/>
                <w:sz w:val="24"/>
              </w:rPr>
              <w:t>。</w:t>
            </w:r>
          </w:p>
          <w:p>
            <w:pPr>
              <w:rPr>
                <w:rFonts w:hint="default"/>
                <w:color w:val="0000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9" w:hRule="atLeast"/>
          <w:jc w:val="center"/>
        </w:trPr>
        <w:tc>
          <w:tcPr>
            <w:tcW w:w="9366" w:type="dxa"/>
            <w:vAlign w:val="top"/>
          </w:tcPr>
          <w:p>
            <w:pPr>
              <w:keepNext w:val="0"/>
              <w:keepLines w:val="0"/>
              <w:pageBreakBefore w:val="0"/>
              <w:widowControl w:val="0"/>
              <w:kinsoku/>
              <w:wordWrap/>
              <w:overflowPunct/>
              <w:topLinePunct w:val="0"/>
              <w:autoSpaceDE/>
              <w:autoSpaceDN/>
              <w:bidi w:val="0"/>
              <w:adjustRightInd/>
              <w:snapToGrid/>
              <w:spacing w:afterAutospacing="0" w:line="360" w:lineRule="auto"/>
              <w:textAlignment w:val="auto"/>
              <w:rPr>
                <w:rFonts w:hint="eastAsia"/>
                <w:b/>
                <w:bCs/>
                <w:color w:val="auto"/>
                <w:sz w:val="24"/>
                <w:szCs w:val="24"/>
                <w:lang w:val="en-US" w:eastAsia="zh-CN"/>
              </w:rPr>
            </w:pPr>
            <w:r>
              <w:rPr>
                <w:rFonts w:hint="eastAsia"/>
                <w:b/>
                <w:bCs/>
                <w:color w:val="auto"/>
                <w:sz w:val="24"/>
                <w:szCs w:val="24"/>
                <w:lang w:val="en-US" w:eastAsia="zh-CN"/>
              </w:rPr>
              <w:t>2.5  总量控制</w:t>
            </w:r>
          </w:p>
          <w:p>
            <w:pPr>
              <w:autoSpaceDE w:val="0"/>
              <w:autoSpaceDN w:val="0"/>
              <w:adjustRightInd w:val="0"/>
              <w:spacing w:line="360" w:lineRule="auto"/>
              <w:ind w:firstLine="480" w:firstLineChars="200"/>
              <w:jc w:val="left"/>
              <w:rPr>
                <w:rFonts w:hint="eastAsia"/>
                <w:color w:val="auto"/>
                <w:sz w:val="24"/>
                <w:lang w:val="en-US" w:eastAsia="zh-CN"/>
              </w:rPr>
            </w:pPr>
            <w:r>
              <w:rPr>
                <w:rFonts w:hint="eastAsia"/>
                <w:color w:val="auto"/>
                <w:sz w:val="24"/>
                <w:lang w:val="en-US" w:eastAsia="zh-CN"/>
              </w:rPr>
              <w:t>根据环评和批复文件，本项目污染物排放控制指标为：</w:t>
            </w:r>
          </w:p>
          <w:p>
            <w:pPr>
              <w:autoSpaceDE w:val="0"/>
              <w:autoSpaceDN w:val="0"/>
              <w:adjustRightInd w:val="0"/>
              <w:spacing w:line="360" w:lineRule="auto"/>
              <w:ind w:firstLine="480" w:firstLineChars="200"/>
              <w:jc w:val="left"/>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VOCs：0.22t/a（有组织排放），颗粒物：0.112t/a</w:t>
            </w: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ascii="Times New Roman" w:hAnsi="Times New Roman" w:cs="Times New Roman"/>
                <w:color w:val="auto"/>
                <w:sz w:val="24"/>
                <w:lang w:val="en-US" w:eastAsia="zh-CN"/>
              </w:rPr>
            </w:pPr>
          </w:p>
          <w:p>
            <w:pPr>
              <w:rPr>
                <w:rFonts w:hint="default" w:ascii="Times New Roman" w:hAnsi="Times New Roman" w:cs="Times New Roman"/>
                <w:color w:val="auto"/>
                <w:sz w:val="24"/>
                <w:lang w:val="en-US" w:eastAsia="zh-CN"/>
              </w:rPr>
            </w:pPr>
          </w:p>
          <w:p>
            <w:pPr>
              <w:pStyle w:val="11"/>
              <w:rPr>
                <w:rFonts w:hint="default"/>
                <w:lang w:val="en-US" w:eastAsia="zh-CN"/>
              </w:rPr>
            </w:pPr>
          </w:p>
          <w:p>
            <w:pPr>
              <w:pStyle w:val="11"/>
              <w:rPr>
                <w:rFonts w:hint="default"/>
                <w:lang w:val="en-US" w:eastAsia="zh-CN"/>
              </w:rPr>
            </w:pPr>
          </w:p>
          <w:p>
            <w:pPr>
              <w:rPr>
                <w:rFonts w:hint="default"/>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9" w:name="_Toc28900"/>
      <w:bookmarkStart w:id="10" w:name="_Toc5719"/>
      <w:bookmarkStart w:id="11" w:name="_Toc23225"/>
      <w:r>
        <w:rPr>
          <w:rFonts w:hint="eastAsia"/>
          <w:color w:val="auto"/>
          <w:lang w:val="en-US" w:eastAsia="zh-CN"/>
        </w:rPr>
        <w:t>表三 污染物的产生和处理</w:t>
      </w:r>
      <w:bookmarkEnd w:id="9"/>
      <w:bookmarkEnd w:id="10"/>
      <w:bookmarkEnd w:id="11"/>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2" w:name="_Toc18554"/>
            <w:r>
              <w:rPr>
                <w:rFonts w:hint="eastAsia"/>
                <w:color w:val="auto"/>
                <w:lang w:val="en-US" w:eastAsia="zh-CN"/>
              </w:rPr>
              <w:t>3.1</w:t>
            </w:r>
            <w:bookmarkEnd w:id="12"/>
            <w:r>
              <w:rPr>
                <w:rFonts w:hint="eastAsia"/>
                <w:color w:val="auto"/>
                <w:lang w:val="en-US" w:eastAsia="zh-CN"/>
              </w:rPr>
              <w:t xml:space="preserve"> 废水</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项目主要用水为职工生活用水，水帘柜用水。</w:t>
            </w:r>
          </w:p>
          <w:p>
            <w:pPr>
              <w:spacing w:line="360" w:lineRule="auto"/>
              <w:ind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生活污水依托厂区化粪池处理后，接入市政污水管网，由城南污水处理厂进一步处理后</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排入龙眠河。</w:t>
            </w:r>
          </w:p>
          <w:p>
            <w:pPr>
              <w:spacing w:line="360" w:lineRule="auto"/>
              <w:ind w:firstLine="480" w:firstLineChars="20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水帘柜用水4个月更换一次，一次更换量位3t，更换废水经隔渣+混凝+气浮工艺处理后回用至水帘柜，滤渣作为危废处理。</w:t>
            </w:r>
          </w:p>
          <w:p>
            <w:pPr>
              <w:pStyle w:val="4"/>
              <w:rPr>
                <w:rFonts w:hint="eastAsia"/>
                <w:color w:val="auto"/>
                <w:lang w:val="en-US" w:eastAsia="zh-CN"/>
              </w:rPr>
            </w:pPr>
            <w:r>
              <w:rPr>
                <w:rFonts w:hint="eastAsia"/>
                <w:color w:val="auto"/>
                <w:lang w:val="en-US" w:eastAsia="zh-CN"/>
              </w:rPr>
              <w:t>3.2 废气</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项目运营期废气为木加工粉尘、涂装废气、打磨粉尘、组装过程少量有机废气、焊接烟尘、钢材打磨粉尘和食堂油烟。</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①木加工粉尘</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木工车间已安装安装一套中央吸尘系统（收集始端为集气罩，最终汇到总风管）对木加工工序每个操作台产生的粉尘进行收集，产生的颗粒物收集后经布袋除尘器处理，最终经15m高排气筒排放（DA001）。</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11"/>
                    <w:ind w:left="0" w:leftChars="0" w:firstLine="0" w:firstLineChars="0"/>
                    <w:rPr>
                      <w:rFonts w:hint="default"/>
                      <w:vertAlign w:val="baseline"/>
                      <w:lang w:val="en-US" w:eastAsia="zh-CN"/>
                    </w:rPr>
                  </w:pPr>
                  <w:r>
                    <w:rPr>
                      <w:rFonts w:hint="default"/>
                      <w:vertAlign w:val="baseline"/>
                      <w:lang w:val="en-US" w:eastAsia="zh-CN"/>
                    </w:rPr>
                    <w:drawing>
                      <wp:inline distT="0" distB="0" distL="114300" distR="114300">
                        <wp:extent cx="5478780" cy="4109085"/>
                        <wp:effectExtent l="0" t="0" r="7620" b="5715"/>
                        <wp:docPr id="41" name="图片 41" descr="60d800178bb8e8af391f1df3d6e2f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60d800178bb8e8af391f1df3d6e2f9f"/>
                                <pic:cNvPicPr>
                                  <a:picLocks noChangeAspect="1"/>
                                </pic:cNvPicPr>
                              </pic:nvPicPr>
                              <pic:blipFill>
                                <a:blip r:embed="rId13"/>
                                <a:stretch>
                                  <a:fillRect/>
                                </a:stretch>
                              </pic:blipFill>
                              <pic:spPr>
                                <a:xfrm>
                                  <a:off x="0" y="0"/>
                                  <a:ext cx="5478780" cy="41090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0" w:type="dxa"/>
                </w:tcPr>
                <w:p>
                  <w:pPr>
                    <w:pStyle w:val="11"/>
                    <w:ind w:left="0" w:leftChars="0" w:firstLine="0" w:firstLineChars="0"/>
                    <w:rPr>
                      <w:rFonts w:hint="default"/>
                      <w:vertAlign w:val="baseline"/>
                      <w:lang w:val="en-US" w:eastAsia="zh-CN"/>
                    </w:rPr>
                  </w:pPr>
                  <w:r>
                    <w:rPr>
                      <w:rFonts w:hint="default"/>
                      <w:vertAlign w:val="baseline"/>
                      <w:lang w:val="en-US" w:eastAsia="zh-CN"/>
                    </w:rPr>
                    <w:drawing>
                      <wp:inline distT="0" distB="0" distL="114300" distR="114300">
                        <wp:extent cx="5478780" cy="4109085"/>
                        <wp:effectExtent l="0" t="0" r="7620" b="5715"/>
                        <wp:docPr id="42" name="图片 42" descr="0d02491f3170cfa656bc6b8f25d6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0d02491f3170cfa656bc6b8f25d6660"/>
                                <pic:cNvPicPr>
                                  <a:picLocks noChangeAspect="1"/>
                                </pic:cNvPicPr>
                              </pic:nvPicPr>
                              <pic:blipFill>
                                <a:blip r:embed="rId14"/>
                                <a:stretch>
                                  <a:fillRect/>
                                </a:stretch>
                              </pic:blipFill>
                              <pic:spPr>
                                <a:xfrm>
                                  <a:off x="0" y="0"/>
                                  <a:ext cx="5478780" cy="41090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50" w:type="dxa"/>
                </w:tcPr>
                <w:p>
                  <w:pPr>
                    <w:pStyle w:val="11"/>
                    <w:ind w:left="0" w:leftChars="0" w:firstLine="0" w:firstLineChars="0"/>
                    <w:jc w:val="center"/>
                    <w:rPr>
                      <w:rFonts w:hint="default"/>
                      <w:vertAlign w:val="baseline"/>
                      <w:lang w:val="en-US" w:eastAsia="zh-CN"/>
                    </w:rPr>
                  </w:pPr>
                  <w:r>
                    <w:rPr>
                      <w:rFonts w:hint="eastAsia" w:ascii="Times New Roman" w:hAnsi="Times New Roman" w:cs="Times New Roman"/>
                      <w:color w:val="auto"/>
                      <w:sz w:val="24"/>
                      <w:szCs w:val="24"/>
                      <w:lang w:val="en-US" w:eastAsia="zh-CN"/>
                    </w:rPr>
                    <w:t>中央吸尘系统集气罩</w:t>
                  </w:r>
                </w:p>
              </w:tc>
            </w:tr>
          </w:tbl>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②涂装废气</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将底漆房和临近的一个面漆房废气收集后经一套“水喷淋+过滤棉+二级活性炭”装置处理后由15m高排气筒排放（DA002）；将烘干房和临近的一个面漆房废气收集后经一套“水喷淋+过滤棉+二级活性炭”装置处理后由15m高排气筒排放（DA003）。</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25"/>
              <w:gridCol w:w="4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5" w:type="dxa"/>
                </w:tcPr>
                <w:p>
                  <w:pPr>
                    <w:spacing w:line="360" w:lineRule="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drawing>
                      <wp:inline distT="0" distB="0" distL="114300" distR="114300">
                        <wp:extent cx="2662555" cy="1997075"/>
                        <wp:effectExtent l="0" t="0" r="4445" b="3175"/>
                        <wp:docPr id="3" name="图片 3" descr="eb0d555661a2d70af805243490476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b0d555661a2d70af805243490476bf"/>
                                <pic:cNvPicPr>
                                  <a:picLocks noChangeAspect="1"/>
                                </pic:cNvPicPr>
                              </pic:nvPicPr>
                              <pic:blipFill>
                                <a:blip r:embed="rId15"/>
                                <a:stretch>
                                  <a:fillRect/>
                                </a:stretch>
                              </pic:blipFill>
                              <pic:spPr>
                                <a:xfrm>
                                  <a:off x="0" y="0"/>
                                  <a:ext cx="2662555" cy="1997075"/>
                                </a:xfrm>
                                <a:prstGeom prst="rect">
                                  <a:avLst/>
                                </a:prstGeom>
                              </pic:spPr>
                            </pic:pic>
                          </a:graphicData>
                        </a:graphic>
                      </wp:inline>
                    </w:drawing>
                  </w:r>
                </w:p>
              </w:tc>
              <w:tc>
                <w:tcPr>
                  <w:tcW w:w="4425" w:type="dxa"/>
                </w:tcPr>
                <w:p>
                  <w:pPr>
                    <w:spacing w:line="360" w:lineRule="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drawing>
                      <wp:inline distT="0" distB="0" distL="114300" distR="114300">
                        <wp:extent cx="2662555" cy="1997075"/>
                        <wp:effectExtent l="0" t="0" r="4445" b="3175"/>
                        <wp:docPr id="4" name="图片 4" descr="053ddf3b159b24174705651e9988f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53ddf3b159b24174705651e9988fa1"/>
                                <pic:cNvPicPr>
                                  <a:picLocks noChangeAspect="1"/>
                                </pic:cNvPicPr>
                              </pic:nvPicPr>
                              <pic:blipFill>
                                <a:blip r:embed="rId16"/>
                                <a:stretch>
                                  <a:fillRect/>
                                </a:stretch>
                              </pic:blipFill>
                              <pic:spPr>
                                <a:xfrm>
                                  <a:off x="0" y="0"/>
                                  <a:ext cx="2662555" cy="19970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5" w:type="dxa"/>
                </w:tcPr>
                <w:p>
                  <w:pPr>
                    <w:spacing w:line="360" w:lineRule="auto"/>
                    <w:jc w:val="center"/>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面漆和烘干废气收集管道</w:t>
                  </w:r>
                </w:p>
              </w:tc>
              <w:tc>
                <w:tcPr>
                  <w:tcW w:w="4425" w:type="dxa"/>
                </w:tcPr>
                <w:p>
                  <w:pPr>
                    <w:spacing w:line="360" w:lineRule="auto"/>
                    <w:jc w:val="center"/>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底漆房废气收集管道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5" w:type="dxa"/>
                </w:tcPr>
                <w:p>
                  <w:pPr>
                    <w:spacing w:line="360" w:lineRule="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drawing>
                      <wp:inline distT="0" distB="0" distL="114300" distR="114300">
                        <wp:extent cx="2662555" cy="1997075"/>
                        <wp:effectExtent l="0" t="0" r="4445" b="3175"/>
                        <wp:docPr id="36" name="图片 36" descr="a91bb9c4bb240e96bf3fe86696726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a91bb9c4bb240e96bf3fe86696726e7"/>
                                <pic:cNvPicPr>
                                  <a:picLocks noChangeAspect="1"/>
                                </pic:cNvPicPr>
                              </pic:nvPicPr>
                              <pic:blipFill>
                                <a:blip r:embed="rId17"/>
                                <a:stretch>
                                  <a:fillRect/>
                                </a:stretch>
                              </pic:blipFill>
                              <pic:spPr>
                                <a:xfrm>
                                  <a:off x="0" y="0"/>
                                  <a:ext cx="2662555" cy="1997075"/>
                                </a:xfrm>
                                <a:prstGeom prst="rect">
                                  <a:avLst/>
                                </a:prstGeom>
                              </pic:spPr>
                            </pic:pic>
                          </a:graphicData>
                        </a:graphic>
                      </wp:inline>
                    </w:drawing>
                  </w:r>
                </w:p>
              </w:tc>
              <w:tc>
                <w:tcPr>
                  <w:tcW w:w="4425" w:type="dxa"/>
                </w:tcPr>
                <w:p>
                  <w:pPr>
                    <w:spacing w:line="360" w:lineRule="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drawing>
                      <wp:inline distT="0" distB="0" distL="114300" distR="114300">
                        <wp:extent cx="2662555" cy="1997075"/>
                        <wp:effectExtent l="0" t="0" r="4445" b="3175"/>
                        <wp:docPr id="37" name="图片 37" descr="d21847afb60de0618ed147e8f51b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21847afb60de0618ed147e8f51b047"/>
                                <pic:cNvPicPr>
                                  <a:picLocks noChangeAspect="1"/>
                                </pic:cNvPicPr>
                              </pic:nvPicPr>
                              <pic:blipFill>
                                <a:blip r:embed="rId18"/>
                                <a:stretch>
                                  <a:fillRect/>
                                </a:stretch>
                              </pic:blipFill>
                              <pic:spPr>
                                <a:xfrm>
                                  <a:off x="0" y="0"/>
                                  <a:ext cx="2662555" cy="19970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5" w:type="dxa"/>
                </w:tcPr>
                <w:p>
                  <w:pPr>
                    <w:spacing w:line="360" w:lineRule="auto"/>
                    <w:jc w:val="center"/>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二级活性炭吸附设备</w:t>
                  </w:r>
                </w:p>
              </w:tc>
              <w:tc>
                <w:tcPr>
                  <w:tcW w:w="4425" w:type="dxa"/>
                </w:tcPr>
                <w:p>
                  <w:pPr>
                    <w:spacing w:line="360" w:lineRule="auto"/>
                    <w:jc w:val="center"/>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二级活性炭吸附设备</w:t>
                  </w:r>
                </w:p>
              </w:tc>
            </w:tr>
          </w:tbl>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③打磨粉尘</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项目喷底漆后需进行打磨，打磨工序会产生打磨粉尘。经打磨柜配套的除尘系统处理后，尾气通过15m高排气筒DA004排放。</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50" w:type="dxa"/>
                </w:tcPr>
                <w:p>
                  <w:pPr>
                    <w:spacing w:line="360" w:lineRule="auto"/>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drawing>
                      <wp:inline distT="0" distB="0" distL="114300" distR="114300">
                        <wp:extent cx="5478780" cy="4109085"/>
                        <wp:effectExtent l="0" t="0" r="7620" b="5715"/>
                        <wp:docPr id="40" name="图片 40" descr="9d7eaa8413b8790ba709d0936f9a7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9d7eaa8413b8790ba709d0936f9a76d"/>
                                <pic:cNvPicPr>
                                  <a:picLocks noChangeAspect="1"/>
                                </pic:cNvPicPr>
                              </pic:nvPicPr>
                              <pic:blipFill>
                                <a:blip r:embed="rId19"/>
                                <a:stretch>
                                  <a:fillRect/>
                                </a:stretch>
                              </pic:blipFill>
                              <pic:spPr>
                                <a:xfrm>
                                  <a:off x="0" y="0"/>
                                  <a:ext cx="5478780" cy="41090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850" w:type="dxa"/>
                </w:tcPr>
                <w:p>
                  <w:pPr>
                    <w:spacing w:line="360" w:lineRule="auto"/>
                    <w:jc w:val="center"/>
                    <w:rPr>
                      <w:rFonts w:hint="default"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打磨粉尘除尘柜</w:t>
                  </w:r>
                </w:p>
              </w:tc>
            </w:tr>
          </w:tbl>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④焊接烟尘</w:t>
            </w:r>
          </w:p>
          <w:p>
            <w:pPr>
              <w:spacing w:line="360" w:lineRule="auto"/>
              <w:ind w:firstLine="480" w:firstLineChars="20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焊接烟尘的主要成分是颗粒物，在电焊区配套2台移动式焊接烟尘净化器，对焊接烟尘进行收集。</w:t>
            </w:r>
          </w:p>
          <w:p>
            <w:pPr>
              <w:pStyle w:val="4"/>
              <w:rPr>
                <w:rFonts w:hint="default"/>
                <w:color w:val="auto"/>
                <w:lang w:val="en-US" w:eastAsia="zh-CN"/>
              </w:rPr>
            </w:pPr>
            <w:r>
              <w:rPr>
                <w:rFonts w:hint="eastAsia"/>
                <w:color w:val="auto"/>
                <w:lang w:val="en-US" w:eastAsia="zh-CN"/>
              </w:rPr>
              <w:t>3.3噪声</w:t>
            </w:r>
          </w:p>
          <w:p>
            <w:pPr>
              <w:spacing w:line="360" w:lineRule="auto"/>
              <w:ind w:firstLine="480" w:firstLineChars="200"/>
              <w:rPr>
                <w:color w:val="auto"/>
                <w:sz w:val="24"/>
              </w:rPr>
            </w:pPr>
            <w:r>
              <w:rPr>
                <w:bCs/>
                <w:color w:val="auto"/>
                <w:sz w:val="24"/>
              </w:rPr>
              <w:t>项目主要噪声</w:t>
            </w:r>
            <w:r>
              <w:rPr>
                <w:rFonts w:hint="eastAsia"/>
                <w:bCs/>
                <w:color w:val="auto"/>
                <w:sz w:val="24"/>
              </w:rPr>
              <w:t>为各种生产设备运行产生的噪声。</w:t>
            </w:r>
          </w:p>
          <w:p>
            <w:pPr>
              <w:pStyle w:val="44"/>
              <w:keepNext w:val="0"/>
              <w:keepLines w:val="0"/>
              <w:pageBreakBefore w:val="0"/>
              <w:widowControl w:val="0"/>
              <w:kinsoku/>
              <w:wordWrap/>
              <w:overflowPunct/>
              <w:topLinePunct w:val="0"/>
              <w:autoSpaceDE/>
              <w:autoSpaceDN/>
              <w:bidi w:val="0"/>
              <w:adjustRightInd/>
              <w:snapToGrid/>
              <w:spacing w:before="0" w:after="0" w:line="360" w:lineRule="auto"/>
              <w:textAlignment w:val="auto"/>
              <w:outlineLvl w:val="9"/>
              <w:rPr>
                <w:rFonts w:hint="eastAsia" w:asciiTheme="minorHAnsi" w:hAnsiTheme="minorHAnsi" w:eastAsiaTheme="minorEastAsia" w:cstheme="minorBidi"/>
                <w:bCs/>
                <w:color w:val="auto"/>
                <w:kern w:val="2"/>
                <w:sz w:val="24"/>
                <w:szCs w:val="24"/>
                <w:lang w:val="en-US" w:eastAsia="zh-CN" w:bidi="ar-SA"/>
              </w:rPr>
            </w:pPr>
            <w:r>
              <w:rPr>
                <w:rFonts w:asciiTheme="minorHAnsi" w:hAnsiTheme="minorHAnsi" w:eastAsiaTheme="minorEastAsia" w:cstheme="minorBidi"/>
                <w:bCs/>
                <w:color w:val="auto"/>
                <w:kern w:val="2"/>
                <w:sz w:val="24"/>
                <w:szCs w:val="24"/>
                <w:lang w:val="en-US" w:eastAsia="zh-CN" w:bidi="ar-SA"/>
              </w:rPr>
              <w:t>本项目</w:t>
            </w:r>
            <w:r>
              <w:rPr>
                <w:rFonts w:hint="eastAsia" w:asciiTheme="minorHAnsi" w:hAnsiTheme="minorHAnsi" w:eastAsiaTheme="minorEastAsia" w:cstheme="minorBidi"/>
                <w:bCs/>
                <w:color w:val="auto"/>
                <w:kern w:val="2"/>
                <w:sz w:val="24"/>
                <w:szCs w:val="24"/>
                <w:lang w:val="en-US" w:eastAsia="zh-CN" w:bidi="ar-SA"/>
              </w:rPr>
              <w:t>主要噪声源为</w:t>
            </w:r>
            <w:r>
              <w:rPr>
                <w:rFonts w:hint="eastAsia" w:asciiTheme="minorHAnsi" w:hAnsiTheme="minorHAnsi" w:cstheme="minorBidi"/>
                <w:bCs/>
                <w:color w:val="auto"/>
                <w:kern w:val="2"/>
                <w:sz w:val="24"/>
                <w:szCs w:val="24"/>
                <w:lang w:val="en-US" w:eastAsia="zh-CN" w:bidi="ar-SA"/>
              </w:rPr>
              <w:t>切割机、风机</w:t>
            </w:r>
            <w:r>
              <w:rPr>
                <w:rFonts w:hint="eastAsia" w:asciiTheme="minorHAnsi" w:hAnsiTheme="minorHAnsi" w:eastAsiaTheme="minorEastAsia" w:cstheme="minorBidi"/>
                <w:bCs/>
                <w:color w:val="auto"/>
                <w:kern w:val="2"/>
                <w:sz w:val="24"/>
                <w:szCs w:val="24"/>
                <w:lang w:val="en-US" w:eastAsia="zh-CN" w:bidi="ar-SA"/>
              </w:rPr>
              <w:t>等设备，项目优选低噪声设备，</w:t>
            </w:r>
            <w:r>
              <w:rPr>
                <w:rFonts w:asciiTheme="minorHAnsi" w:hAnsiTheme="minorHAnsi" w:eastAsiaTheme="minorEastAsia" w:cstheme="minorBidi"/>
                <w:bCs/>
                <w:color w:val="auto"/>
                <w:kern w:val="2"/>
                <w:sz w:val="24"/>
                <w:szCs w:val="24"/>
                <w:lang w:val="en-US" w:eastAsia="zh-CN" w:bidi="ar-SA"/>
              </w:rPr>
              <w:t>合理布局</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产噪设备采取减振措施</w:t>
            </w:r>
            <w:r>
              <w:rPr>
                <w:rFonts w:hint="eastAsia" w:asciiTheme="minorHAnsi" w:hAnsiTheme="minorHAnsi" w:eastAsiaTheme="minorEastAsia" w:cstheme="minorBidi"/>
                <w:bCs/>
                <w:color w:val="auto"/>
                <w:kern w:val="2"/>
                <w:sz w:val="24"/>
                <w:szCs w:val="24"/>
                <w:lang w:val="en-US" w:eastAsia="zh-CN" w:bidi="ar-SA"/>
              </w:rPr>
              <w:t>，</w:t>
            </w:r>
            <w:r>
              <w:rPr>
                <w:rFonts w:asciiTheme="minorHAnsi" w:hAnsiTheme="minorHAnsi" w:eastAsiaTheme="minorEastAsia" w:cstheme="minorBidi"/>
                <w:bCs/>
                <w:color w:val="auto"/>
                <w:kern w:val="2"/>
                <w:sz w:val="24"/>
                <w:szCs w:val="24"/>
                <w:lang w:val="en-US" w:eastAsia="zh-CN" w:bidi="ar-SA"/>
              </w:rPr>
              <w:t>安装减振基座</w:t>
            </w:r>
            <w:r>
              <w:rPr>
                <w:rFonts w:hint="eastAsia" w:asciiTheme="minorHAnsi" w:hAnsiTheme="minorHAnsi" w:eastAsiaTheme="minorEastAsia" w:cstheme="minorBidi"/>
                <w:bCs/>
                <w:color w:val="auto"/>
                <w:kern w:val="2"/>
                <w:sz w:val="24"/>
                <w:szCs w:val="24"/>
                <w:lang w:val="en-US" w:eastAsia="zh-CN" w:bidi="ar-SA"/>
              </w:rPr>
              <w:t>和橡皮</w:t>
            </w:r>
            <w:r>
              <w:rPr>
                <w:rFonts w:asciiTheme="minorHAnsi" w:hAnsiTheme="minorHAnsi" w:eastAsiaTheme="minorEastAsia" w:cstheme="minorBidi"/>
                <w:bCs/>
                <w:color w:val="auto"/>
                <w:kern w:val="2"/>
                <w:sz w:val="24"/>
                <w:szCs w:val="24"/>
                <w:lang w:val="en-US" w:eastAsia="zh-CN" w:bidi="ar-SA"/>
              </w:rPr>
              <w:t>垫及厂房隔声</w:t>
            </w:r>
            <w:r>
              <w:rPr>
                <w:rFonts w:hint="eastAsia" w:asciiTheme="minorHAnsi" w:hAnsiTheme="minorHAnsi" w:eastAsiaTheme="minorEastAsia" w:cstheme="minorBidi"/>
                <w:bCs/>
                <w:color w:val="auto"/>
                <w:kern w:val="2"/>
                <w:sz w:val="24"/>
                <w:szCs w:val="24"/>
                <w:lang w:val="en-US" w:eastAsia="zh-CN" w:bidi="ar-SA"/>
              </w:rPr>
              <w:t>等</w:t>
            </w:r>
            <w:r>
              <w:rPr>
                <w:rFonts w:asciiTheme="minorHAnsi" w:hAnsiTheme="minorHAnsi" w:eastAsiaTheme="minorEastAsia" w:cstheme="minorBidi"/>
                <w:bCs/>
                <w:color w:val="auto"/>
                <w:kern w:val="2"/>
                <w:sz w:val="24"/>
                <w:szCs w:val="24"/>
                <w:lang w:val="en-US" w:eastAsia="zh-CN" w:bidi="ar-SA"/>
              </w:rPr>
              <w:t>措施，</w:t>
            </w:r>
            <w:r>
              <w:rPr>
                <w:rFonts w:hint="eastAsia" w:asciiTheme="minorHAnsi" w:hAnsiTheme="minorHAnsi" w:eastAsiaTheme="minorEastAsia" w:cstheme="minorBidi"/>
                <w:bCs/>
                <w:color w:val="auto"/>
                <w:kern w:val="2"/>
                <w:sz w:val="24"/>
                <w:szCs w:val="24"/>
                <w:lang w:val="en-US" w:eastAsia="zh-CN" w:bidi="ar-SA"/>
              </w:rPr>
              <w:t>并</w:t>
            </w:r>
            <w:r>
              <w:rPr>
                <w:rFonts w:asciiTheme="minorHAnsi" w:hAnsiTheme="minorHAnsi" w:eastAsiaTheme="minorEastAsia" w:cstheme="minorBidi"/>
                <w:bCs/>
                <w:color w:val="auto"/>
                <w:kern w:val="2"/>
                <w:sz w:val="24"/>
                <w:szCs w:val="24"/>
                <w:lang w:val="en-US" w:eastAsia="zh-CN" w:bidi="ar-SA"/>
              </w:rPr>
              <w:t>对设备进行定期检查和维护，减少摩擦</w:t>
            </w:r>
            <w:r>
              <w:rPr>
                <w:rFonts w:hint="eastAsia" w:asciiTheme="minorHAnsi" w:hAnsiTheme="minorHAnsi" w:eastAsiaTheme="minorEastAsia" w:cstheme="minorBidi"/>
                <w:bCs/>
                <w:color w:val="auto"/>
                <w:kern w:val="2"/>
                <w:sz w:val="24"/>
                <w:szCs w:val="24"/>
                <w:lang w:val="en-US" w:eastAsia="zh-CN" w:bidi="ar-SA"/>
              </w:rPr>
              <w:t>，以减小噪声对周围环境的影响。</w:t>
            </w:r>
          </w:p>
          <w:p>
            <w:pPr>
              <w:pStyle w:val="4"/>
              <w:rPr>
                <w:rFonts w:hint="eastAsia"/>
                <w:color w:val="auto"/>
                <w:lang w:val="en-US" w:eastAsia="zh-CN"/>
              </w:rPr>
            </w:pPr>
            <w:r>
              <w:rPr>
                <w:rFonts w:hint="eastAsia"/>
                <w:color w:val="auto"/>
                <w:lang w:val="en-US" w:eastAsia="zh-CN"/>
              </w:rPr>
              <w:t>3.4固废</w:t>
            </w:r>
          </w:p>
          <w:p>
            <w:pPr>
              <w:adjustRightInd w:val="0"/>
              <w:snapToGrid w:val="0"/>
              <w:spacing w:line="360" w:lineRule="auto"/>
              <w:ind w:firstLine="480" w:firstLineChars="200"/>
              <w:jc w:val="left"/>
              <w:rPr>
                <w:rFonts w:hint="eastAsia"/>
                <w:bCs/>
                <w:color w:val="auto"/>
                <w:sz w:val="24"/>
                <w:lang w:val="en-US" w:eastAsia="zh-CN"/>
              </w:rPr>
            </w:pPr>
            <w:r>
              <w:rPr>
                <w:rFonts w:hint="eastAsia"/>
                <w:bCs/>
                <w:color w:val="auto"/>
                <w:sz w:val="24"/>
              </w:rPr>
              <w:t>本项目生产过程中产生的</w:t>
            </w:r>
            <w:r>
              <w:rPr>
                <w:rFonts w:hint="eastAsia"/>
                <w:bCs/>
                <w:color w:val="auto"/>
                <w:sz w:val="24"/>
                <w:lang w:val="en-US" w:eastAsia="zh-CN"/>
              </w:rPr>
              <w:t>一般固体废物主要是木屑粉尘、废边角料和生活垃圾；危险废物主要为废油漆桶、废胶桶、废活性炭、废过滤棉、废漆渣、漆面打磨粉尘、水帘柜滤渣。</w:t>
            </w:r>
          </w:p>
          <w:p>
            <w:pPr>
              <w:adjustRightInd w:val="0"/>
              <w:snapToGrid w:val="0"/>
              <w:spacing w:line="360" w:lineRule="auto"/>
              <w:ind w:firstLine="480" w:firstLineChars="200"/>
              <w:jc w:val="left"/>
              <w:rPr>
                <w:rFonts w:hint="default"/>
                <w:bCs/>
                <w:color w:val="auto"/>
                <w:sz w:val="24"/>
                <w:lang w:val="en-US" w:eastAsia="zh-CN"/>
              </w:rPr>
            </w:pPr>
            <w:r>
              <w:rPr>
                <w:rFonts w:hint="eastAsia"/>
                <w:bCs/>
                <w:color w:val="auto"/>
                <w:sz w:val="24"/>
                <w:lang w:val="en-US" w:eastAsia="zh-CN"/>
              </w:rPr>
              <w:t>具体固废汇总和危废信息表如下：</w:t>
            </w:r>
          </w:p>
          <w:p>
            <w:pPr>
              <w:keepNext w:val="0"/>
              <w:keepLines w:val="0"/>
              <w:widowControl/>
              <w:suppressLineNumbers w:val="0"/>
              <w:jc w:val="center"/>
            </w:pPr>
            <w:r>
              <w:rPr>
                <w:rFonts w:hint="eastAsia" w:ascii="宋体" w:hAnsi="宋体" w:eastAsia="宋体" w:cs="宋体"/>
                <w:b/>
                <w:bCs/>
                <w:color w:val="000000"/>
                <w:kern w:val="0"/>
                <w:sz w:val="20"/>
                <w:szCs w:val="20"/>
                <w:lang w:val="en-US" w:eastAsia="zh-CN" w:bidi="ar"/>
              </w:rPr>
              <w:t>表3-1</w:t>
            </w:r>
            <w:r>
              <w:rPr>
                <w:rFonts w:hint="default" w:ascii="Times New Roman" w:hAnsi="Times New Roman" w:eastAsia="宋体" w:cs="Times New Roman"/>
                <w:b/>
                <w:bCs/>
                <w:color w:val="000000"/>
                <w:kern w:val="0"/>
                <w:sz w:val="20"/>
                <w:szCs w:val="20"/>
                <w:lang w:val="en-US" w:eastAsia="zh-CN" w:bidi="ar"/>
              </w:rPr>
              <w:t xml:space="preserve"> </w:t>
            </w:r>
            <w:r>
              <w:rPr>
                <w:rFonts w:hint="eastAsia" w:ascii="宋体" w:hAnsi="宋体" w:eastAsia="宋体" w:cs="宋体"/>
                <w:b/>
                <w:bCs/>
                <w:color w:val="000000"/>
                <w:kern w:val="0"/>
                <w:sz w:val="20"/>
                <w:szCs w:val="20"/>
                <w:lang w:val="en-US" w:eastAsia="zh-CN" w:bidi="ar"/>
              </w:rPr>
              <w:t>项目固废汇总表</w:t>
            </w:r>
          </w:p>
          <w:tbl>
            <w:tblPr>
              <w:tblStyle w:val="22"/>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60"/>
              <w:gridCol w:w="1883"/>
              <w:gridCol w:w="1419"/>
              <w:gridCol w:w="957"/>
              <w:gridCol w:w="2035"/>
              <w:gridCol w:w="19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号</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固废名称</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产生工序</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形态</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主要成分</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b/>
                      <w:w w:val="100"/>
                      <w:sz w:val="21"/>
                      <w:szCs w:val="21"/>
                    </w:rPr>
                  </w:pPr>
                  <w:r>
                    <w:rPr>
                      <w:rFonts w:hint="default" w:ascii="Times New Roman" w:hAnsi="Times New Roman" w:eastAsia="宋体" w:cs="Times New Roman"/>
                      <w:b/>
                      <w:w w:val="100"/>
                      <w:sz w:val="21"/>
                      <w:szCs w:val="21"/>
                    </w:rPr>
                    <w:t>废物类别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1</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废油漆桶</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生产过程</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废油漆</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2</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废胶桶</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生产过程</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白乳胶</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3</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废活性炭</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废气处理</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有机物质</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4</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废过滤棉</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废气处理</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废油漆</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5</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废漆渣</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喷漆</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废油漆</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6</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漆面打磨粉尘</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喷漆</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废油漆</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7</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滤渣</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废气处理</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有机物质</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危险废物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8</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木屑粉尘</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木加工</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木质颗粒</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一般固废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9</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废边角料</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木加工</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木质、金属颗粒</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一般固废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316"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10</w:t>
                  </w:r>
                </w:p>
              </w:tc>
              <w:tc>
                <w:tcPr>
                  <w:tcW w:w="106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生活垃圾</w:t>
                  </w:r>
                </w:p>
              </w:tc>
              <w:tc>
                <w:tcPr>
                  <w:tcW w:w="80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生产过程</w:t>
                  </w:r>
                </w:p>
              </w:tc>
              <w:tc>
                <w:tcPr>
                  <w:tcW w:w="54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固体</w:t>
                  </w:r>
                </w:p>
              </w:tc>
              <w:tc>
                <w:tcPr>
                  <w:tcW w:w="114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生活垃圾</w:t>
                  </w:r>
                </w:p>
              </w:tc>
              <w:tc>
                <w:tcPr>
                  <w:tcW w:w="112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eastAsia="宋体" w:cs="Times New Roman"/>
                      <w:w w:val="100"/>
                      <w:sz w:val="21"/>
                      <w:szCs w:val="21"/>
                    </w:rPr>
                  </w:pPr>
                  <w:r>
                    <w:rPr>
                      <w:rFonts w:hint="default" w:ascii="Times New Roman" w:hAnsi="Times New Roman" w:eastAsia="宋体" w:cs="Times New Roman"/>
                      <w:w w:val="100"/>
                      <w:sz w:val="21"/>
                      <w:szCs w:val="21"/>
                    </w:rPr>
                    <w:t>一般固废</w:t>
                  </w:r>
                </w:p>
              </w:tc>
            </w:tr>
          </w:tbl>
          <w:p>
            <w:pPr>
              <w:pStyle w:val="52"/>
              <w:ind w:left="0" w:leftChars="0" w:firstLine="0" w:firstLineChars="0"/>
              <w:rPr>
                <w:bCs/>
                <w:color w:val="auto"/>
                <w:sz w:val="24"/>
              </w:rPr>
            </w:pPr>
          </w:p>
          <w:p>
            <w:pPr>
              <w:pStyle w:val="52"/>
              <w:ind w:left="0" w:leftChars="0" w:firstLine="0" w:firstLineChars="0"/>
              <w:rPr>
                <w:bCs/>
                <w:color w:val="auto"/>
                <w:sz w:val="24"/>
              </w:rPr>
            </w:pPr>
          </w:p>
          <w:p>
            <w:pPr>
              <w:pStyle w:val="52"/>
              <w:ind w:left="0" w:leftChars="0" w:firstLine="0" w:firstLineChars="0"/>
              <w:rPr>
                <w:rFonts w:hint="default"/>
                <w:bCs/>
                <w:color w:val="auto"/>
                <w:sz w:val="24"/>
                <w:lang w:val="en-US" w:eastAsia="zh-CN"/>
              </w:rPr>
            </w:pPr>
          </w:p>
          <w:p>
            <w:pPr>
              <w:pStyle w:val="52"/>
              <w:ind w:left="0" w:leftChars="0" w:firstLine="0" w:firstLineChars="0"/>
              <w:rPr>
                <w:rFonts w:hint="default"/>
                <w:bCs/>
                <w:color w:val="auto"/>
                <w:sz w:val="24"/>
                <w:lang w:val="en-US" w:eastAsia="zh-CN"/>
              </w:rPr>
            </w:pPr>
          </w:p>
          <w:p>
            <w:pPr>
              <w:pStyle w:val="52"/>
              <w:ind w:left="0" w:leftChars="0" w:firstLine="0" w:firstLineChars="0"/>
              <w:rPr>
                <w:rFonts w:hint="default"/>
                <w:bCs/>
                <w:color w:val="auto"/>
                <w:sz w:val="24"/>
                <w:lang w:val="en-US" w:eastAsia="zh-CN"/>
              </w:rPr>
            </w:pPr>
          </w:p>
          <w:p>
            <w:pPr>
              <w:keepNext w:val="0"/>
              <w:keepLines w:val="0"/>
              <w:widowControl/>
              <w:suppressLineNumbers w:val="0"/>
              <w:jc w:val="center"/>
              <w:rPr>
                <w:rFonts w:hint="default"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表3-2</w:t>
            </w:r>
            <w:r>
              <w:rPr>
                <w:rFonts w:hint="default" w:ascii="宋体" w:hAnsi="宋体" w:eastAsia="宋体" w:cs="宋体"/>
                <w:b/>
                <w:bCs/>
                <w:color w:val="000000"/>
                <w:kern w:val="0"/>
                <w:sz w:val="20"/>
                <w:szCs w:val="20"/>
                <w:lang w:val="en-US" w:eastAsia="zh-CN" w:bidi="ar"/>
              </w:rPr>
              <w:t xml:space="preserve"> </w:t>
            </w:r>
            <w:r>
              <w:rPr>
                <w:rFonts w:hint="eastAsia" w:ascii="宋体" w:hAnsi="宋体" w:eastAsia="宋体" w:cs="宋体"/>
                <w:b/>
                <w:bCs/>
                <w:color w:val="000000"/>
                <w:kern w:val="0"/>
                <w:sz w:val="20"/>
                <w:szCs w:val="20"/>
                <w:lang w:val="en-US" w:eastAsia="zh-CN" w:bidi="ar"/>
              </w:rPr>
              <w:t>项目危废信息汇总表</w:t>
            </w:r>
          </w:p>
          <w:tbl>
            <w:tblPr>
              <w:tblStyle w:val="22"/>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245"/>
              <w:gridCol w:w="916"/>
              <w:gridCol w:w="682"/>
              <w:gridCol w:w="1173"/>
              <w:gridCol w:w="693"/>
              <w:gridCol w:w="815"/>
              <w:gridCol w:w="530"/>
              <w:gridCol w:w="900"/>
              <w:gridCol w:w="900"/>
              <w:gridCol w:w="829"/>
              <w:gridCol w:w="572"/>
              <w:gridCol w:w="5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序号</w:t>
                  </w:r>
                </w:p>
              </w:tc>
              <w:tc>
                <w:tcPr>
                  <w:tcW w:w="517"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固体废物名称</w:t>
                  </w:r>
                </w:p>
              </w:tc>
              <w:tc>
                <w:tcPr>
                  <w:tcW w:w="385"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危险废物类别</w:t>
                  </w:r>
                </w:p>
              </w:tc>
              <w:tc>
                <w:tcPr>
                  <w:tcW w:w="662"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危险废物代码</w:t>
                  </w:r>
                </w:p>
              </w:tc>
              <w:tc>
                <w:tcPr>
                  <w:tcW w:w="39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pacing w:val="-4"/>
                      <w:w w:val="95"/>
                      <w:sz w:val="21"/>
                      <w:szCs w:val="21"/>
                    </w:rPr>
                    <w:t>产生量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（t/a）</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产生工序及装置</w:t>
                  </w:r>
                </w:p>
              </w:tc>
              <w:tc>
                <w:tcPr>
                  <w:tcW w:w="29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形态</w:t>
                  </w:r>
                </w:p>
              </w:tc>
              <w:tc>
                <w:tcPr>
                  <w:tcW w:w="50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主要成分</w:t>
                  </w:r>
                </w:p>
              </w:tc>
              <w:tc>
                <w:tcPr>
                  <w:tcW w:w="50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有害成分</w:t>
                  </w:r>
                </w:p>
              </w:tc>
              <w:tc>
                <w:tcPr>
                  <w:tcW w:w="46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产废周期</w:t>
                  </w:r>
                </w:p>
              </w:tc>
              <w:tc>
                <w:tcPr>
                  <w:tcW w:w="32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危险特性</w:t>
                  </w:r>
                </w:p>
              </w:tc>
              <w:tc>
                <w:tcPr>
                  <w:tcW w:w="335"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sz w:val="21"/>
                      <w:szCs w:val="21"/>
                    </w:rPr>
                  </w:pPr>
                  <w:r>
                    <w:rPr>
                      <w:rFonts w:hint="default" w:ascii="Times New Roman" w:hAnsi="Times New Roman" w:eastAsia="宋体" w:cs="Times New Roman"/>
                      <w:b/>
                      <w:sz w:val="21"/>
                      <w:szCs w:val="21"/>
                    </w:rPr>
                    <w:t>污染防治措施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1</w:t>
                  </w:r>
                </w:p>
              </w:tc>
              <w:tc>
                <w:tcPr>
                  <w:tcW w:w="517"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废油漆桶</w:t>
                  </w:r>
                </w:p>
              </w:tc>
              <w:tc>
                <w:tcPr>
                  <w:tcW w:w="38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HW49</w:t>
                  </w:r>
                </w:p>
              </w:tc>
              <w:tc>
                <w:tcPr>
                  <w:tcW w:w="662"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391"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0.213</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生产过</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程</w:t>
                  </w:r>
                </w:p>
              </w:tc>
              <w:tc>
                <w:tcPr>
                  <w:tcW w:w="299"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46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半年</w:t>
                  </w:r>
                </w:p>
              </w:tc>
              <w:tc>
                <w:tcPr>
                  <w:tcW w:w="323"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33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有资</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质单</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位处</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2</w:t>
                  </w:r>
                </w:p>
              </w:tc>
              <w:tc>
                <w:tcPr>
                  <w:tcW w:w="517"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废胶桶</w:t>
                  </w:r>
                </w:p>
              </w:tc>
              <w:tc>
                <w:tcPr>
                  <w:tcW w:w="38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HW49</w:t>
                  </w:r>
                </w:p>
              </w:tc>
              <w:tc>
                <w:tcPr>
                  <w:tcW w:w="662"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391"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0.03</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生产过</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程</w:t>
                  </w:r>
                </w:p>
              </w:tc>
              <w:tc>
                <w:tcPr>
                  <w:tcW w:w="299"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白乳胶</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白乳胶</w:t>
                  </w:r>
                </w:p>
              </w:tc>
              <w:tc>
                <w:tcPr>
                  <w:tcW w:w="46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半年</w:t>
                  </w:r>
                </w:p>
              </w:tc>
              <w:tc>
                <w:tcPr>
                  <w:tcW w:w="323"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335" w:type="pct"/>
                  <w:vMerge w:val="continue"/>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3</w:t>
                  </w:r>
                </w:p>
              </w:tc>
              <w:tc>
                <w:tcPr>
                  <w:tcW w:w="517"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废活性炭</w:t>
                  </w:r>
                </w:p>
              </w:tc>
              <w:tc>
                <w:tcPr>
                  <w:tcW w:w="38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HW49</w:t>
                  </w:r>
                </w:p>
              </w:tc>
              <w:tc>
                <w:tcPr>
                  <w:tcW w:w="662"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391"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10.214</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废气处</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理</w:t>
                  </w:r>
                </w:p>
              </w:tc>
              <w:tc>
                <w:tcPr>
                  <w:tcW w:w="299"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有机物质</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有机物</w:t>
                  </w:r>
                </w:p>
              </w:tc>
              <w:tc>
                <w:tcPr>
                  <w:tcW w:w="46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 月/次</w:t>
                  </w:r>
                </w:p>
              </w:tc>
              <w:tc>
                <w:tcPr>
                  <w:tcW w:w="323"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335" w:type="pct"/>
                  <w:vMerge w:val="continue"/>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4</w:t>
                  </w:r>
                </w:p>
              </w:tc>
              <w:tc>
                <w:tcPr>
                  <w:tcW w:w="517"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废过滤棉</w:t>
                  </w:r>
                </w:p>
              </w:tc>
              <w:tc>
                <w:tcPr>
                  <w:tcW w:w="38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HW49</w:t>
                  </w:r>
                </w:p>
              </w:tc>
              <w:tc>
                <w:tcPr>
                  <w:tcW w:w="662"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900-041-49</w:t>
                  </w:r>
                </w:p>
              </w:tc>
              <w:tc>
                <w:tcPr>
                  <w:tcW w:w="391"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2.712</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废气处</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理</w:t>
                  </w:r>
                </w:p>
              </w:tc>
              <w:tc>
                <w:tcPr>
                  <w:tcW w:w="299"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46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半年</w:t>
                  </w:r>
                </w:p>
              </w:tc>
              <w:tc>
                <w:tcPr>
                  <w:tcW w:w="323"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T,In</w:t>
                  </w:r>
                </w:p>
              </w:tc>
              <w:tc>
                <w:tcPr>
                  <w:tcW w:w="335" w:type="pct"/>
                  <w:vMerge w:val="continue"/>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67" w:hRule="atLeast"/>
                <w:jc w:val="center"/>
              </w:trPr>
              <w:tc>
                <w:tcPr>
                  <w:tcW w:w="13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5</w:t>
                  </w:r>
                </w:p>
              </w:tc>
              <w:tc>
                <w:tcPr>
                  <w:tcW w:w="517"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废漆渣</w:t>
                  </w:r>
                </w:p>
              </w:tc>
              <w:tc>
                <w:tcPr>
                  <w:tcW w:w="385"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HW12</w:t>
                  </w:r>
                </w:p>
              </w:tc>
              <w:tc>
                <w:tcPr>
                  <w:tcW w:w="662"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900-252-12</w:t>
                  </w:r>
                </w:p>
              </w:tc>
              <w:tc>
                <w:tcPr>
                  <w:tcW w:w="391"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0.232</w:t>
                  </w:r>
                </w:p>
              </w:tc>
              <w:tc>
                <w:tcPr>
                  <w:tcW w:w="460"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生产过</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程</w:t>
                  </w:r>
                </w:p>
              </w:tc>
              <w:tc>
                <w:tcPr>
                  <w:tcW w:w="299"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50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468"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半年</w:t>
                  </w:r>
                </w:p>
              </w:tc>
              <w:tc>
                <w:tcPr>
                  <w:tcW w:w="323" w:type="pct"/>
                  <w:vMerge w:val="restar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w:t>
                  </w:r>
                </w:p>
              </w:tc>
              <w:tc>
                <w:tcPr>
                  <w:tcW w:w="335" w:type="pct"/>
                  <w:vMerge w:val="continue"/>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6</w:t>
                  </w:r>
                </w:p>
              </w:tc>
              <w:tc>
                <w:tcPr>
                  <w:tcW w:w="517"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漆面打磨</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粉尘</w:t>
                  </w:r>
                </w:p>
              </w:tc>
              <w:tc>
                <w:tcPr>
                  <w:tcW w:w="385"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HW12</w:t>
                  </w:r>
                </w:p>
              </w:tc>
              <w:tc>
                <w:tcPr>
                  <w:tcW w:w="662"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900-252-12</w:t>
                  </w:r>
                </w:p>
              </w:tc>
              <w:tc>
                <w:tcPr>
                  <w:tcW w:w="391"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0.242</w:t>
                  </w:r>
                </w:p>
              </w:tc>
              <w:tc>
                <w:tcPr>
                  <w:tcW w:w="460" w:type="pct"/>
                  <w:tcBorders>
                    <w:bottom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打磨工</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序</w:t>
                  </w:r>
                </w:p>
              </w:tc>
              <w:tc>
                <w:tcPr>
                  <w:tcW w:w="299"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50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废油漆</w:t>
                  </w:r>
                </w:p>
              </w:tc>
              <w:tc>
                <w:tcPr>
                  <w:tcW w:w="46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w:t>
                  </w:r>
                </w:p>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半年</w:t>
                  </w:r>
                </w:p>
              </w:tc>
              <w:tc>
                <w:tcPr>
                  <w:tcW w:w="323"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T，I</w:t>
                  </w:r>
                </w:p>
              </w:tc>
              <w:tc>
                <w:tcPr>
                  <w:tcW w:w="335" w:type="pct"/>
                  <w:vMerge w:val="continue"/>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38"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7</w:t>
                  </w:r>
                </w:p>
              </w:tc>
              <w:tc>
                <w:tcPr>
                  <w:tcW w:w="517"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滤渣</w:t>
                  </w:r>
                </w:p>
              </w:tc>
              <w:tc>
                <w:tcPr>
                  <w:tcW w:w="385"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HW12</w:t>
                  </w:r>
                </w:p>
              </w:tc>
              <w:tc>
                <w:tcPr>
                  <w:tcW w:w="662"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900-252-12</w:t>
                  </w:r>
                </w:p>
              </w:tc>
              <w:tc>
                <w:tcPr>
                  <w:tcW w:w="391"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0.16</w:t>
                  </w:r>
                </w:p>
              </w:tc>
              <w:tc>
                <w:tcPr>
                  <w:tcW w:w="460"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ascii="宋体" w:hAnsi="宋体" w:eastAsia="宋体" w:cs="宋体"/>
                      <w:w w:val="100"/>
                      <w:sz w:val="21"/>
                      <w:szCs w:val="21"/>
                    </w:rPr>
                  </w:pPr>
                  <w:r>
                    <w:rPr>
                      <w:rFonts w:hint="eastAsia" w:ascii="宋体" w:hAnsi="宋体" w:eastAsia="宋体" w:cs="宋体"/>
                      <w:w w:val="100"/>
                      <w:sz w:val="21"/>
                      <w:szCs w:val="21"/>
                    </w:rPr>
                    <w:t>污水处理工序</w:t>
                  </w:r>
                </w:p>
              </w:tc>
              <w:tc>
                <w:tcPr>
                  <w:tcW w:w="299"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w:t>
                  </w:r>
                </w:p>
              </w:tc>
              <w:tc>
                <w:tcPr>
                  <w:tcW w:w="508"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有机物质</w:t>
                  </w:r>
                </w:p>
              </w:tc>
              <w:tc>
                <w:tcPr>
                  <w:tcW w:w="508"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有机物</w:t>
                  </w:r>
                </w:p>
              </w:tc>
              <w:tc>
                <w:tcPr>
                  <w:tcW w:w="468"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一次/每季度</w:t>
                  </w:r>
                </w:p>
              </w:tc>
              <w:tc>
                <w:tcPr>
                  <w:tcW w:w="323" w:type="pct"/>
                  <w:tcBorders>
                    <w:top w:val="nil"/>
                  </w:tcBorders>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w w:val="99"/>
                      <w:sz w:val="21"/>
                      <w:szCs w:val="21"/>
                    </w:rPr>
                    <w:t>/</w:t>
                  </w:r>
                </w:p>
              </w:tc>
              <w:tc>
                <w:tcPr>
                  <w:tcW w:w="335" w:type="pct"/>
                  <w:vAlign w:val="center"/>
                </w:tcPr>
                <w:p>
                  <w:pPr>
                    <w:pStyle w:val="45"/>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z w:val="21"/>
                      <w:szCs w:val="21"/>
                    </w:rPr>
                  </w:pPr>
                </w:p>
              </w:tc>
            </w:tr>
          </w:tbl>
          <w:p>
            <w:pPr>
              <w:pStyle w:val="52"/>
              <w:ind w:left="0" w:leftChars="0" w:firstLine="720" w:firstLineChars="300"/>
              <w:rPr>
                <w:rFonts w:hint="default"/>
                <w:color w:val="auto"/>
                <w:lang w:val="en-US" w:eastAsia="zh-CN"/>
              </w:rPr>
            </w:pPr>
            <w:r>
              <w:rPr>
                <w:rFonts w:hint="eastAsia"/>
                <w:color w:val="auto"/>
                <w:lang w:val="en-US" w:eastAsia="zh-CN"/>
              </w:rPr>
              <w:t>本项目固废后续管理过程中，</w:t>
            </w:r>
            <w:r>
              <w:rPr>
                <w:rFonts w:hint="default"/>
                <w:color w:val="auto"/>
                <w:lang w:val="en-US" w:eastAsia="zh-CN"/>
              </w:rPr>
              <w:t>一般固体废弃物存放执行《一般工业固体废物贮存和填埋污染控制标准》（GB18599-2020）中的有关规定，危险废物贮存执行《危险废物贮存污染控制标准》（GB18597-2001）及 2013 年修改单中的有关规定。</w:t>
            </w:r>
          </w:p>
          <w:p>
            <w:pPr>
              <w:pStyle w:val="52"/>
              <w:ind w:left="0" w:leftChars="0" w:firstLine="0" w:firstLineChars="0"/>
              <w:rPr>
                <w:rFonts w:hint="default"/>
                <w:color w:val="auto"/>
                <w:lang w:val="en-US" w:eastAsia="zh-CN"/>
              </w:rPr>
            </w:pPr>
          </w:p>
          <w:p>
            <w:pPr>
              <w:pStyle w:val="52"/>
              <w:ind w:left="0" w:leftChars="0" w:firstLine="0" w:firstLineChars="0"/>
              <w:rPr>
                <w:rFonts w:hint="default"/>
                <w:color w:val="0000FF"/>
                <w:lang w:val="en-US" w:eastAsia="zh-CN"/>
              </w:rPr>
            </w:pPr>
          </w:p>
          <w:p>
            <w:pPr>
              <w:pStyle w:val="52"/>
              <w:ind w:left="0" w:leftChars="0" w:firstLine="0" w:firstLineChars="0"/>
              <w:rPr>
                <w:rFonts w:hint="default"/>
                <w:color w:val="0000FF"/>
                <w:lang w:val="en-US" w:eastAsia="zh-CN"/>
              </w:rPr>
            </w:pPr>
          </w:p>
          <w:p>
            <w:pPr>
              <w:pStyle w:val="52"/>
              <w:ind w:left="0" w:leftChars="0" w:firstLine="0" w:firstLineChars="0"/>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3" w:name="_Toc397"/>
      <w:bookmarkStart w:id="14" w:name="_Toc6271"/>
      <w:r>
        <w:rPr>
          <w:rFonts w:hint="eastAsia"/>
          <w:color w:val="auto"/>
          <w:lang w:val="en-US" w:eastAsia="zh-CN"/>
        </w:rPr>
        <w:t>表四 环境影响报告表及审批意见</w:t>
      </w:r>
      <w:bookmarkEnd w:id="13"/>
      <w:bookmarkEnd w:id="1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eastAsia"/>
                <w:color w:val="auto"/>
                <w:lang w:val="en-US" w:eastAsia="zh-CN"/>
              </w:rPr>
            </w:pPr>
            <w:bookmarkStart w:id="15" w:name="_Toc29338"/>
            <w:r>
              <w:rPr>
                <w:rFonts w:hint="eastAsia"/>
                <w:color w:val="auto"/>
                <w:lang w:val="en-US" w:eastAsia="zh-CN"/>
              </w:rPr>
              <w:t>4.1</w:t>
            </w:r>
            <w:bookmarkEnd w:id="15"/>
            <w:r>
              <w:rPr>
                <w:rFonts w:hint="eastAsia"/>
                <w:color w:val="auto"/>
                <w:lang w:val="en-US" w:eastAsia="zh-CN"/>
              </w:rPr>
              <w:t xml:space="preserve"> 环境影响报告表结论</w:t>
            </w:r>
          </w:p>
          <w:p>
            <w:pPr>
              <w:keepNext w:val="0"/>
              <w:keepLines w:val="0"/>
              <w:pageBreakBefore w:val="0"/>
              <w:widowControl w:val="0"/>
              <w:numPr>
                <w:ilvl w:val="0"/>
                <w:numId w:val="0"/>
              </w:numPr>
              <w:kinsoku/>
              <w:wordWrap/>
              <w:overflowPunct/>
              <w:topLinePunct w:val="0"/>
              <w:autoSpaceDE/>
              <w:autoSpaceDN/>
              <w:bidi w:val="0"/>
              <w:adjustRightInd/>
              <w:snapToGrid/>
              <w:spacing w:afterAutospacing="0" w:line="360" w:lineRule="auto"/>
              <w:ind w:left="0" w:leftChars="0" w:right="0" w:rightChars="0" w:firstLine="480" w:firstLineChars="200"/>
              <w:jc w:val="both"/>
              <w:textAlignment w:val="auto"/>
              <w:rPr>
                <w:b w:val="0"/>
                <w:bCs/>
                <w:color w:val="auto"/>
                <w:sz w:val="24"/>
                <w:szCs w:val="24"/>
              </w:rPr>
            </w:pPr>
            <w:r>
              <w:rPr>
                <w:rFonts w:hint="eastAsia"/>
                <w:b w:val="0"/>
                <w:bCs/>
                <w:color w:val="auto"/>
                <w:sz w:val="24"/>
                <w:szCs w:val="24"/>
                <w:lang w:val="en-US" w:eastAsia="zh-CN"/>
              </w:rPr>
              <w:t>安徽建诚展览展示服务有限公司</w:t>
            </w:r>
            <w:r>
              <w:rPr>
                <w:rFonts w:hint="eastAsia"/>
                <w:b w:val="0"/>
                <w:bCs/>
                <w:color w:val="auto"/>
                <w:sz w:val="24"/>
                <w:szCs w:val="24"/>
                <w:lang w:eastAsia="zh-CN"/>
              </w:rPr>
              <w:t>年产3000套展台展具智能生产线项目</w:t>
            </w:r>
            <w:r>
              <w:rPr>
                <w:b w:val="0"/>
                <w:bCs/>
                <w:color w:val="auto"/>
                <w:sz w:val="24"/>
                <w:szCs w:val="24"/>
              </w:rPr>
              <w:t>符合国家及地方产业政策、</w:t>
            </w:r>
            <w:r>
              <w:rPr>
                <w:rFonts w:hint="default"/>
                <w:b w:val="0"/>
                <w:bCs/>
                <w:color w:val="auto"/>
                <w:sz w:val="24"/>
                <w:szCs w:val="24"/>
              </w:rPr>
              <w:t>符合当地规划。在建设过程中，应严格执行环保设施与主体工程同时设计、同时施工、同时投产的</w:t>
            </w:r>
            <w:r>
              <w:rPr>
                <w:rFonts w:hint="eastAsia"/>
                <w:b w:val="0"/>
                <w:bCs/>
                <w:color w:val="auto"/>
                <w:sz w:val="24"/>
                <w:szCs w:val="24"/>
                <w:lang w:eastAsia="zh-CN"/>
              </w:rPr>
              <w:t>“</w:t>
            </w:r>
            <w:r>
              <w:rPr>
                <w:rFonts w:hint="default"/>
                <w:b w:val="0"/>
                <w:bCs/>
                <w:color w:val="auto"/>
                <w:sz w:val="24"/>
                <w:szCs w:val="24"/>
              </w:rPr>
              <w:t>三同时</w:t>
            </w:r>
            <w:r>
              <w:rPr>
                <w:rFonts w:hint="eastAsia"/>
                <w:b w:val="0"/>
                <w:bCs/>
                <w:color w:val="auto"/>
                <w:sz w:val="24"/>
                <w:szCs w:val="24"/>
                <w:lang w:eastAsia="zh-CN"/>
              </w:rPr>
              <w:t>”</w:t>
            </w:r>
            <w:r>
              <w:rPr>
                <w:rFonts w:hint="default"/>
                <w:b w:val="0"/>
                <w:bCs/>
                <w:color w:val="auto"/>
                <w:sz w:val="24"/>
                <w:szCs w:val="24"/>
              </w:rPr>
              <w:t>制</w:t>
            </w:r>
            <w:r>
              <w:rPr>
                <w:b w:val="0"/>
                <w:bCs/>
                <w:color w:val="auto"/>
                <w:sz w:val="24"/>
                <w:szCs w:val="24"/>
              </w:rPr>
              <w:t>度，加强环保管理以确保污染物稳定达标排放，做到经济、社会、环境效益的统一协调发展。由此可见，本项目从环保角度考虑是可行的。</w:t>
            </w:r>
          </w:p>
          <w:p>
            <w:pPr>
              <w:pStyle w:val="4"/>
              <w:rPr>
                <w:rFonts w:hint="default"/>
                <w:color w:val="auto"/>
                <w:sz w:val="24"/>
                <w:szCs w:val="24"/>
                <w:lang w:val="en-US" w:eastAsia="zh-CN"/>
              </w:rPr>
            </w:pPr>
            <w:r>
              <w:rPr>
                <w:rFonts w:hint="default"/>
                <w:color w:val="auto"/>
                <w:sz w:val="24"/>
                <w:szCs w:val="24"/>
                <w:lang w:val="en-US" w:eastAsia="zh-CN"/>
              </w:rPr>
              <w:t>4.</w:t>
            </w:r>
            <w:r>
              <w:rPr>
                <w:rFonts w:hint="eastAsia"/>
                <w:color w:val="auto"/>
                <w:sz w:val="24"/>
                <w:szCs w:val="24"/>
                <w:lang w:val="en-US" w:eastAsia="zh-CN"/>
              </w:rPr>
              <w:t>2</w:t>
            </w:r>
            <w:r>
              <w:rPr>
                <w:rFonts w:hint="default"/>
                <w:color w:val="auto"/>
                <w:sz w:val="24"/>
                <w:szCs w:val="24"/>
                <w:lang w:val="en-US" w:eastAsia="zh-CN"/>
              </w:rPr>
              <w:t xml:space="preserve"> 环评批复落实情况</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w:t>
            </w:r>
            <w:r>
              <w:rPr>
                <w:rFonts w:hint="eastAsia" w:ascii="Times New Roman" w:hAnsi="Times New Roman" w:cs="Times New Roman"/>
                <w:color w:val="auto"/>
                <w:sz w:val="24"/>
                <w:szCs w:val="24"/>
                <w:lang w:val="en-US" w:eastAsia="zh-CN"/>
              </w:rPr>
              <w:t>建设</w:t>
            </w:r>
            <w:r>
              <w:rPr>
                <w:rFonts w:hint="default" w:ascii="Times New Roman" w:hAnsi="Times New Roman" w:cs="Times New Roman"/>
                <w:color w:val="auto"/>
                <w:sz w:val="24"/>
                <w:szCs w:val="24"/>
                <w:lang w:val="en-US" w:eastAsia="zh-CN"/>
              </w:rPr>
              <w:t>对环评批复的落实情况详见表4-1。</w:t>
            </w:r>
          </w:p>
          <w:p>
            <w:pPr>
              <w:pStyle w:val="31"/>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表4-1 环评批复落实情况</w:t>
            </w:r>
          </w:p>
          <w:tbl>
            <w:tblPr>
              <w:tblStyle w:val="23"/>
              <w:tblW w:w="8844" w:type="dxa"/>
              <w:tblInd w:w="-15"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529"/>
              <w:gridCol w:w="35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1"/>
                    <w:spacing w:line="360" w:lineRule="auto"/>
                    <w:ind w:left="0" w:leftChars="0" w:firstLine="0" w:firstLineChars="0"/>
                    <w:jc w:val="both"/>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序号</w:t>
                  </w:r>
                </w:p>
              </w:tc>
              <w:tc>
                <w:tcPr>
                  <w:tcW w:w="4529" w:type="dxa"/>
                  <w:tcBorders>
                    <w:tl2br w:val="nil"/>
                    <w:tr2bl w:val="nil"/>
                  </w:tcBorders>
                  <w:vAlign w:val="center"/>
                </w:tcPr>
                <w:p>
                  <w:pPr>
                    <w:pStyle w:val="31"/>
                    <w:spacing w:line="360" w:lineRule="auto"/>
                    <w:ind w:left="0" w:leftChars="0" w:firstLine="0" w:firstLineChars="0"/>
                    <w:jc w:val="center"/>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环评批复要求</w:t>
                  </w:r>
                </w:p>
              </w:tc>
              <w:tc>
                <w:tcPr>
                  <w:tcW w:w="3594" w:type="dxa"/>
                  <w:tcBorders>
                    <w:tl2br w:val="nil"/>
                    <w:tr2bl w:val="nil"/>
                  </w:tcBorders>
                  <w:vAlign w:val="center"/>
                </w:tcPr>
                <w:p>
                  <w:pPr>
                    <w:pStyle w:val="31"/>
                    <w:keepNext w:val="0"/>
                    <w:keepLines w:val="0"/>
                    <w:pageBreakBefore w:val="0"/>
                    <w:widowControl w:val="0"/>
                    <w:kinsoku/>
                    <w:wordWrap/>
                    <w:overflowPunct/>
                    <w:topLinePunct w:val="0"/>
                    <w:autoSpaceDE w:val="0"/>
                    <w:autoSpaceDN w:val="0"/>
                    <w:bidi w:val="0"/>
                    <w:adjustRightInd/>
                    <w:snapToGrid/>
                    <w:spacing w:line="360" w:lineRule="auto"/>
                    <w:ind w:left="0" w:leftChars="0" w:firstLine="0" w:firstLineChars="0"/>
                    <w:jc w:val="center"/>
                    <w:textAlignment w:val="auto"/>
                    <w:outlineLvl w:val="9"/>
                    <w:rPr>
                      <w:rFonts w:hint="default" w:ascii="Times New Roman" w:hAnsi="Times New Roman" w:eastAsia="宋体" w:cs="Times New Roman"/>
                      <w:b/>
                      <w:bCs/>
                      <w:color w:val="auto"/>
                      <w:sz w:val="21"/>
                      <w:szCs w:val="21"/>
                      <w:vertAlign w:val="baseline"/>
                      <w:lang w:eastAsia="zh-CN"/>
                    </w:rPr>
                  </w:pPr>
                  <w:r>
                    <w:rPr>
                      <w:rFonts w:hint="default" w:ascii="Times New Roman" w:hAnsi="Times New Roman" w:eastAsia="宋体" w:cs="Times New Roman"/>
                      <w:b/>
                      <w:bCs/>
                      <w:color w:val="auto"/>
                      <w:sz w:val="21"/>
                      <w:szCs w:val="21"/>
                      <w:vertAlign w:val="baseline"/>
                      <w:lang w:eastAsia="zh-CN"/>
                    </w:rPr>
                    <w:t>落实情况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1"/>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1</w:t>
                  </w:r>
                </w:p>
              </w:tc>
              <w:tc>
                <w:tcPr>
                  <w:tcW w:w="452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落实《报告表》提出的废水治理设施和措施。强化“雨污分流、分质处理”的要求，水帘喷漆废水经隔渣+混凝+气浮工艺处理后回用至水帘柜，不得对外环境排放，生活污水化粪池、隔油池处理达到城南污水处理厂接管要求后经市政污水管网接入城南污水处理厂深度处理达标后外排。</w:t>
                  </w:r>
                </w:p>
              </w:tc>
              <w:tc>
                <w:tcPr>
                  <w:tcW w:w="3594"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lang w:val="en-US" w:eastAsia="zh-CN"/>
                    </w:rPr>
                    <w:t>厂区实行雨污分流制度，</w:t>
                  </w:r>
                  <w:r>
                    <w:rPr>
                      <w:rFonts w:hint="default" w:ascii="Times New Roman" w:hAnsi="Times New Roman" w:eastAsia="宋体" w:cs="Times New Roman"/>
                      <w:color w:val="auto"/>
                      <w:kern w:val="2"/>
                      <w:sz w:val="21"/>
                      <w:szCs w:val="21"/>
                      <w:lang w:val="en-US" w:eastAsia="zh-CN" w:bidi="ar-SA"/>
                    </w:rPr>
                    <w:t>水帘喷漆废水经隔渣+混凝+气浮工艺处理后回用至水帘柜</w:t>
                  </w:r>
                  <w:r>
                    <w:rPr>
                      <w:rFonts w:hint="eastAsia" w:ascii="Times New Roman" w:hAnsi="Times New Roman" w:eastAsia="宋体" w:cs="Times New Roman"/>
                      <w:color w:val="auto"/>
                      <w:kern w:val="2"/>
                      <w:sz w:val="21"/>
                      <w:szCs w:val="21"/>
                      <w:lang w:val="en-US" w:eastAsia="zh-CN" w:bidi="ar-SA"/>
                    </w:rPr>
                    <w:t>，不外排；生活废水经隔油池化粪池处理后进入</w:t>
                  </w:r>
                  <w:r>
                    <w:rPr>
                      <w:rFonts w:hint="default" w:ascii="Times New Roman" w:hAnsi="Times New Roman" w:eastAsia="宋体" w:cs="Times New Roman"/>
                      <w:color w:val="auto"/>
                      <w:kern w:val="2"/>
                      <w:sz w:val="21"/>
                      <w:szCs w:val="21"/>
                      <w:lang w:val="en-US" w:eastAsia="zh-CN" w:bidi="ar-SA"/>
                    </w:rPr>
                    <w:t>城南污水处理厂</w:t>
                  </w:r>
                  <w:r>
                    <w:rPr>
                      <w:rFonts w:hint="eastAsia" w:ascii="Times New Roman" w:hAnsi="Times New Roman" w:eastAsia="宋体" w:cs="Times New Roman"/>
                      <w:color w:val="auto"/>
                      <w:kern w:val="2"/>
                      <w:sz w:val="21"/>
                      <w:szCs w:val="21"/>
                      <w:lang w:val="en-US" w:eastAsia="zh-CN" w:bidi="ar-SA"/>
                    </w:rPr>
                    <w:t>处理。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1"/>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auto"/>
                      <w:sz w:val="21"/>
                      <w:szCs w:val="21"/>
                      <w:shd w:val="clear" w:color="FFFFFF" w:fill="D9D9D9"/>
                      <w:vertAlign w:val="baseline"/>
                      <w:lang w:val="en-US" w:eastAsia="zh-CN"/>
                    </w:rPr>
                  </w:pPr>
                  <w:r>
                    <w:rPr>
                      <w:rFonts w:hint="eastAsia" w:cs="Times New Roman"/>
                      <w:b w:val="0"/>
                      <w:bCs w:val="0"/>
                      <w:color w:val="auto"/>
                      <w:sz w:val="21"/>
                      <w:szCs w:val="21"/>
                      <w:shd w:val="clear" w:color="FFFFFF" w:fill="D9D9D9"/>
                      <w:vertAlign w:val="baseline"/>
                      <w:lang w:val="en-US" w:eastAsia="zh-CN"/>
                    </w:rPr>
                    <w:t>2</w:t>
                  </w:r>
                </w:p>
              </w:tc>
              <w:tc>
                <w:tcPr>
                  <w:tcW w:w="4529" w:type="dxa"/>
                  <w:tcBorders>
                    <w:tl2br w:val="nil"/>
                    <w:tr2bl w:val="nil"/>
                  </w:tcBorders>
                  <w:vAlign w:val="center"/>
                </w:tcPr>
                <w:p>
                  <w:pPr>
                    <w:spacing w:line="240" w:lineRule="auto"/>
                    <w:rPr>
                      <w:rFonts w:hint="default"/>
                      <w:color w:val="auto"/>
                      <w:lang w:val="en-US" w:eastAsia="zh-CN"/>
                    </w:rPr>
                  </w:pPr>
                  <w:r>
                    <w:rPr>
                      <w:rFonts w:hint="default"/>
                      <w:color w:val="auto"/>
                      <w:lang w:val="en-US" w:eastAsia="zh-CN"/>
                    </w:rPr>
                    <w:t>落实《报告表》提出的各项废气治理设施和措施，木工车间颗粒物采用中央吸尘系统收集+布袋除尘器处理+15m高排气筒处理；喷漆房废气和烘干房废气一并经水喷淋+过滤棉+二级活性炭+15m高排气筒处理；打磨柜打磨废气经打磨柜配套的除尘系统+15m高排气筒处理；焊接烟尘经移动式焊接烟尘进化器收集处理；钢材打磨粉尘在车间内自然沉降，废气排放应满足GB16297-1996《大气污染物综合排放标准》表2中污染源大气污染物排放限值，食堂油烟经高效油烟净化器处理后由楼顶烟囱排放，废气排放应满足GB18483-2001《饮食业油烟排放标准(试行)》中的规定。</w:t>
                  </w:r>
                </w:p>
              </w:tc>
              <w:tc>
                <w:tcPr>
                  <w:tcW w:w="3594" w:type="dxa"/>
                  <w:tcBorders>
                    <w:tl2br w:val="nil"/>
                    <w:tr2bl w:val="nil"/>
                  </w:tcBorders>
                  <w:vAlign w:val="center"/>
                </w:tcPr>
                <w:p>
                  <w:pPr>
                    <w:spacing w:line="240" w:lineRule="auto"/>
                    <w:rPr>
                      <w:rFonts w:hint="eastAsia"/>
                      <w:lang w:val="en-US" w:eastAsia="zh-CN"/>
                    </w:rPr>
                  </w:pPr>
                  <w:r>
                    <w:rPr>
                      <w:rFonts w:hint="default"/>
                      <w:lang w:val="en-US" w:eastAsia="zh-CN"/>
                    </w:rPr>
                    <w:t>《报告表》提出的各项废气治理设施和措施</w:t>
                  </w:r>
                  <w:r>
                    <w:rPr>
                      <w:rFonts w:hint="eastAsia"/>
                      <w:lang w:val="en-US" w:eastAsia="zh-CN"/>
                    </w:rPr>
                    <w:t>均已落实。</w:t>
                  </w:r>
                </w:p>
                <w:p>
                  <w:pPr>
                    <w:pStyle w:val="11"/>
                    <w:ind w:left="0" w:leftChars="0" w:firstLine="0" w:firstLineChars="0"/>
                    <w:rPr>
                      <w:rFonts w:hint="eastAsia"/>
                      <w:lang w:val="en-US" w:eastAsia="zh-CN"/>
                    </w:rPr>
                  </w:pPr>
                  <w:r>
                    <w:rPr>
                      <w:rFonts w:hint="eastAsia"/>
                      <w:lang w:val="en-US" w:eastAsia="zh-CN"/>
                    </w:rPr>
                    <w:t>①</w:t>
                  </w:r>
                  <w:r>
                    <w:rPr>
                      <w:rFonts w:hint="default"/>
                      <w:lang w:val="en-US" w:eastAsia="zh-CN"/>
                    </w:rPr>
                    <w:t>木工车间颗粒物采用中央吸尘系统收集+布袋除尘器处理+15m高排气筒处理</w:t>
                  </w:r>
                  <w:r>
                    <w:rPr>
                      <w:rFonts w:hint="eastAsia"/>
                      <w:lang w:val="en-US" w:eastAsia="zh-CN"/>
                    </w:rPr>
                    <w:t>；</w:t>
                  </w:r>
                </w:p>
                <w:p>
                  <w:pPr>
                    <w:rPr>
                      <w:rFonts w:hint="eastAsia"/>
                      <w:lang w:val="en-US" w:eastAsia="zh-CN"/>
                    </w:rPr>
                  </w:pPr>
                  <w:r>
                    <w:rPr>
                      <w:rFonts w:hint="eastAsia"/>
                      <w:lang w:val="en-US" w:eastAsia="zh-CN"/>
                    </w:rPr>
                    <w:t>②</w:t>
                  </w:r>
                  <w:r>
                    <w:rPr>
                      <w:rFonts w:hint="default"/>
                      <w:lang w:val="en-US" w:eastAsia="zh-CN"/>
                    </w:rPr>
                    <w:t>喷漆房废气和烘干房废气</w:t>
                  </w:r>
                  <w:r>
                    <w:rPr>
                      <w:rFonts w:hint="eastAsia"/>
                      <w:lang w:val="en-US" w:eastAsia="zh-CN"/>
                    </w:rPr>
                    <w:t>分别经2套“</w:t>
                  </w:r>
                  <w:r>
                    <w:rPr>
                      <w:rFonts w:hint="default"/>
                      <w:lang w:val="en-US" w:eastAsia="zh-CN"/>
                    </w:rPr>
                    <w:t>水喷淋+过滤棉+二级活性炭</w:t>
                  </w:r>
                  <w:r>
                    <w:rPr>
                      <w:rFonts w:hint="eastAsia"/>
                      <w:lang w:val="en-US" w:eastAsia="zh-CN"/>
                    </w:rPr>
                    <w:t>”</w:t>
                  </w:r>
                  <w:r>
                    <w:rPr>
                      <w:rFonts w:hint="default"/>
                      <w:lang w:val="en-US" w:eastAsia="zh-CN"/>
                    </w:rPr>
                    <w:t>处理</w:t>
                  </w:r>
                  <w:r>
                    <w:rPr>
                      <w:rFonts w:hint="eastAsia"/>
                      <w:lang w:val="en-US" w:eastAsia="zh-CN"/>
                    </w:rPr>
                    <w:t>后经</w:t>
                  </w:r>
                  <w:r>
                    <w:rPr>
                      <w:rFonts w:hint="default"/>
                      <w:lang w:val="en-US" w:eastAsia="zh-CN"/>
                    </w:rPr>
                    <w:t>15m高排气筒</w:t>
                  </w:r>
                  <w:r>
                    <w:rPr>
                      <w:rFonts w:hint="eastAsia"/>
                      <w:lang w:val="en-US" w:eastAsia="zh-CN"/>
                    </w:rPr>
                    <w:t>排放；</w:t>
                  </w:r>
                </w:p>
                <w:p>
                  <w:pPr>
                    <w:pStyle w:val="11"/>
                    <w:ind w:left="0" w:leftChars="0" w:firstLine="0" w:firstLineChars="0"/>
                    <w:rPr>
                      <w:rFonts w:hint="eastAsia"/>
                      <w:lang w:val="en-US" w:eastAsia="zh-CN"/>
                    </w:rPr>
                  </w:pPr>
                  <w:r>
                    <w:rPr>
                      <w:rFonts w:hint="eastAsia"/>
                      <w:lang w:val="en-US" w:eastAsia="zh-CN"/>
                    </w:rPr>
                    <w:t>③</w:t>
                  </w:r>
                  <w:r>
                    <w:rPr>
                      <w:rFonts w:hint="default"/>
                      <w:lang w:val="en-US" w:eastAsia="zh-CN"/>
                    </w:rPr>
                    <w:t>打磨柜打磨废气经打磨柜配套的除尘系统+15m高排气筒处理</w:t>
                  </w:r>
                  <w:r>
                    <w:rPr>
                      <w:rFonts w:hint="eastAsia"/>
                      <w:lang w:val="en-US" w:eastAsia="zh-CN"/>
                    </w:rPr>
                    <w:t>;</w:t>
                  </w:r>
                </w:p>
                <w:p>
                  <w:pPr>
                    <w:rPr>
                      <w:rFonts w:hint="eastAsia"/>
                      <w:lang w:val="en-US" w:eastAsia="zh-CN"/>
                    </w:rPr>
                  </w:pPr>
                  <w:r>
                    <w:rPr>
                      <w:rFonts w:hint="eastAsia"/>
                      <w:lang w:val="en-US" w:eastAsia="zh-CN"/>
                    </w:rPr>
                    <w:t>④</w:t>
                  </w:r>
                  <w:r>
                    <w:rPr>
                      <w:rFonts w:hint="default"/>
                      <w:lang w:val="en-US" w:eastAsia="zh-CN"/>
                    </w:rPr>
                    <w:t>钢材打磨粉尘在车间内自然沉降</w:t>
                  </w:r>
                  <w:r>
                    <w:rPr>
                      <w:rFonts w:hint="eastAsia"/>
                      <w:lang w:val="en-US" w:eastAsia="zh-CN"/>
                    </w:rPr>
                    <w:t>；</w:t>
                  </w:r>
                </w:p>
                <w:p>
                  <w:pPr>
                    <w:pStyle w:val="11"/>
                    <w:ind w:left="0" w:leftChars="0" w:firstLine="0" w:firstLineChars="0"/>
                    <w:rPr>
                      <w:rFonts w:hint="default"/>
                      <w:lang w:val="en-US" w:eastAsia="zh-CN"/>
                    </w:rPr>
                  </w:pPr>
                  <w:r>
                    <w:rPr>
                      <w:rFonts w:hint="eastAsia"/>
                      <w:color w:val="auto"/>
                      <w:lang w:val="en-US" w:eastAsia="zh-CN"/>
                    </w:rPr>
                    <w:t>⑤</w:t>
                  </w:r>
                  <w:r>
                    <w:rPr>
                      <w:rFonts w:hint="default"/>
                      <w:color w:val="auto"/>
                      <w:lang w:val="en-US" w:eastAsia="zh-CN"/>
                    </w:rPr>
                    <w:t>食堂油烟经高效油烟净化器处理后由楼顶烟囱排放</w:t>
                  </w:r>
                  <w:r>
                    <w:rPr>
                      <w:rFonts w:hint="eastAsia"/>
                      <w:color w:val="auto"/>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1"/>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ascii="Times New Roman" w:hAnsi="Times New Roman" w:eastAsia="宋体" w:cs="Times New Roman"/>
                      <w:b w:val="0"/>
                      <w:bCs w:val="0"/>
                      <w:color w:val="auto"/>
                      <w:sz w:val="21"/>
                      <w:szCs w:val="21"/>
                      <w:shd w:val="clear" w:color="FFFFFF" w:fill="D9D9D9"/>
                      <w:vertAlign w:val="baseline"/>
                      <w:lang w:val="en-US" w:eastAsia="zh-CN"/>
                    </w:rPr>
                  </w:pPr>
                  <w:r>
                    <w:rPr>
                      <w:rFonts w:hint="eastAsia" w:cs="Times New Roman"/>
                      <w:b w:val="0"/>
                      <w:bCs w:val="0"/>
                      <w:color w:val="auto"/>
                      <w:sz w:val="21"/>
                      <w:szCs w:val="21"/>
                      <w:shd w:val="clear" w:color="FFFFFF" w:fill="D9D9D9"/>
                      <w:vertAlign w:val="baseline"/>
                      <w:lang w:val="en-US" w:eastAsia="zh-CN"/>
                    </w:rPr>
                    <w:t>3</w:t>
                  </w:r>
                </w:p>
              </w:tc>
              <w:tc>
                <w:tcPr>
                  <w:tcW w:w="452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落实《报告表》提出的各项噪声治理对策和措施，项目噪声源主要为设备运行、风机噪声等，你单位应合理布局生产单元，尽可能选用低噪声设备，高噪声设备须设置单独基础、加设减振垫、设 置隔声屏障、安装消声器等降噪措施，同时采取绿化、加强设备维护等，确保厂界噪声符合GB12348-2008《工业企业厂界环境噪声排放标准》中2类标准要求。</w:t>
                  </w:r>
                </w:p>
              </w:tc>
              <w:tc>
                <w:tcPr>
                  <w:tcW w:w="3594" w:type="dxa"/>
                  <w:tcBorders>
                    <w:tl2br w:val="nil"/>
                    <w:tr2bl w:val="nil"/>
                  </w:tcBorders>
                  <w:vAlign w:val="center"/>
                </w:tcPr>
                <w:p>
                  <w:pPr>
                    <w:spacing w:line="240" w:lineRule="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lang w:val="en-US" w:eastAsia="zh-CN"/>
                    </w:rPr>
                    <w:t>本项目通过合理布局，增加隔声墙等措施减小噪声对辅警的影响，经过监测</w:t>
                  </w:r>
                  <w:r>
                    <w:rPr>
                      <w:rFonts w:hint="default" w:ascii="Times New Roman" w:hAnsi="Times New Roman" w:eastAsia="宋体" w:cs="Times New Roman"/>
                      <w:color w:val="auto"/>
                      <w:kern w:val="2"/>
                      <w:sz w:val="21"/>
                      <w:szCs w:val="21"/>
                      <w:lang w:val="en-US" w:eastAsia="zh-CN" w:bidi="ar-SA"/>
                    </w:rPr>
                    <w:t>厂界噪声符合GB12348-2008《工业企业厂界环境噪声排放标准》中2类标准要求。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21" w:type="dxa"/>
                  <w:tcBorders>
                    <w:tl2br w:val="nil"/>
                    <w:tr2bl w:val="nil"/>
                  </w:tcBorders>
                  <w:vAlign w:val="center"/>
                </w:tcPr>
                <w:p>
                  <w:pPr>
                    <w:pStyle w:val="31"/>
                    <w:keepNext w:val="0"/>
                    <w:keepLines w:val="0"/>
                    <w:pageBreakBefore w:val="0"/>
                    <w:widowControl w:val="0"/>
                    <w:kinsoku/>
                    <w:wordWrap/>
                    <w:overflowPunct/>
                    <w:topLinePunct w:val="0"/>
                    <w:autoSpaceDE w:val="0"/>
                    <w:autoSpaceDN w:val="0"/>
                    <w:bidi w:val="0"/>
                    <w:adjustRightInd w:val="0"/>
                    <w:snapToGrid/>
                    <w:spacing w:line="240" w:lineRule="auto"/>
                    <w:ind w:firstLine="0"/>
                    <w:jc w:val="center"/>
                    <w:textAlignment w:val="auto"/>
                    <w:rPr>
                      <w:rFonts w:hint="default" w:cs="Times New Roman"/>
                      <w:b w:val="0"/>
                      <w:bCs w:val="0"/>
                      <w:color w:val="auto"/>
                      <w:sz w:val="21"/>
                      <w:szCs w:val="21"/>
                      <w:shd w:val="clear" w:color="FFFFFF" w:fill="D9D9D9"/>
                      <w:vertAlign w:val="baseline"/>
                      <w:lang w:val="en-US" w:eastAsia="zh-CN"/>
                    </w:rPr>
                  </w:pPr>
                  <w:r>
                    <w:rPr>
                      <w:rFonts w:hint="eastAsia" w:cs="Times New Roman"/>
                      <w:b w:val="0"/>
                      <w:bCs w:val="0"/>
                      <w:color w:val="auto"/>
                      <w:sz w:val="21"/>
                      <w:szCs w:val="21"/>
                      <w:shd w:val="clear" w:color="FFFFFF" w:fill="D9D9D9"/>
                      <w:vertAlign w:val="baseline"/>
                      <w:lang w:val="en-US" w:eastAsia="zh-CN"/>
                    </w:rPr>
                    <w:t>4</w:t>
                  </w:r>
                </w:p>
              </w:tc>
              <w:tc>
                <w:tcPr>
                  <w:tcW w:w="452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落实《报告表》提出的固体废弃物处置对策和措施。项目生产过程中产生的固废主要分为一般固废、危险废物、生活垃圾。危险废物废油漆桶、废胶桶、废活性炭、废过滤棉、废漆渣、废滤渣、漆面打磨粉尘等委托有危废处置资质的单位处理处置，一般固废木材和废金属加工产生的废边角料和尾气系统收集的木屑粉尘厂区暂存后外售综合利用，生活垃圾委托环卫部门清运，一般固废贮存执行GB18599-2020《一般工业固体废物贮存和填埋污染控制标准》中的规定，危险废物暂存场执行GB18597-2001《危险废物贮存污染控 制标准》及修改单的规定，危险废物转移按照《危险废物转移管理办法》(生态环境部公安部交通运输部部令第23号)的规定执行。</w:t>
                  </w:r>
                </w:p>
              </w:tc>
              <w:tc>
                <w:tcPr>
                  <w:tcW w:w="3594" w:type="dxa"/>
                  <w:tcBorders>
                    <w:tl2br w:val="nil"/>
                    <w:tr2bl w:val="nil"/>
                  </w:tcBorders>
                  <w:vAlign w:val="center"/>
                </w:tcPr>
                <w:p>
                  <w:pPr>
                    <w:spacing w:line="240" w:lineRule="auto"/>
                    <w:rPr>
                      <w:rFonts w:hint="default"/>
                      <w:lang w:val="en-US" w:eastAsia="zh-CN"/>
                    </w:rPr>
                  </w:pPr>
                  <w:r>
                    <w:rPr>
                      <w:rFonts w:hint="eastAsia"/>
                      <w:lang w:val="en-US" w:eastAsia="zh-CN"/>
                    </w:rPr>
                    <w:t>厂内设置一般固废堆放场所和危废暂存间，临时堆放固废，定期处理。</w:t>
                  </w:r>
                  <w:r>
                    <w:rPr>
                      <w:rFonts w:hint="default"/>
                      <w:lang w:val="en-US" w:eastAsia="zh-CN"/>
                    </w:rPr>
                    <w:t>一般固废贮存执行GB18599-2020《一般工业固体废物贮存和填埋污染控制标准》中的规定，危险废物暂存场执行GB18597-2001《危险废物贮存污染控 制标准》及修改单的规定，危险废物转移按照《危险废物转移管理办法》(生态环境部公安部交通运输部部令第23号)的规定执行。</w:t>
                  </w:r>
                </w:p>
                <w:p>
                  <w:pPr>
                    <w:pStyle w:val="11"/>
                    <w:ind w:left="0" w:leftChars="0" w:firstLine="0" w:firstLineChars="0"/>
                    <w:rPr>
                      <w:rFonts w:hint="default"/>
                      <w:lang w:val="en-US" w:eastAsia="zh-CN"/>
                    </w:rPr>
                  </w:pPr>
                  <w:r>
                    <w:rPr>
                      <w:rFonts w:hint="default" w:ascii="Times New Roman" w:hAnsi="Times New Roman" w:eastAsia="宋体" w:cs="Times New Roman"/>
                      <w:color w:val="auto"/>
                      <w:kern w:val="2"/>
                      <w:sz w:val="21"/>
                      <w:szCs w:val="21"/>
                      <w:lang w:val="en-US" w:eastAsia="zh-CN" w:bidi="ar-SA"/>
                    </w:rPr>
                    <w:t>生活垃圾委托环卫部门清运</w:t>
                  </w:r>
                  <w:r>
                    <w:rPr>
                      <w:rFonts w:hint="eastAsia" w:ascii="Times New Roman" w:hAnsi="Times New Roman" w:eastAsia="宋体" w:cs="Times New Roman"/>
                      <w:color w:val="auto"/>
                      <w:kern w:val="2"/>
                      <w:sz w:val="21"/>
                      <w:szCs w:val="21"/>
                      <w:lang w:val="en-US" w:eastAsia="zh-CN" w:bidi="ar-SA"/>
                    </w:rPr>
                    <w:t>。</w:t>
                  </w:r>
                </w:p>
              </w:tc>
            </w:tr>
          </w:tbl>
          <w:p>
            <w:pPr>
              <w:spacing w:line="240" w:lineRule="auto"/>
              <w:ind w:left="0" w:leftChars="0" w:firstLine="480" w:firstLineChars="200"/>
              <w:rPr>
                <w:rFonts w:hint="eastAsia" w:ascii="Times New Roman" w:hAnsi="Times New Roman" w:cs="Times New Roman"/>
                <w:color w:val="0000FF"/>
                <w:sz w:val="24"/>
                <w:szCs w:val="32"/>
                <w:lang w:val="en-US" w:eastAsia="zh-CN"/>
              </w:rPr>
            </w:pPr>
          </w:p>
          <w:p>
            <w:pPr>
              <w:spacing w:line="360" w:lineRule="auto"/>
              <w:rPr>
                <w:rFonts w:hint="default"/>
                <w:color w:val="0000FF"/>
                <w:lang w:val="en-US" w:eastAsia="zh-CN"/>
              </w:rPr>
            </w:pPr>
          </w:p>
        </w:tc>
      </w:tr>
    </w:tbl>
    <w:p>
      <w:pPr>
        <w:spacing w:line="360" w:lineRule="auto"/>
        <w:jc w:val="both"/>
        <w:rPr>
          <w:rFonts w:hint="eastAsia" w:ascii="宋体" w:hAnsi="宋体" w:eastAsia="宋体" w:cs="宋体"/>
          <w:b/>
          <w:bCs/>
          <w:color w:val="0000FF"/>
          <w:kern w:val="0"/>
          <w:sz w:val="28"/>
          <w:szCs w:val="28"/>
          <w:lang w:val="en-US" w:eastAsia="zh-CN"/>
        </w:rPr>
      </w:pPr>
      <w:r>
        <w:rPr>
          <w:rFonts w:hint="eastAsia" w:ascii="宋体" w:hAnsi="宋体" w:eastAsia="宋体" w:cs="宋体"/>
          <w:b/>
          <w:bCs/>
          <w:color w:val="0000FF"/>
          <w:kern w:val="0"/>
          <w:sz w:val="28"/>
          <w:szCs w:val="28"/>
          <w:lang w:val="en-US" w:eastAsia="zh-CN"/>
        </w:rPr>
        <w:br w:type="page"/>
      </w:r>
    </w:p>
    <w:p>
      <w:pPr>
        <w:pStyle w:val="3"/>
        <w:rPr>
          <w:rFonts w:hint="eastAsia"/>
          <w:color w:val="auto"/>
          <w:lang w:val="en-US" w:eastAsia="zh-CN"/>
        </w:rPr>
      </w:pPr>
      <w:bookmarkStart w:id="16" w:name="_Toc11366"/>
      <w:bookmarkStart w:id="17" w:name="_Toc12447"/>
      <w:bookmarkStart w:id="18" w:name="_Toc26759"/>
      <w:r>
        <w:rPr>
          <w:rFonts w:hint="eastAsia"/>
          <w:color w:val="auto"/>
          <w:lang w:val="en-US" w:eastAsia="zh-CN"/>
        </w:rPr>
        <w:t>表五 验收监测内容</w:t>
      </w:r>
      <w:bookmarkEnd w:id="16"/>
      <w:bookmarkEnd w:id="17"/>
      <w:bookmarkEnd w:id="18"/>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9066" w:type="dxa"/>
            <w:vAlign w:val="top"/>
          </w:tcPr>
          <w:p>
            <w:pPr>
              <w:pStyle w:val="4"/>
              <w:rPr>
                <w:rFonts w:hint="eastAsia"/>
                <w:color w:val="auto"/>
              </w:rPr>
            </w:pPr>
            <w:bookmarkStart w:id="19" w:name="_Toc25148"/>
            <w:r>
              <w:rPr>
                <w:rFonts w:hint="eastAsia"/>
                <w:color w:val="auto"/>
                <w:lang w:val="en-US" w:eastAsia="zh-CN"/>
              </w:rPr>
              <w:t xml:space="preserve">5.1 </w:t>
            </w:r>
            <w:r>
              <w:rPr>
                <w:rFonts w:hint="eastAsia"/>
                <w:color w:val="auto"/>
              </w:rPr>
              <w:t>验收监测点位及频次</w:t>
            </w:r>
            <w:bookmarkEnd w:id="19"/>
          </w:p>
          <w:p>
            <w:pPr>
              <w:spacing w:line="360" w:lineRule="auto"/>
              <w:jc w:val="center"/>
              <w:rPr>
                <w:rFonts w:hint="default" w:ascii="Times New Roman" w:hAnsi="Times New Roman" w:eastAsia="黑体" w:cs="Times New Roman"/>
                <w:b/>
                <w:color w:val="auto"/>
                <w:sz w:val="21"/>
                <w:szCs w:val="21"/>
                <w:lang w:eastAsia="zh-CN"/>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5-1 建设</w:t>
            </w:r>
            <w:r>
              <w:rPr>
                <w:rFonts w:hint="default" w:ascii="Times New Roman" w:hAnsi="Times New Roman" w:eastAsia="黑体" w:cs="Times New Roman"/>
                <w:b/>
                <w:color w:val="auto"/>
                <w:sz w:val="21"/>
                <w:szCs w:val="21"/>
              </w:rPr>
              <w:t>项目验收监测</w:t>
            </w:r>
            <w:r>
              <w:rPr>
                <w:rFonts w:hint="default" w:ascii="Times New Roman" w:hAnsi="Times New Roman" w:eastAsia="黑体" w:cs="Times New Roman"/>
                <w:b/>
                <w:color w:val="auto"/>
                <w:sz w:val="21"/>
                <w:szCs w:val="21"/>
                <w:lang w:eastAsia="zh-CN"/>
              </w:rPr>
              <w:t>点位及频次</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7"/>
              <w:gridCol w:w="1511"/>
              <w:gridCol w:w="721"/>
              <w:gridCol w:w="1650"/>
              <w:gridCol w:w="1065"/>
              <w:gridCol w:w="279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监测类别</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符号</w:t>
                  </w:r>
                </w:p>
              </w:tc>
              <w:tc>
                <w:tcPr>
                  <w:tcW w:w="165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监测项目</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监测频率</w:t>
                  </w:r>
                </w:p>
              </w:tc>
              <w:tc>
                <w:tcPr>
                  <w:tcW w:w="2790"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有组织</w:t>
                  </w:r>
                </w:p>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废气</w:t>
                  </w: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木材加工排气筒（DA001）</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1</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《大气污染物综合排放标准》(GB16297- 1996)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511"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lang w:val="en-US" w:eastAsia="zh-CN"/>
                    </w:rPr>
                    <w:t>面漆和烘干废</w:t>
                  </w:r>
                </w:p>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cs="Times New Roman"/>
                      <w:szCs w:val="21"/>
                      <w:lang w:val="en-US" w:eastAsia="zh-CN"/>
                    </w:rPr>
                    <w:t>气排气筒(DA002)</w:t>
                  </w:r>
                </w:p>
              </w:tc>
              <w:tc>
                <w:tcPr>
                  <w:tcW w:w="721"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2</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65"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甲苯</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kern w:val="2"/>
                      <w:sz w:val="21"/>
                      <w:szCs w:val="21"/>
                      <w:highlight w:val="none"/>
                      <w:lang w:val="en-US" w:eastAsia="zh-CN" w:bidi="ar-SA"/>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kern w:val="2"/>
                      <w:sz w:val="21"/>
                      <w:szCs w:val="21"/>
                      <w:highlight w:val="none"/>
                      <w:lang w:val="en-US" w:eastAsia="zh-CN" w:bidi="ar-SA"/>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二甲苯</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lang w:val="en-US" w:eastAsia="zh-CN"/>
                    </w:rPr>
                    <w:t>非甲烷总烃</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restart"/>
                  <w:tcBorders>
                    <w:tl2br w:val="nil"/>
                    <w:tr2bl w:val="nil"/>
                  </w:tcBorders>
                  <w:vAlign w:val="center"/>
                </w:tcPr>
                <w:p>
                  <w:pPr>
                    <w:jc w:val="center"/>
                    <w:rPr>
                      <w:rFonts w:ascii="Times New Roman" w:hAnsi="Times New Roman" w:cs="Times New Roman"/>
                      <w:szCs w:val="21"/>
                    </w:rPr>
                  </w:pPr>
                  <w:r>
                    <w:rPr>
                      <w:rFonts w:hint="eastAsia" w:ascii="Times New Roman" w:hAnsi="Times New Roman" w:cs="Times New Roman"/>
                      <w:szCs w:val="21"/>
                      <w:lang w:val="en-US" w:eastAsia="zh-CN"/>
                    </w:rPr>
                    <w:t>面漆和烘干废</w:t>
                  </w:r>
                </w:p>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szCs w:val="21"/>
                      <w:lang w:val="en-US" w:eastAsia="zh-CN"/>
                    </w:rPr>
                    <w:t>气排气筒(DA003)</w:t>
                  </w:r>
                </w:p>
              </w:tc>
              <w:tc>
                <w:tcPr>
                  <w:tcW w:w="721"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3</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65" w:type="dxa"/>
                  <w:vMerge w:val="restart"/>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sz w:val="21"/>
                      <w:szCs w:val="21"/>
                      <w:highlight w:val="none"/>
                      <w:lang w:val="en-US" w:eastAsia="zh-CN"/>
                    </w:rPr>
                    <w:t>甲苯</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二甲苯</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721"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cs="Times New Roman"/>
                      <w:b w:val="0"/>
                      <w:bCs w:val="0"/>
                      <w:color w:val="auto"/>
                      <w:sz w:val="21"/>
                      <w:szCs w:val="21"/>
                      <w:lang w:val="en-US" w:eastAsia="zh-CN"/>
                    </w:rPr>
                    <w:t>非甲烷总烃</w:t>
                  </w:r>
                </w:p>
              </w:tc>
              <w:tc>
                <w:tcPr>
                  <w:tcW w:w="1065"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szCs w:val="21"/>
                      <w:lang w:val="en-US" w:eastAsia="zh-CN"/>
                    </w:rPr>
                    <w:t>打磨工序排气筒（DA004）</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4</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b w:val="0"/>
                      <w:bCs w:val="0"/>
                      <w:color w:val="auto"/>
                      <w:sz w:val="21"/>
                      <w:szCs w:val="21"/>
                      <w:highlight w:val="none"/>
                      <w:lang w:val="en-US" w:eastAsia="zh-CN"/>
                    </w:rPr>
                    <w:t>颗粒物</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vMerge w:val="continue"/>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shd w:val="clear" w:color="auto" w:fill="auto"/>
                  <w:vAlign w:val="center"/>
                </w:tcPr>
                <w:p>
                  <w:pPr>
                    <w:spacing w:line="240" w:lineRule="auto"/>
                    <w:jc w:val="center"/>
                    <w:rPr>
                      <w:rFonts w:hint="default" w:ascii="Times New Roman" w:hAnsi="Times New Roman" w:eastAsia="宋体" w:cs="Times New Roman"/>
                      <w:b/>
                      <w:bCs/>
                      <w:color w:val="auto"/>
                      <w:sz w:val="21"/>
                      <w:szCs w:val="21"/>
                      <w:highlight w:val="none"/>
                    </w:rPr>
                  </w:pPr>
                </w:p>
              </w:tc>
              <w:tc>
                <w:tcPr>
                  <w:tcW w:w="1511" w:type="dxa"/>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szCs w:val="21"/>
                      <w:lang w:val="en-US" w:eastAsia="zh-CN"/>
                    </w:rPr>
                    <w:t>厨房油烟</w:t>
                  </w:r>
                </w:p>
              </w:tc>
              <w:tc>
                <w:tcPr>
                  <w:tcW w:w="721"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eastAsia="宋体" w:cs="Times New Roman"/>
                      <w:b w:val="0"/>
                      <w:bCs w:val="0"/>
                      <w:color w:val="auto"/>
                      <w:sz w:val="21"/>
                      <w:szCs w:val="21"/>
                      <w:highlight w:val="none"/>
                      <w:lang w:val="en-US" w:eastAsia="zh-CN"/>
                    </w:rPr>
                    <w:t>5</w:t>
                  </w:r>
                </w:p>
              </w:tc>
              <w:tc>
                <w:tcPr>
                  <w:tcW w:w="1650" w:type="dxa"/>
                  <w:tcBorders>
                    <w:tl2br w:val="nil"/>
                    <w:tr2bl w:val="nil"/>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油烟</w:t>
                  </w:r>
                </w:p>
              </w:tc>
              <w:tc>
                <w:tcPr>
                  <w:tcW w:w="1065" w:type="dxa"/>
                  <w:tcBorders>
                    <w:tl2br w:val="nil"/>
                    <w:tr2bl w:val="nil"/>
                  </w:tcBorders>
                  <w:shd w:val="clear" w:color="auto" w:fill="auto"/>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次</w:t>
                  </w:r>
                </w:p>
              </w:tc>
              <w:tc>
                <w:tcPr>
                  <w:tcW w:w="2790" w:type="dxa"/>
                  <w:tcBorders>
                    <w:tl2br w:val="nil"/>
                    <w:tr2bl w:val="nil"/>
                  </w:tcBorders>
                  <w:shd w:val="clear" w:color="auto" w:fill="auto"/>
                  <w:vAlign w:val="center"/>
                </w:tcPr>
                <w:p>
                  <w:pPr>
                    <w:spacing w:line="240" w:lineRule="auto"/>
                    <w:jc w:val="both"/>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饮食业油烟排放标准（试行）（GB18483-2001）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无组织</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厂界上风向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szCs w:val="21"/>
                      <w:lang w:val="en-US" w:eastAsia="zh-CN"/>
                    </w:rPr>
                    <w:t>颗粒物、甲苯、二甲苯、非甲烷总烃</w:t>
                  </w:r>
                </w:p>
              </w:tc>
              <w:tc>
                <w:tcPr>
                  <w:tcW w:w="1065"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《大气污染物综合排放标准》(GB16297- 1996)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厂界下风向</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both"/>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东厂界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650" w:type="dxa"/>
                  <w:vMerge w:val="restar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等效连续</w:t>
                  </w:r>
                </w:p>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（A声级）</w:t>
                  </w:r>
                </w:p>
              </w:tc>
              <w:tc>
                <w:tcPr>
                  <w:tcW w:w="1065" w:type="dxa"/>
                  <w:vMerge w:val="restart"/>
                  <w:tcBorders>
                    <w:tl2br w:val="nil"/>
                    <w:tr2bl w:val="nil"/>
                  </w:tcBorders>
                  <w:vAlign w:val="center"/>
                </w:tcPr>
                <w:p>
                  <w:pPr>
                    <w:spacing w:line="240" w:lineRule="auto"/>
                    <w:jc w:val="both"/>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both"/>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eastAsia="zh-CN"/>
                    </w:rPr>
                    <w:t>昼、夜各</w:t>
                  </w:r>
                  <w:r>
                    <w:rPr>
                      <w:rFonts w:hint="default" w:ascii="Times New Roman" w:hAnsi="Times New Roman" w:cs="Times New Roman"/>
                      <w:color w:val="auto"/>
                      <w:sz w:val="21"/>
                      <w:szCs w:val="21"/>
                      <w:highlight w:val="none"/>
                      <w:lang w:eastAsia="zh-CN"/>
                    </w:rPr>
                    <w:t>监测</w:t>
                  </w:r>
                  <w:r>
                    <w:rPr>
                      <w:rFonts w:hint="default" w:ascii="Times New Roman" w:hAnsi="Times New Roman" w:cs="Times New Roman"/>
                      <w:color w:val="auto"/>
                      <w:sz w:val="21"/>
                      <w:szCs w:val="21"/>
                      <w:highlight w:val="none"/>
                      <w:lang w:val="en-US" w:eastAsia="zh-CN"/>
                    </w:rPr>
                    <w:t>1次</w:t>
                  </w:r>
                </w:p>
              </w:tc>
              <w:tc>
                <w:tcPr>
                  <w:tcW w:w="2790" w:type="dxa"/>
                  <w:vMerge w:val="restart"/>
                  <w:tcBorders>
                    <w:tl2br w:val="nil"/>
                    <w:tr2bl w:val="nil"/>
                  </w:tcBorders>
                  <w:vAlign w:val="center"/>
                </w:tcPr>
                <w:p>
                  <w:pPr>
                    <w:spacing w:line="240" w:lineRule="auto"/>
                    <w:jc w:val="both"/>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cs="Times New Roman"/>
                      <w:bCs/>
                      <w:color w:val="auto"/>
                      <w:sz w:val="21"/>
                      <w:szCs w:val="21"/>
                    </w:rPr>
                    <w:t>《工业企业厂界环境噪声排放标准》（GB12348-2008）</w:t>
                  </w:r>
                  <w:r>
                    <w:rPr>
                      <w:rFonts w:hint="default" w:ascii="Times New Roman" w:hAnsi="Times New Roman" w:cs="Times New Roman"/>
                      <w:bCs/>
                      <w:color w:val="auto"/>
                      <w:sz w:val="21"/>
                      <w:szCs w:val="21"/>
                      <w:lang w:val="en-US" w:eastAsia="zh-CN"/>
                    </w:rPr>
                    <w:t>标准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西厂界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vMerge w:val="continue"/>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北厂界</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165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1065"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c>
                <w:tcPr>
                  <w:tcW w:w="2790" w:type="dxa"/>
                  <w:vMerge w:val="continue"/>
                  <w:tcBorders>
                    <w:tl2br w:val="nil"/>
                    <w:tr2bl w:val="nil"/>
                  </w:tcBorders>
                  <w:vAlign w:val="center"/>
                </w:tcPr>
                <w:p>
                  <w:pPr>
                    <w:spacing w:line="240" w:lineRule="auto"/>
                    <w:jc w:val="center"/>
                    <w:rPr>
                      <w:rFonts w:hint="default" w:ascii="Times New Roman" w:hAnsi="Times New Roman" w:eastAsia="宋体" w:cs="Times New Roman"/>
                      <w:color w:val="0000FF"/>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7"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废水</w:t>
                  </w:r>
                </w:p>
              </w:tc>
              <w:tc>
                <w:tcPr>
                  <w:tcW w:w="151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化粪池废水出口</w:t>
                  </w:r>
                </w:p>
              </w:tc>
              <w:tc>
                <w:tcPr>
                  <w:tcW w:w="721"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1</w:t>
                  </w:r>
                </w:p>
              </w:tc>
              <w:tc>
                <w:tcPr>
                  <w:tcW w:w="1650"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lang w:val="en-US" w:eastAsia="zh-CN"/>
                    </w:rPr>
                    <w:t>pH、CODcr</w:t>
                  </w:r>
                  <w:r>
                    <w:rPr>
                      <w:rFonts w:hint="default" w:ascii="Times New Roman" w:hAnsi="Times New Roman" w:eastAsia="宋体" w:cs="Times New Roman"/>
                      <w:color w:val="auto"/>
                      <w:sz w:val="21"/>
                      <w:szCs w:val="21"/>
                      <w:highlight w:val="none"/>
                      <w:vertAlign w:val="baseline"/>
                      <w:lang w:val="en-US" w:eastAsia="zh-CN"/>
                    </w:rPr>
                    <w:t>、SS、NH</w:t>
                  </w:r>
                  <w:r>
                    <w:rPr>
                      <w:rFonts w:hint="default" w:ascii="Times New Roman" w:hAnsi="Times New Roman" w:eastAsia="宋体" w:cs="Times New Roman"/>
                      <w:color w:val="auto"/>
                      <w:sz w:val="21"/>
                      <w:szCs w:val="21"/>
                      <w:highlight w:val="none"/>
                      <w:vertAlign w:val="subscript"/>
                      <w:lang w:val="en-US" w:eastAsia="zh-CN"/>
                    </w:rPr>
                    <w:t>3</w:t>
                  </w:r>
                  <w:r>
                    <w:rPr>
                      <w:rFonts w:hint="default" w:ascii="Times New Roman" w:hAnsi="Times New Roman" w:eastAsia="宋体" w:cs="Times New Roman"/>
                      <w:color w:val="auto"/>
                      <w:sz w:val="21"/>
                      <w:szCs w:val="21"/>
                      <w:highlight w:val="none"/>
                      <w:vertAlign w:val="baseline"/>
                      <w:lang w:val="en-US" w:eastAsia="zh-CN"/>
                    </w:rPr>
                    <w:t>-N</w:t>
                  </w:r>
                  <w:r>
                    <w:rPr>
                      <w:rFonts w:hint="eastAsia" w:ascii="Times New Roman" w:hAnsi="Times New Roman" w:eastAsia="宋体" w:cs="Times New Roman"/>
                      <w:color w:val="auto"/>
                      <w:sz w:val="21"/>
                      <w:szCs w:val="21"/>
                      <w:highlight w:val="none"/>
                      <w:vertAlign w:val="baseline"/>
                      <w:lang w:val="en-US" w:eastAsia="zh-CN"/>
                    </w:rPr>
                    <w:t>、LAS</w:t>
                  </w:r>
                </w:p>
              </w:tc>
              <w:tc>
                <w:tcPr>
                  <w:tcW w:w="1065"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监测2天</w:t>
                  </w:r>
                </w:p>
                <w:p>
                  <w:pPr>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每天</w:t>
                  </w:r>
                  <w:r>
                    <w:rPr>
                      <w:rFonts w:hint="default" w:ascii="Times New Roman" w:hAnsi="Times New Roman" w:eastAsia="宋体"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rPr>
                    <w:t>次</w:t>
                  </w:r>
                </w:p>
              </w:tc>
              <w:tc>
                <w:tcPr>
                  <w:tcW w:w="2790" w:type="dxa"/>
                  <w:tcBorders>
                    <w:tl2br w:val="nil"/>
                    <w:tr2bl w:val="nil"/>
                  </w:tcBorders>
                  <w:vAlign w:val="center"/>
                </w:tcPr>
                <w:p>
                  <w:pPr>
                    <w:spacing w:line="240" w:lineRule="auto"/>
                    <w:jc w:val="center"/>
                    <w:rPr>
                      <w:rFonts w:hint="default" w:ascii="Times New Roman" w:hAnsi="Times New Roman" w:eastAsia="宋体" w:cs="Times New Roman"/>
                      <w:color w:val="0000FF"/>
                      <w:kern w:val="2"/>
                      <w:sz w:val="21"/>
                      <w:szCs w:val="21"/>
                      <w:highlight w:val="none"/>
                      <w:lang w:val="en-US" w:eastAsia="zh-CN" w:bidi="ar-SA"/>
                    </w:rPr>
                  </w:pPr>
                  <w:r>
                    <w:rPr>
                      <w:rFonts w:hint="eastAsia" w:ascii="Times New Roman" w:hAnsi="Times New Roman" w:cs="Times New Roman" w:eastAsiaTheme="minorEastAsia"/>
                      <w:color w:val="auto"/>
                      <w:sz w:val="21"/>
                      <w:szCs w:val="21"/>
                      <w:highlight w:val="none"/>
                      <w:lang w:val="en-US" w:eastAsia="zh-CN"/>
                    </w:rPr>
                    <w:t>桐城市城南污水处理厂接管标准</w:t>
                  </w:r>
                </w:p>
              </w:tc>
            </w:tr>
          </w:tbl>
          <w:p>
            <w:pPr>
              <w:pStyle w:val="4"/>
              <w:rPr>
                <w:rFonts w:hint="eastAsia" w:eastAsia="宋体"/>
                <w:color w:val="auto"/>
                <w:lang w:eastAsia="zh-CN"/>
              </w:rPr>
            </w:pPr>
            <w:r>
              <w:rPr>
                <w:rFonts w:hint="eastAsia"/>
                <w:color w:val="auto"/>
                <w:lang w:val="en-US" w:eastAsia="zh-CN"/>
              </w:rPr>
              <w:t xml:space="preserve">5.2 </w:t>
            </w:r>
            <w:r>
              <w:rPr>
                <w:rFonts w:hint="eastAsia"/>
                <w:color w:val="auto"/>
              </w:rPr>
              <w:t>验收监测</w:t>
            </w:r>
            <w:r>
              <w:rPr>
                <w:rFonts w:hint="eastAsia"/>
                <w:color w:val="auto"/>
                <w:lang w:eastAsia="zh-CN"/>
              </w:rPr>
              <w:t>布点图</w:t>
            </w:r>
          </w:p>
          <w:p>
            <w:pPr>
              <w:spacing w:line="360" w:lineRule="auto"/>
              <w:ind w:left="0" w:leftChars="0"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在现场监测期间，</w:t>
            </w:r>
            <w:r>
              <w:rPr>
                <w:rFonts w:hint="eastAsia" w:ascii="Times New Roman" w:hAnsi="Times New Roman" w:cs="Times New Roman"/>
                <w:color w:val="auto"/>
                <w:sz w:val="24"/>
                <w:szCs w:val="32"/>
                <w:lang w:val="en-US" w:eastAsia="zh-CN"/>
              </w:rPr>
              <w:t>安徽工和环境监测有限责任公司</w:t>
            </w:r>
            <w:r>
              <w:rPr>
                <w:rFonts w:hint="default" w:ascii="Times New Roman" w:hAnsi="Times New Roman" w:cs="Times New Roman"/>
                <w:color w:val="auto"/>
                <w:sz w:val="24"/>
                <w:szCs w:val="32"/>
                <w:lang w:val="en-US" w:eastAsia="zh-CN"/>
              </w:rPr>
              <w:t>采样员对各污染物按照监测方案进行了严格且规范的样品采集，采样布点位置详见图</w:t>
            </w:r>
            <w:r>
              <w:rPr>
                <w:rFonts w:hint="eastAsia" w:ascii="Times New Roman" w:hAnsi="Times New Roman" w:cs="Times New Roman"/>
                <w:color w:val="auto"/>
                <w:sz w:val="24"/>
                <w:szCs w:val="32"/>
                <w:lang w:val="en-US" w:eastAsia="zh-CN"/>
              </w:rPr>
              <w:t>5.</w:t>
            </w:r>
            <w:r>
              <w:rPr>
                <w:rFonts w:hint="default" w:ascii="Times New Roman" w:hAnsi="Times New Roman" w:cs="Times New Roman"/>
                <w:color w:val="auto"/>
                <w:sz w:val="24"/>
                <w:szCs w:val="32"/>
                <w:lang w:val="en-US" w:eastAsia="zh-CN"/>
              </w:rPr>
              <w:t>1</w:t>
            </w:r>
            <w:r>
              <w:rPr>
                <w:rFonts w:hint="eastAsia" w:ascii="Times New Roman" w:hAnsi="Times New Roman" w:cs="Times New Roman"/>
                <w:color w:val="auto"/>
                <w:sz w:val="24"/>
                <w:szCs w:val="32"/>
                <w:lang w:val="en-US" w:eastAsia="zh-CN"/>
              </w:rPr>
              <w:t>。</w:t>
            </w:r>
          </w:p>
          <w:p>
            <w:pPr>
              <w:pStyle w:val="20"/>
              <w:spacing w:line="360" w:lineRule="auto"/>
              <w:jc w:val="both"/>
              <w:rPr>
                <w:rFonts w:hint="default" w:ascii="Times New Roman" w:hAnsi="Times New Roman" w:cs="Times New Roman"/>
                <w:b/>
                <w:bCs/>
                <w:color w:val="0000FF"/>
                <w:sz w:val="21"/>
                <w:szCs w:val="21"/>
                <w:lang w:val="en-US" w:eastAsia="zh-CN"/>
              </w:rPr>
            </w:pPr>
          </w:p>
        </w:tc>
      </w:tr>
    </w:tbl>
    <w:p>
      <w:pPr>
        <w:rPr>
          <w:rFonts w:hint="eastAsia"/>
          <w:color w:val="0000FF"/>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keepLines/>
        <w:pageBreakBefore w:val="0"/>
        <w:widowControl w:val="0"/>
        <w:kinsoku/>
        <w:wordWrap/>
        <w:overflowPunct/>
        <w:topLinePunct w:val="0"/>
        <w:autoSpaceDE/>
        <w:autoSpaceDN/>
        <w:bidi w:val="0"/>
        <w:adjustRightInd/>
        <w:snapToGrid/>
        <w:spacing w:line="377" w:lineRule="auto"/>
        <w:textAlignment w:val="auto"/>
        <w:outlineLvl w:val="9"/>
        <w:rPr>
          <w:rFonts w:hint="eastAsia"/>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2760345</wp:posOffset>
                </wp:positionH>
                <wp:positionV relativeFrom="paragraph">
                  <wp:posOffset>5572760</wp:posOffset>
                </wp:positionV>
                <wp:extent cx="3647440" cy="334010"/>
                <wp:effectExtent l="0" t="0" r="0" b="0"/>
                <wp:wrapNone/>
                <wp:docPr id="76" name="文本框 76"/>
                <wp:cNvGraphicFramePr/>
                <a:graphic xmlns:a="http://schemas.openxmlformats.org/drawingml/2006/main">
                  <a:graphicData uri="http://schemas.microsoft.com/office/word/2010/wordprocessingShape">
                    <wps:wsp>
                      <wps:cNvSpPr txBox="1"/>
                      <wps:spPr>
                        <a:xfrm>
                          <a:off x="3903345" y="6487160"/>
                          <a:ext cx="364744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图5.1 项目污染物现场监测布点简图</w:t>
                            </w:r>
                            <w:r>
                              <w:rPr>
                                <w:rFonts w:hint="eastAsia" w:ascii="Times New Roman" w:hAnsi="Times New Roman" w:eastAsia="黑体" w:cs="Times New Roman"/>
                                <w:b/>
                                <w:bCs/>
                                <w:color w:val="auto"/>
                                <w:sz w:val="21"/>
                                <w:szCs w:val="21"/>
                                <w:lang w:val="en-US" w:eastAsia="zh-CN"/>
                              </w:rPr>
                              <w:t>（8月25日、26日）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7.35pt;margin-top:438.8pt;height:26.3pt;width:287.2pt;z-index:251660288;mso-width-relative:page;mso-height-relative:page;" filled="f" stroked="f" coordsize="21600,21600" o:gfxdata="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EfG6mzdAAAADAEAAA8AAAAAAAAA&#10;AQAgAAAAIgAAAGRycy9kb3ducmV2LnhtbFBLAQIUABQAAAAIAIdO4kDQNh/SRQIAAHQEAAAOAAAA&#10;AAAAAAEAIAAAACwBAABkcnMvZTJvRG9jLnhtbFBLBQYAAAAABgAGAFkBAADjBQAAAAA=&#10;">
                <v:fill on="f" focussize="0,0"/>
                <v:stroke on="f" weight="0.5pt"/>
                <v:imagedata o:title=""/>
                <o:lock v:ext="edit" aspectratio="f"/>
                <v:textbo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图5.1 项目污染物现场监测布点简图</w:t>
                      </w:r>
                      <w:r>
                        <w:rPr>
                          <w:rFonts w:hint="eastAsia" w:ascii="Times New Roman" w:hAnsi="Times New Roman" w:eastAsia="黑体" w:cs="Times New Roman"/>
                          <w:b/>
                          <w:bCs/>
                          <w:color w:val="auto"/>
                          <w:sz w:val="21"/>
                          <w:szCs w:val="21"/>
                          <w:lang w:val="en-US" w:eastAsia="zh-CN"/>
                        </w:rPr>
                        <w:t>（8月25日、26日）</w:t>
                      </w:r>
                    </w:p>
                  </w:txbxContent>
                </v:textbox>
              </v:shape>
            </w:pict>
          </mc:Fallback>
        </mc:AlternateContent>
      </w:r>
      <w:r>
        <w:drawing>
          <wp:inline distT="0" distB="0" distL="114300" distR="114300">
            <wp:extent cx="8222615" cy="5907405"/>
            <wp:effectExtent l="0" t="0" r="6985" b="17145"/>
            <wp:docPr id="4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3"/>
                    <pic:cNvPicPr>
                      <a:picLocks noChangeAspect="1"/>
                    </pic:cNvPicPr>
                  </pic:nvPicPr>
                  <pic:blipFill>
                    <a:blip r:embed="rId20"/>
                    <a:stretch>
                      <a:fillRect/>
                    </a:stretch>
                  </pic:blipFill>
                  <pic:spPr>
                    <a:xfrm>
                      <a:off x="0" y="0"/>
                      <a:ext cx="8222615" cy="5907405"/>
                    </a:xfrm>
                    <a:prstGeom prst="rect">
                      <a:avLst/>
                    </a:prstGeom>
                    <a:noFill/>
                    <a:ln>
                      <a:noFill/>
                    </a:ln>
                  </pic:spPr>
                </pic:pic>
              </a:graphicData>
            </a:graphic>
          </wp:inline>
        </w:drawing>
      </w:r>
    </w:p>
    <w:p>
      <w:pPr>
        <w:keepNext/>
        <w:keepLines/>
        <w:pageBreakBefore w:val="0"/>
        <w:widowControl w:val="0"/>
        <w:kinsoku/>
        <w:wordWrap/>
        <w:overflowPunct/>
        <w:topLinePunct w:val="0"/>
        <w:autoSpaceDE/>
        <w:autoSpaceDN/>
        <w:bidi w:val="0"/>
        <w:adjustRightInd/>
        <w:snapToGrid/>
        <w:spacing w:line="377" w:lineRule="auto"/>
        <w:textAlignment w:val="auto"/>
        <w:outlineLvl w:val="9"/>
        <w:rPr>
          <w:rFonts w:hint="eastAsia"/>
          <w:lang w:val="en-US" w:eastAsia="zh-CN"/>
        </w:rPr>
      </w:pPr>
      <w:r>
        <w:rPr>
          <w:sz w:val="21"/>
        </w:rPr>
        <mc:AlternateContent>
          <mc:Choice Requires="wps">
            <w:drawing>
              <wp:anchor distT="0" distB="0" distL="114300" distR="114300" simplePos="0" relativeHeight="251661312" behindDoc="0" locked="0" layoutInCell="1" allowOverlap="1">
                <wp:simplePos x="0" y="0"/>
                <wp:positionH relativeFrom="column">
                  <wp:posOffset>2722245</wp:posOffset>
                </wp:positionH>
                <wp:positionV relativeFrom="paragraph">
                  <wp:posOffset>5595620</wp:posOffset>
                </wp:positionV>
                <wp:extent cx="3514090" cy="33401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3514090" cy="3340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w:t>
                            </w:r>
                            <w:r>
                              <w:rPr>
                                <w:rFonts w:hint="eastAsia" w:ascii="Times New Roman" w:hAnsi="Times New Roman"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项目污染物现场监测布点简图</w:t>
                            </w:r>
                            <w:r>
                              <w:rPr>
                                <w:rFonts w:hint="eastAsia" w:ascii="Times New Roman" w:hAnsi="Times New Roman" w:eastAsia="黑体" w:cs="Times New Roman"/>
                                <w:b/>
                                <w:bCs/>
                                <w:color w:val="auto"/>
                                <w:sz w:val="21"/>
                                <w:szCs w:val="21"/>
                                <w:lang w:val="en-US" w:eastAsia="zh-CN"/>
                              </w:rPr>
                              <w:t>（8月24日、27日）</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4.35pt;margin-top:440.6pt;height:26.3pt;width:276.7pt;z-index:251661312;mso-width-relative:page;mso-height-relative:page;" filled="f" stroked="f" coordsize="21600,21600" o:gfxdata="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eQpGtwAAAALAQAADwAAAAAAAAABACAAAAAiAAAA&#10;ZHJzL2Rvd25yZXYueG1sUEsBAhQAFAAAAAgAh07iQFqcJTs8AgAAaAQAAA4AAAAAAAAAAQAgAAAA&#10;KwEAAGRycy9lMm9Eb2MueG1sUEsFBgAAAAAGAAYAWQEAANkFAAAAAA==&#10;">
                <v:fill on="f" focussize="0,0"/>
                <v:stroke on="f" weight="0.5pt"/>
                <v:imagedata o:title=""/>
                <o:lock v:ext="edit" aspectratio="f"/>
                <v:textbox>
                  <w:txbxContent>
                    <w:p>
                      <w:pPr>
                        <w:pageBreakBefore w:val="0"/>
                        <w:widowControl w:val="0"/>
                        <w:kinsoku/>
                        <w:wordWrap/>
                        <w:overflowPunct/>
                        <w:topLinePunct w:val="0"/>
                        <w:autoSpaceDE/>
                        <w:autoSpaceDN/>
                        <w:bidi w:val="0"/>
                        <w:adjustRightInd/>
                        <w:snapToGrid/>
                        <w:jc w:val="center"/>
                        <w:textAlignment w:val="auto"/>
                        <w:outlineLvl w:val="9"/>
                        <w:rPr>
                          <w:color w:val="auto"/>
                        </w:rPr>
                      </w:pPr>
                      <w:r>
                        <w:rPr>
                          <w:rFonts w:hint="default" w:ascii="Times New Roman" w:hAnsi="Times New Roman" w:eastAsia="黑体" w:cs="Times New Roman"/>
                          <w:b/>
                          <w:bCs/>
                          <w:color w:val="auto"/>
                          <w:sz w:val="21"/>
                          <w:szCs w:val="21"/>
                          <w:lang w:val="en-US" w:eastAsia="zh-CN"/>
                        </w:rPr>
                        <w:t>图5.</w:t>
                      </w:r>
                      <w:r>
                        <w:rPr>
                          <w:rFonts w:hint="eastAsia" w:ascii="Times New Roman" w:hAnsi="Times New Roman" w:eastAsia="黑体" w:cs="Times New Roman"/>
                          <w:b/>
                          <w:bCs/>
                          <w:color w:val="auto"/>
                          <w:sz w:val="21"/>
                          <w:szCs w:val="21"/>
                          <w:lang w:val="en-US" w:eastAsia="zh-CN"/>
                        </w:rPr>
                        <w:t>2</w:t>
                      </w:r>
                      <w:r>
                        <w:rPr>
                          <w:rFonts w:hint="default" w:ascii="Times New Roman" w:hAnsi="Times New Roman" w:eastAsia="黑体" w:cs="Times New Roman"/>
                          <w:b/>
                          <w:bCs/>
                          <w:color w:val="auto"/>
                          <w:sz w:val="21"/>
                          <w:szCs w:val="21"/>
                          <w:lang w:val="en-US" w:eastAsia="zh-CN"/>
                        </w:rPr>
                        <w:t xml:space="preserve"> 项目污染物现场监测布点简图</w:t>
                      </w:r>
                      <w:r>
                        <w:rPr>
                          <w:rFonts w:hint="eastAsia" w:ascii="Times New Roman" w:hAnsi="Times New Roman" w:eastAsia="黑体" w:cs="Times New Roman"/>
                          <w:b/>
                          <w:bCs/>
                          <w:color w:val="auto"/>
                          <w:sz w:val="21"/>
                          <w:szCs w:val="21"/>
                          <w:lang w:val="en-US" w:eastAsia="zh-CN"/>
                        </w:rPr>
                        <w:t>（8月24日、27日）</w:t>
                      </w:r>
                    </w:p>
                  </w:txbxContent>
                </v:textbox>
              </v:shape>
            </w:pict>
          </mc:Fallback>
        </mc:AlternateContent>
      </w:r>
      <w:r>
        <w:drawing>
          <wp:inline distT="0" distB="0" distL="114300" distR="114300">
            <wp:extent cx="8008620" cy="5760720"/>
            <wp:effectExtent l="0" t="0" r="11430" b="11430"/>
            <wp:docPr id="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
                    <pic:cNvPicPr>
                      <a:picLocks noChangeAspect="1"/>
                    </pic:cNvPicPr>
                  </pic:nvPicPr>
                  <pic:blipFill>
                    <a:blip r:embed="rId21"/>
                    <a:stretch>
                      <a:fillRect/>
                    </a:stretch>
                  </pic:blipFill>
                  <pic:spPr>
                    <a:xfrm>
                      <a:off x="0" y="0"/>
                      <a:ext cx="8008620" cy="5760720"/>
                    </a:xfrm>
                    <a:prstGeom prst="rect">
                      <a:avLst/>
                    </a:prstGeom>
                    <a:noFill/>
                    <a:ln>
                      <a:noFill/>
                    </a:ln>
                  </pic:spPr>
                </pic:pic>
              </a:graphicData>
            </a:graphic>
          </wp:inline>
        </w:drawing>
      </w:r>
    </w:p>
    <w:p>
      <w:pPr>
        <w:pStyle w:val="6"/>
        <w:rPr>
          <w:rFonts w:hint="eastAsia"/>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rPr>
          <w:rFonts w:hint="eastAsia"/>
          <w:color w:val="auto"/>
          <w:lang w:val="en-US" w:eastAsia="zh-CN"/>
        </w:rPr>
      </w:pPr>
      <w:bookmarkStart w:id="20" w:name="_Toc5921"/>
      <w:bookmarkStart w:id="21" w:name="_Toc1229"/>
      <w:bookmarkStart w:id="22" w:name="_Toc16421"/>
      <w:r>
        <w:rPr>
          <w:rFonts w:hint="eastAsia"/>
          <w:color w:val="auto"/>
          <w:lang w:val="en-US" w:eastAsia="zh-CN"/>
        </w:rPr>
        <w:t xml:space="preserve">表六 </w:t>
      </w:r>
      <w:bookmarkEnd w:id="20"/>
      <w:r>
        <w:rPr>
          <w:rFonts w:hint="eastAsia"/>
          <w:color w:val="auto"/>
          <w:lang w:val="en-US" w:eastAsia="zh-CN"/>
        </w:rPr>
        <w:t>质量保证及质量控制</w:t>
      </w:r>
      <w:bookmarkEnd w:id="21"/>
      <w:bookmarkEnd w:id="22"/>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6" w:hRule="atLeast"/>
          <w:jc w:val="center"/>
        </w:trPr>
        <w:tc>
          <w:tcPr>
            <w:tcW w:w="9066" w:type="dxa"/>
            <w:vAlign w:val="top"/>
          </w:tcPr>
          <w:p>
            <w:pPr>
              <w:pStyle w:val="4"/>
              <w:rPr>
                <w:rFonts w:hint="default"/>
                <w:color w:val="auto"/>
              </w:rPr>
            </w:pPr>
            <w:r>
              <w:rPr>
                <w:rFonts w:hint="default"/>
                <w:color w:val="auto"/>
                <w:lang w:val="en-US" w:eastAsia="zh-CN"/>
              </w:rPr>
              <w:t>6.1</w:t>
            </w:r>
            <w:bookmarkStart w:id="23" w:name="_Toc8989"/>
            <w:bookmarkStart w:id="24" w:name="_Toc19899"/>
            <w:bookmarkStart w:id="25" w:name="_Toc28132"/>
            <w:r>
              <w:rPr>
                <w:rFonts w:hint="default"/>
                <w:color w:val="auto"/>
              </w:rPr>
              <w:t xml:space="preserve"> 监测分析方法</w:t>
            </w:r>
            <w:bookmarkEnd w:id="23"/>
            <w:bookmarkEnd w:id="24"/>
            <w:bookmarkEnd w:id="25"/>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监测分析方法与检出限见表</w:t>
            </w:r>
            <w:r>
              <w:rPr>
                <w:rFonts w:hint="default" w:ascii="Times New Roman" w:hAnsi="Times New Roman" w:cs="Times New Roman"/>
                <w:color w:val="auto"/>
                <w:sz w:val="24"/>
                <w:szCs w:val="24"/>
                <w:lang w:val="en-US" w:eastAsia="zh-CN"/>
              </w:rPr>
              <w:t>6</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w:t>
            </w:r>
          </w:p>
          <w:p>
            <w:pPr>
              <w:spacing w:line="360" w:lineRule="auto"/>
              <w:jc w:val="center"/>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表</w:t>
            </w:r>
            <w:r>
              <w:rPr>
                <w:rFonts w:hint="default" w:ascii="Times New Roman" w:hAnsi="Times New Roman" w:eastAsia="黑体" w:cs="Times New Roman"/>
                <w:b/>
                <w:bCs/>
                <w:color w:val="auto"/>
                <w:sz w:val="21"/>
                <w:szCs w:val="21"/>
                <w:lang w:val="en-US" w:eastAsia="zh-CN"/>
              </w:rPr>
              <w:t>6-1</w:t>
            </w:r>
            <w:r>
              <w:rPr>
                <w:rFonts w:hint="default" w:ascii="Times New Roman" w:hAnsi="Times New Roman" w:eastAsia="黑体" w:cs="Times New Roman"/>
                <w:b/>
                <w:bCs/>
                <w:color w:val="auto"/>
                <w:sz w:val="21"/>
                <w:szCs w:val="21"/>
              </w:rPr>
              <w:t xml:space="preserve"> 监测分析方法及检出限</w:t>
            </w:r>
          </w:p>
          <w:tbl>
            <w:tblPr>
              <w:tblStyle w:val="22"/>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1701"/>
              <w:gridCol w:w="4395"/>
              <w:gridCol w:w="143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b/>
                      <w:bCs/>
                      <w:color w:val="auto"/>
                      <w:sz w:val="21"/>
                      <w:szCs w:val="21"/>
                    </w:rPr>
                  </w:pPr>
                  <w:bookmarkStart w:id="26" w:name="_Toc22030"/>
                  <w:bookmarkStart w:id="27" w:name="_Toc2455"/>
                  <w:bookmarkStart w:id="28" w:name="_Toc21417"/>
                  <w:r>
                    <w:rPr>
                      <w:rFonts w:hint="default" w:ascii="Times New Roman" w:hAnsi="Times New Roman" w:cs="Times New Roman"/>
                      <w:b/>
                      <w:bCs/>
                      <w:color w:val="auto"/>
                      <w:sz w:val="21"/>
                      <w:szCs w:val="21"/>
                    </w:rPr>
                    <w:t>分类</w:t>
                  </w:r>
                </w:p>
              </w:tc>
              <w:tc>
                <w:tcPr>
                  <w:tcW w:w="1701"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tc>
              <w:tc>
                <w:tcPr>
                  <w:tcW w:w="4395"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监测方法名称和标号</w:t>
                  </w:r>
                </w:p>
              </w:tc>
              <w:tc>
                <w:tcPr>
                  <w:tcW w:w="1434" w:type="dxa"/>
                  <w:tcBorders>
                    <w:tl2br w:val="nil"/>
                    <w:tr2bl w:val="nil"/>
                  </w:tcBorders>
                  <w:vAlign w:val="center"/>
                </w:tcPr>
                <w:p>
                  <w:pPr>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方法检出限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有组织废气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低浓度颗粒物</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color w:val="auto"/>
                      <w:szCs w:val="21"/>
                      <w:shd w:val="clear" w:color="auto" w:fill="FFFFFF"/>
                      <w:lang w:val="en-US" w:eastAsia="zh-CN"/>
                    </w:rPr>
                    <w:t>《固定污染源废气 低浓度颗粒物的测定 重量法》HJ836-2017</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auto"/>
                      <w:szCs w:val="21"/>
                      <w:lang w:val="en-US" w:eastAsia="zh-CN"/>
                    </w:rPr>
                    <w:t>1.0</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bidi="ar"/>
                    </w:rPr>
                  </w:pPr>
                  <w:r>
                    <w:rPr>
                      <w:rFonts w:hint="eastAsia" w:ascii="Times New Roman" w:hAnsi="Times New Roman"/>
                      <w:color w:val="auto"/>
                      <w:szCs w:val="21"/>
                      <w:shd w:val="clear" w:color="auto" w:fill="FFFFFF"/>
                      <w:lang w:eastAsia="zh-CN"/>
                    </w:rPr>
                    <w:t>《</w:t>
                  </w:r>
                  <w:r>
                    <w:rPr>
                      <w:rFonts w:hint="eastAsia" w:ascii="Times New Roman" w:hAnsi="Times New Roman"/>
                      <w:color w:val="auto"/>
                      <w:szCs w:val="21"/>
                      <w:shd w:val="clear" w:color="auto" w:fill="FFFFFF"/>
                      <w:lang w:val="en-US" w:eastAsia="zh-CN"/>
                    </w:rPr>
                    <w:t>空气和废气监测分析方法</w:t>
                  </w:r>
                  <w:r>
                    <w:rPr>
                      <w:rFonts w:hint="eastAsia" w:ascii="Times New Roman" w:hAnsi="Times New Roman"/>
                      <w:color w:val="auto"/>
                      <w:szCs w:val="21"/>
                      <w:shd w:val="clear" w:color="auto" w:fill="FFFFFF"/>
                      <w:lang w:eastAsia="zh-CN"/>
                    </w:rPr>
                    <w:t>》（</w:t>
                  </w:r>
                  <w:r>
                    <w:rPr>
                      <w:rFonts w:hint="eastAsia" w:ascii="Times New Roman" w:hAnsi="Times New Roman"/>
                      <w:color w:val="auto"/>
                      <w:szCs w:val="21"/>
                      <w:shd w:val="clear" w:color="auto" w:fill="FFFFFF"/>
                      <w:lang w:val="en-US" w:eastAsia="zh-CN"/>
                    </w:rPr>
                    <w:t>第四版)</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olor w:val="auto"/>
                      <w:szCs w:val="21"/>
                      <w:lang w:val="en-US" w:eastAsia="zh-CN"/>
                    </w:rPr>
                    <w:t>2.5</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NO</w:t>
                  </w:r>
                  <w:r>
                    <w:rPr>
                      <w:rFonts w:hint="eastAsia" w:ascii="Times New Roman" w:hAnsi="Times New Roman" w:cs="Times New Roman"/>
                      <w:color w:val="auto"/>
                      <w:sz w:val="21"/>
                      <w:szCs w:val="21"/>
                      <w:vertAlign w:val="subscript"/>
                      <w:lang w:val="en-US" w:eastAsia="zh-CN"/>
                    </w:rPr>
                    <w:t>X</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固定污染源废气 氮氧化物的测定 定电位电解法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693-2014</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ascii="Times New Roman" w:hAnsi="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default" w:ascii="Times New Roman" w:hAnsi="Times New Roman" w:cs="Times New Roman" w:eastAsiaTheme="minorEastAsia"/>
                      <w:color w:val="auto"/>
                      <w:kern w:val="2"/>
                      <w:sz w:val="21"/>
                      <w:szCs w:val="21"/>
                      <w:lang w:val="en-US" w:eastAsia="zh-CN" w:bidi="ar-SA"/>
                    </w:rPr>
                  </w:pPr>
                  <w:r>
                    <w:rPr>
                      <w:rFonts w:hint="default" w:ascii="Times New Roman" w:hAnsi="Times New Roman" w:cs="Times New Roman"/>
                      <w:color w:val="auto"/>
                      <w:sz w:val="21"/>
                      <w:szCs w:val="21"/>
                      <w:lang w:val="en-US" w:eastAsia="zh-CN"/>
                    </w:rPr>
                    <w:t>无组织废气</w:t>
                  </w: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颗粒物</w:t>
                  </w:r>
                </w:p>
              </w:tc>
              <w:tc>
                <w:tcPr>
                  <w:tcW w:w="4395" w:type="dxa"/>
                  <w:tcBorders>
                    <w:tl2br w:val="nil"/>
                    <w:tr2bl w:val="nil"/>
                  </w:tcBorders>
                  <w:vAlign w:val="center"/>
                </w:tcPr>
                <w:p>
                  <w:pPr>
                    <w:widowControl/>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环境空气总悬浮颗粒物的测定重量法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GB∕T 15432-</w:t>
                  </w:r>
                  <w:r>
                    <w:rPr>
                      <w:rFonts w:hint="eastAsia" w:ascii="Times New Roman" w:hAnsi="Times New Roman" w:eastAsia="宋体" w:cs="Times New Roman"/>
                      <w:color w:val="auto"/>
                      <w:kern w:val="0"/>
                      <w:sz w:val="21"/>
                      <w:szCs w:val="21"/>
                      <w:lang w:val="en-US" w:eastAsia="zh-CN" w:bidi="ar"/>
                    </w:rPr>
                    <w:t>2018</w:t>
                  </w:r>
                </w:p>
              </w:tc>
              <w:tc>
                <w:tcPr>
                  <w:tcW w:w="1434" w:type="dxa"/>
                  <w:tcBorders>
                    <w:tl2br w:val="nil"/>
                    <w:tr2bl w:val="nil"/>
                  </w:tcBorders>
                  <w:vAlign w:val="center"/>
                </w:tcPr>
                <w:p>
                  <w:pPr>
                    <w:widowControl/>
                    <w:jc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olor w:val="auto"/>
                      <w:szCs w:val="21"/>
                      <w:lang w:val="en-US" w:eastAsia="zh-CN"/>
                    </w:rPr>
                    <w:t>0.001</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SO</w:t>
                  </w:r>
                  <w:r>
                    <w:rPr>
                      <w:rFonts w:hint="eastAsia" w:ascii="Times New Roman" w:hAnsi="Times New Roman" w:cs="Times New Roman"/>
                      <w:color w:val="auto"/>
                      <w:sz w:val="21"/>
                      <w:szCs w:val="21"/>
                      <w:vertAlign w:val="subscript"/>
                      <w:lang w:val="en-US" w:eastAsia="zh-CN"/>
                    </w:rPr>
                    <w:t>2</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二氧化硫的测定</w:t>
                  </w:r>
                  <w:r>
                    <w:rPr>
                      <w:rFonts w:hint="eastAsia" w:ascii="Times New Roman" w:hAnsi="Times New Roman" w:eastAsia="宋体" w:cs="Times New Roman"/>
                      <w:color w:val="auto"/>
                      <w:kern w:val="0"/>
                      <w:sz w:val="21"/>
                      <w:szCs w:val="21"/>
                      <w:lang w:val="en-US" w:eastAsia="zh-CN" w:bidi="ar"/>
                    </w:rPr>
                    <w:t xml:space="preserve"> </w:t>
                  </w:r>
                  <w:r>
                    <w:rPr>
                      <w:rFonts w:hint="default" w:ascii="Times New Roman" w:hAnsi="Times New Roman" w:eastAsia="宋体" w:cs="Times New Roman"/>
                      <w:color w:val="auto"/>
                      <w:kern w:val="0"/>
                      <w:sz w:val="21"/>
                      <w:szCs w:val="21"/>
                      <w:lang w:val="en-US" w:eastAsia="zh-CN" w:bidi="ar"/>
                    </w:rPr>
                    <w:t>甲醛吸收-副玫瑰苯胺分光光度法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 xml:space="preserve">HJ 482-2009 </w:t>
                  </w:r>
                </w:p>
              </w:tc>
              <w:tc>
                <w:tcPr>
                  <w:tcW w:w="1434" w:type="dxa"/>
                  <w:tcBorders>
                    <w:tl2br w:val="nil"/>
                    <w:tr2bl w:val="nil"/>
                  </w:tcBorders>
                  <w:vAlign w:val="center"/>
                </w:tcPr>
                <w:p>
                  <w:pPr>
                    <w:jc w:val="center"/>
                    <w:rPr>
                      <w:rFonts w:hint="default" w:ascii="Times New Roman" w:hAnsi="Times New Roman" w:cs="Times New Roman"/>
                      <w:color w:val="auto"/>
                      <w:sz w:val="21"/>
                      <w:szCs w:val="21"/>
                      <w:lang w:val="en-US" w:eastAsia="zh-CN"/>
                    </w:rPr>
                  </w:pPr>
                  <w:r>
                    <w:rPr>
                      <w:rFonts w:hint="eastAsia" w:ascii="Times New Roman" w:hAnsi="Times New Roman"/>
                      <w:color w:val="auto"/>
                      <w:szCs w:val="21"/>
                      <w:lang w:val="en-US" w:eastAsia="zh-CN"/>
                    </w:rPr>
                    <w:t>0.007</w:t>
                  </w:r>
                  <w:r>
                    <w:rPr>
                      <w:rFonts w:ascii="Times New Roman" w:hAnsi="Times New Roman"/>
                      <w:color w:val="auto"/>
                      <w:szCs w:val="21"/>
                    </w:rPr>
                    <w:t>mg/m</w:t>
                  </w:r>
                  <w:r>
                    <w:rPr>
                      <w:rFonts w:ascii="Times New Roman" w:hAnsi="Times New Roman"/>
                      <w:color w:val="auto"/>
                      <w:szCs w:val="21"/>
                      <w:vertAlign w:val="superscript"/>
                    </w:rPr>
                    <w:t>3</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lang w:val="en-US" w:eastAsia="zh-CN"/>
                    </w:rPr>
                  </w:pPr>
                </w:p>
              </w:tc>
              <w:tc>
                <w:tcPr>
                  <w:tcW w:w="1701"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 w:val="21"/>
                      <w:szCs w:val="21"/>
                      <w:lang w:val="en-US" w:eastAsia="zh-CN"/>
                    </w:rPr>
                    <w:t>NO</w:t>
                  </w:r>
                  <w:r>
                    <w:rPr>
                      <w:rFonts w:hint="eastAsia" w:ascii="Times New Roman" w:hAnsi="Times New Roman" w:cs="Times New Roman"/>
                      <w:color w:val="auto"/>
                      <w:sz w:val="21"/>
                      <w:szCs w:val="21"/>
                      <w:vertAlign w:val="subscript"/>
                      <w:lang w:val="en-US" w:eastAsia="zh-CN"/>
                    </w:rPr>
                    <w:t>X</w:t>
                  </w:r>
                </w:p>
              </w:tc>
              <w:tc>
                <w:tcPr>
                  <w:tcW w:w="4395" w:type="dxa"/>
                  <w:tcBorders>
                    <w:tl2br w:val="nil"/>
                    <w:tr2bl w:val="nil"/>
                  </w:tcBorders>
                  <w:vAlign w:val="center"/>
                </w:tcPr>
                <w:p>
                  <w:pPr>
                    <w:snapToGrid w:val="0"/>
                    <w:jc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环境空气氮氧化物的测定</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HJ479-2009</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olor w:val="auto"/>
                      <w:szCs w:val="21"/>
                      <w:lang w:val="en-US" w:eastAsia="zh-CN"/>
                    </w:rPr>
                    <w:t>0.005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tcBorders>
                    <w:tl2br w:val="nil"/>
                    <w:tr2bl w:val="nil"/>
                  </w:tcBorders>
                  <w:vAlign w:val="center"/>
                </w:tcPr>
                <w:p>
                  <w:pPr>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噪声</w:t>
                  </w:r>
                </w:p>
              </w:tc>
              <w:tc>
                <w:tcPr>
                  <w:tcW w:w="1701"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工业企业厂界环境噪声排放标准</w:t>
                  </w:r>
                </w:p>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GB 12348-2008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color w:val="auto"/>
                      <w:sz w:val="21"/>
                      <w:szCs w:val="21"/>
                    </w:rPr>
                    <w:t>-</w:t>
                  </w:r>
                  <w:r>
                    <w:rPr>
                      <w:rFonts w:hint="default" w:ascii="Times New Roman" w:hAnsi="Times New Roman" w:cs="Times New Roman"/>
                      <w:color w:val="auto"/>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restart"/>
                  <w:tcBorders>
                    <w:tl2br w:val="nil"/>
                    <w:tr2bl w:val="nil"/>
                  </w:tcBorders>
                  <w:vAlign w:val="center"/>
                </w:tcPr>
                <w:p>
                  <w:pPr>
                    <w:jc w:val="center"/>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废水</w:t>
                  </w:r>
                </w:p>
              </w:tc>
              <w:tc>
                <w:tcPr>
                  <w:tcW w:w="1701" w:type="dxa"/>
                  <w:tcBorders>
                    <w:tl2br w:val="nil"/>
                    <w:tr2bl w:val="nil"/>
                  </w:tcBorders>
                  <w:vAlign w:val="center"/>
                </w:tcPr>
                <w:p>
                  <w:pPr>
                    <w:jc w:val="center"/>
                    <w:rPr>
                      <w:rFonts w:hint="eastAsia"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Cs w:val="21"/>
                      <w:lang w:val="en-US" w:eastAsia="zh-CN"/>
                    </w:rPr>
                    <w:t>悬浮物</w:t>
                  </w:r>
                </w:p>
              </w:tc>
              <w:tc>
                <w:tcPr>
                  <w:tcW w:w="4395" w:type="dxa"/>
                  <w:tcBorders>
                    <w:tl2br w:val="nil"/>
                    <w:tr2bl w:val="nil"/>
                  </w:tcBorders>
                  <w:vAlign w:val="center"/>
                </w:tcPr>
                <w:p>
                  <w:pPr>
                    <w:widowControl/>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hint="eastAsia" w:ascii="Times New Roman" w:hAnsi="Times New Roman" w:cstheme="minorBidi"/>
                      <w:color w:val="auto"/>
                      <w:kern w:val="2"/>
                      <w:sz w:val="21"/>
                      <w:szCs w:val="21"/>
                      <w:shd w:val="clear" w:color="auto" w:fill="FFFFFF"/>
                      <w:lang w:val="en-US" w:eastAsia="zh-CN" w:bidi="ar-SA"/>
                    </w:rPr>
                    <w:t>《</w:t>
                  </w:r>
                  <w:r>
                    <w:rPr>
                      <w:rFonts w:hint="default" w:ascii="Times New Roman" w:hAnsi="Times New Roman" w:eastAsiaTheme="minorEastAsia" w:cstheme="minorBidi"/>
                      <w:color w:val="auto"/>
                      <w:kern w:val="2"/>
                      <w:sz w:val="21"/>
                      <w:szCs w:val="21"/>
                      <w:shd w:val="clear" w:color="auto" w:fill="FFFFFF"/>
                      <w:lang w:val="en-US" w:eastAsia="zh-CN" w:bidi="ar-SA"/>
                    </w:rPr>
                    <w:t>水质悬浮物的测定重量法标准</w:t>
                  </w:r>
                  <w:r>
                    <w:rPr>
                      <w:rFonts w:hint="eastAsia" w:ascii="Times New Roman" w:hAnsi="Times New Roman" w:cstheme="minorBidi"/>
                      <w:color w:val="auto"/>
                      <w:kern w:val="2"/>
                      <w:sz w:val="21"/>
                      <w:szCs w:val="21"/>
                      <w:shd w:val="clear" w:color="auto" w:fill="FFFFFF"/>
                      <w:lang w:val="en-US" w:eastAsia="zh-CN" w:bidi="ar-SA"/>
                    </w:rPr>
                    <w:t>》</w:t>
                  </w:r>
                  <w:r>
                    <w:rPr>
                      <w:rFonts w:hint="default" w:ascii="Times New Roman" w:hAnsi="Times New Roman" w:eastAsiaTheme="minorEastAsia" w:cstheme="minorBidi"/>
                      <w:color w:val="auto"/>
                      <w:kern w:val="2"/>
                      <w:sz w:val="21"/>
                      <w:szCs w:val="21"/>
                      <w:shd w:val="clear" w:color="auto" w:fill="FFFFFF"/>
                      <w:lang w:val="en-US" w:eastAsia="zh-CN" w:bidi="ar-SA"/>
                    </w:rPr>
                    <w:t>GB11901-1989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化学需氧量（COD</w:t>
                  </w:r>
                  <w:r>
                    <w:rPr>
                      <w:rFonts w:ascii="Times New Roman" w:hAnsi="Times New Roman"/>
                      <w:color w:val="auto"/>
                      <w:szCs w:val="21"/>
                      <w:vertAlign w:val="subscript"/>
                    </w:rPr>
                    <w:t>Cr</w:t>
                  </w:r>
                  <w:r>
                    <w:rPr>
                      <w:rFonts w:ascii="Times New Roman" w:hAnsi="Times New Roman"/>
                      <w:color w:val="auto"/>
                      <w:szCs w:val="21"/>
                    </w:rPr>
                    <w:t>）</w:t>
                  </w:r>
                </w:p>
              </w:tc>
              <w:tc>
                <w:tcPr>
                  <w:tcW w:w="4395" w:type="dxa"/>
                  <w:tcBorders>
                    <w:tl2br w:val="nil"/>
                    <w:tr2bl w:val="nil"/>
                  </w:tcBorders>
                  <w:vAlign w:val="center"/>
                </w:tcPr>
                <w:p>
                  <w:pPr>
                    <w:widowControl/>
                    <w:jc w:val="center"/>
                    <w:rPr>
                      <w:rFonts w:ascii="Times New Roman" w:hAnsi="Times New Roman"/>
                      <w:color w:val="auto"/>
                      <w:szCs w:val="21"/>
                      <w:shd w:val="clear" w:color="auto" w:fill="FFFFFF"/>
                    </w:rPr>
                  </w:pP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水质化学需氧量的测定重铬酸盐法</w:t>
                  </w:r>
                  <w:r>
                    <w:rPr>
                      <w:rFonts w:hint="eastAsia" w:ascii="Times New Roman" w:hAnsi="Times New Roman"/>
                      <w:color w:val="auto"/>
                      <w:szCs w:val="21"/>
                      <w:shd w:val="clear" w:color="auto" w:fill="FFFFFF"/>
                      <w:lang w:eastAsia="zh-CN"/>
                    </w:rPr>
                    <w:t>》</w:t>
                  </w:r>
                </w:p>
                <w:p>
                  <w:pPr>
                    <w:widowControl/>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HJ 828-2017</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4mg/L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生化需氧量（BOD</w:t>
                  </w:r>
                  <w:r>
                    <w:rPr>
                      <w:rFonts w:ascii="Times New Roman" w:hAnsi="Times New Roman"/>
                      <w:color w:val="auto"/>
                      <w:szCs w:val="21"/>
                      <w:vertAlign w:val="subscript"/>
                    </w:rPr>
                    <w:t>5</w:t>
                  </w:r>
                  <w:r>
                    <w:rPr>
                      <w:rFonts w:ascii="Times New Roman" w:hAnsi="Times New Roman"/>
                      <w:color w:val="auto"/>
                      <w:szCs w:val="21"/>
                    </w:rPr>
                    <w:t>）</w:t>
                  </w:r>
                </w:p>
              </w:tc>
              <w:tc>
                <w:tcPr>
                  <w:tcW w:w="4395" w:type="dxa"/>
                  <w:tcBorders>
                    <w:tl2br w:val="nil"/>
                    <w:tr2bl w:val="nil"/>
                  </w:tcBorders>
                  <w:vAlign w:val="center"/>
                </w:tcPr>
                <w:p>
                  <w:pPr>
                    <w:widowControl/>
                    <w:jc w:val="center"/>
                    <w:rPr>
                      <w:rFonts w:ascii="Times New Roman" w:hAnsi="Times New Roman"/>
                      <w:color w:val="auto"/>
                      <w:szCs w:val="21"/>
                      <w:shd w:val="clear" w:color="auto" w:fill="FFFFFF"/>
                    </w:rPr>
                  </w:pP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水质 五日生化需氧量（BOD</w:t>
                  </w:r>
                  <w:r>
                    <w:rPr>
                      <w:rFonts w:ascii="Times New Roman" w:hAnsi="Times New Roman"/>
                      <w:color w:val="auto"/>
                      <w:szCs w:val="21"/>
                      <w:shd w:val="clear" w:color="auto" w:fill="FFFFFF"/>
                      <w:vertAlign w:val="subscript"/>
                    </w:rPr>
                    <w:t>5</w:t>
                  </w:r>
                  <w:r>
                    <w:rPr>
                      <w:rFonts w:ascii="Times New Roman" w:hAnsi="Times New Roman"/>
                      <w:color w:val="auto"/>
                      <w:szCs w:val="21"/>
                      <w:shd w:val="clear" w:color="auto" w:fill="FFFFFF"/>
                    </w:rPr>
                    <w:t xml:space="preserve">）的测定 </w:t>
                  </w:r>
                </w:p>
                <w:p>
                  <w:pPr>
                    <w:widowControl/>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ascii="Times New Roman" w:hAnsi="Times New Roman"/>
                      <w:color w:val="auto"/>
                      <w:szCs w:val="21"/>
                      <w:shd w:val="clear" w:color="auto" w:fill="FFFFFF"/>
                    </w:rPr>
                    <w:t>稀释与接种法</w:t>
                  </w:r>
                  <w:r>
                    <w:rPr>
                      <w:rFonts w:hint="eastAsia" w:ascii="Times New Roman" w:hAnsi="Times New Roman"/>
                      <w:color w:val="auto"/>
                      <w:szCs w:val="21"/>
                      <w:shd w:val="clear" w:color="auto" w:fill="FFFFFF"/>
                      <w:lang w:eastAsia="zh-CN"/>
                    </w:rPr>
                    <w:t>》</w:t>
                  </w:r>
                  <w:r>
                    <w:rPr>
                      <w:rFonts w:ascii="Times New Roman" w:hAnsi="Times New Roman"/>
                      <w:color w:val="auto"/>
                      <w:szCs w:val="21"/>
                      <w:shd w:val="clear" w:color="auto" w:fill="FFFFFF"/>
                    </w:rPr>
                    <w:t>HJ 505-2009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0.5mg/L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氨氮</w:t>
                  </w:r>
                </w:p>
              </w:tc>
              <w:tc>
                <w:tcPr>
                  <w:tcW w:w="4395" w:type="dxa"/>
                  <w:tcBorders>
                    <w:tl2br w:val="nil"/>
                    <w:tr2bl w:val="nil"/>
                  </w:tcBorders>
                  <w:vAlign w:val="center"/>
                </w:tcPr>
                <w:p>
                  <w:pPr>
                    <w:jc w:val="center"/>
                    <w:rPr>
                      <w:rFonts w:ascii="Times New Roman" w:hAnsi="Times New Roman"/>
                      <w:color w:val="auto"/>
                      <w:szCs w:val="21"/>
                    </w:rPr>
                  </w:pPr>
                  <w:r>
                    <w:rPr>
                      <w:rFonts w:hint="eastAsia" w:ascii="Times New Roman" w:hAnsi="Times New Roman"/>
                      <w:color w:val="auto"/>
                      <w:szCs w:val="21"/>
                      <w:lang w:eastAsia="zh-CN"/>
                    </w:rPr>
                    <w:t>《</w:t>
                  </w:r>
                  <w:r>
                    <w:rPr>
                      <w:rFonts w:ascii="Times New Roman" w:hAnsi="Times New Roman"/>
                      <w:color w:val="auto"/>
                      <w:szCs w:val="21"/>
                    </w:rPr>
                    <w:t>水质氨氮的测定纳氏试剂分光光度法</w:t>
                  </w:r>
                  <w:r>
                    <w:rPr>
                      <w:rFonts w:hint="eastAsia" w:ascii="Times New Roman" w:hAnsi="Times New Roman"/>
                      <w:color w:val="auto"/>
                      <w:szCs w:val="21"/>
                      <w:lang w:eastAsia="zh-CN"/>
                    </w:rPr>
                    <w:t>》</w:t>
                  </w:r>
                </w:p>
                <w:p>
                  <w:pPr>
                    <w:jc w:val="center"/>
                    <w:rPr>
                      <w:rFonts w:hint="default" w:ascii="Times New Roman" w:hAnsi="Times New Roman" w:eastAsiaTheme="minorEastAsia" w:cstheme="minorBidi"/>
                      <w:color w:val="auto"/>
                      <w:kern w:val="2"/>
                      <w:sz w:val="21"/>
                      <w:szCs w:val="21"/>
                      <w:shd w:val="clear" w:color="auto" w:fill="FFFFFF"/>
                      <w:lang w:val="en-US" w:eastAsia="zh-CN" w:bidi="ar-SA"/>
                    </w:rPr>
                  </w:pPr>
                  <w:r>
                    <w:rPr>
                      <w:rFonts w:ascii="Times New Roman" w:hAnsi="Times New Roman"/>
                      <w:color w:val="auto"/>
                      <w:szCs w:val="21"/>
                    </w:rPr>
                    <w:t>HJ 535-2009</w:t>
                  </w:r>
                </w:p>
              </w:tc>
              <w:tc>
                <w:tcPr>
                  <w:tcW w:w="1434"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ascii="Times New Roman" w:hAnsi="Times New Roman"/>
                      <w:color w:val="auto"/>
                      <w:szCs w:val="21"/>
                    </w:rPr>
                    <w:t>0.025mg/L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default" w:ascii="Times New Roman" w:hAnsi="Times New Roman" w:eastAsiaTheme="minorEastAsia" w:cstheme="minorBidi"/>
                      <w:color w:val="auto"/>
                      <w:kern w:val="2"/>
                      <w:sz w:val="21"/>
                      <w:szCs w:val="21"/>
                      <w:lang w:val="en-US" w:eastAsia="zh-CN" w:bidi="ar-SA"/>
                    </w:rPr>
                  </w:pPr>
                  <w:r>
                    <w:rPr>
                      <w:rFonts w:hint="eastAsia" w:ascii="Times New Roman" w:hAnsi="Times New Roman"/>
                      <w:color w:val="auto"/>
                      <w:szCs w:val="21"/>
                      <w:lang w:val="en-US" w:eastAsia="zh-CN"/>
                    </w:rPr>
                    <w:t>LAS</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阴离子表面活性剂的测定 流动注射-亚甲基蓝分光光度法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826-2017</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0.04</w:t>
                  </w:r>
                  <w:r>
                    <w:rPr>
                      <w:rFonts w:ascii="Times New Roman" w:hAnsi="Times New Roman"/>
                      <w:color w:val="auto"/>
                      <w:szCs w:val="21"/>
                    </w:rPr>
                    <w:t>mg/L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4" w:type="dxa"/>
                  <w:vMerge w:val="continue"/>
                  <w:tcBorders>
                    <w:tl2br w:val="nil"/>
                    <w:tr2bl w:val="nil"/>
                  </w:tcBorders>
                  <w:vAlign w:val="center"/>
                </w:tcPr>
                <w:p>
                  <w:pPr>
                    <w:jc w:val="center"/>
                    <w:rPr>
                      <w:rFonts w:hint="default" w:ascii="Times New Roman" w:hAnsi="Times New Roman" w:cs="Times New Roman"/>
                      <w:color w:val="auto"/>
                      <w:sz w:val="21"/>
                      <w:szCs w:val="21"/>
                    </w:rPr>
                  </w:pPr>
                </w:p>
              </w:tc>
              <w:tc>
                <w:tcPr>
                  <w:tcW w:w="1701" w:type="dxa"/>
                  <w:tcBorders>
                    <w:tl2br w:val="nil"/>
                    <w:tr2bl w:val="nil"/>
                  </w:tcBorders>
                  <w:vAlign w:val="center"/>
                </w:tcPr>
                <w:p>
                  <w:pPr>
                    <w:jc w:val="center"/>
                    <w:rPr>
                      <w:rFonts w:hint="eastAsia" w:ascii="Times New Roman" w:hAnsi="Times New Roman" w:eastAsiaTheme="minorEastAsia"/>
                      <w:color w:val="auto"/>
                      <w:szCs w:val="21"/>
                      <w:lang w:val="en-US" w:eastAsia="zh-CN"/>
                    </w:rPr>
                  </w:pPr>
                  <w:r>
                    <w:rPr>
                      <w:rFonts w:hint="eastAsia" w:ascii="Times New Roman" w:hAnsi="Times New Roman"/>
                      <w:color w:val="auto"/>
                      <w:szCs w:val="21"/>
                      <w:lang w:val="en-US" w:eastAsia="zh-CN"/>
                    </w:rPr>
                    <w:t>动植物油</w:t>
                  </w:r>
                </w:p>
              </w:tc>
              <w:tc>
                <w:tcPr>
                  <w:tcW w:w="4395" w:type="dxa"/>
                  <w:tcBorders>
                    <w:tl2br w:val="nil"/>
                    <w:tr2bl w:val="nil"/>
                  </w:tcBorders>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水质 石油类和动植物油类的测定 红外分光光度法</w:t>
                  </w:r>
                  <w:r>
                    <w:rPr>
                      <w:rFonts w:hint="eastAsia"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val="en-US" w:eastAsia="zh-CN" w:bidi="ar"/>
                    </w:rPr>
                    <w:t>HJ 637-2018</w:t>
                  </w:r>
                </w:p>
              </w:tc>
              <w:tc>
                <w:tcPr>
                  <w:tcW w:w="1434" w:type="dxa"/>
                  <w:tcBorders>
                    <w:tl2br w:val="nil"/>
                    <w:tr2bl w:val="nil"/>
                  </w:tcBorders>
                  <w:vAlign w:val="center"/>
                </w:tcPr>
                <w:p>
                  <w:pPr>
                    <w:jc w:val="center"/>
                    <w:rPr>
                      <w:rFonts w:hint="default" w:ascii="Times New Roman" w:hAnsi="Times New Roman" w:cs="Times New Roman" w:eastAsiaTheme="minorEastAsia"/>
                      <w:color w:val="auto"/>
                      <w:sz w:val="21"/>
                      <w:szCs w:val="21"/>
                      <w:lang w:val="en-US" w:eastAsia="zh-CN"/>
                    </w:rPr>
                  </w:pPr>
                  <w:r>
                    <w:rPr>
                      <w:rFonts w:hint="eastAsia" w:ascii="Times New Roman" w:hAnsi="Times New Roman" w:cs="Times New Roman"/>
                      <w:color w:val="auto"/>
                      <w:sz w:val="21"/>
                      <w:szCs w:val="21"/>
                      <w:lang w:val="en-US" w:eastAsia="zh-CN"/>
                    </w:rPr>
                    <w:t>0.06</w:t>
                  </w:r>
                  <w:r>
                    <w:rPr>
                      <w:rFonts w:ascii="Times New Roman" w:hAnsi="Times New Roman"/>
                      <w:color w:val="auto"/>
                      <w:szCs w:val="21"/>
                    </w:rPr>
                    <w:t>mg/L</w:t>
                  </w:r>
                </w:p>
              </w:tc>
            </w:tr>
            <w:bookmarkEnd w:id="26"/>
            <w:bookmarkEnd w:id="27"/>
            <w:bookmarkEnd w:id="28"/>
          </w:tbl>
          <w:p>
            <w:pPr>
              <w:pStyle w:val="4"/>
              <w:rPr>
                <w:color w:val="auto"/>
              </w:rPr>
            </w:pPr>
            <w:bookmarkStart w:id="29" w:name="_Toc29834"/>
            <w:bookmarkStart w:id="30" w:name="_Toc13722"/>
            <w:bookmarkStart w:id="31" w:name="_Toc4652"/>
            <w:r>
              <w:rPr>
                <w:rFonts w:hint="eastAsia"/>
                <w:color w:val="auto"/>
                <w:lang w:val="en-US" w:eastAsia="zh-CN"/>
              </w:rPr>
              <w:t xml:space="preserve">6.2 </w:t>
            </w:r>
            <w:r>
              <w:rPr>
                <w:rFonts w:hint="eastAsia"/>
                <w:color w:val="auto"/>
                <w:lang w:eastAsia="zh-CN"/>
              </w:rPr>
              <w:t>气体</w:t>
            </w:r>
            <w:r>
              <w:rPr>
                <w:rFonts w:hint="eastAsia"/>
                <w:color w:val="auto"/>
              </w:rPr>
              <w:t>监测分析过程中的质量保证和质量控制</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（1）选择合适的方法尽量避免或减少被测排放物中共存污染物对目标化合物的干扰。方法的检出限应满足要求。</w:t>
            </w:r>
          </w:p>
          <w:p>
            <w:pPr>
              <w:spacing w:line="360" w:lineRule="auto"/>
              <w:ind w:firstLine="480" w:firstLineChars="200"/>
              <w:rPr>
                <w:rFonts w:hint="eastAsia" w:ascii="Times New Roman" w:hAnsi="Times New Roman" w:cs="Times New Roman"/>
                <w:color w:val="auto"/>
                <w:sz w:val="24"/>
                <w:szCs w:val="32"/>
              </w:rPr>
            </w:pPr>
            <w:r>
              <w:rPr>
                <w:rFonts w:hint="eastAsia" w:ascii="Times New Roman" w:hAnsi="Times New Roman" w:cs="Times New Roman"/>
                <w:color w:val="auto"/>
                <w:sz w:val="24"/>
                <w:szCs w:val="32"/>
              </w:rPr>
              <w:t>（2）被测排放物的浓度在仪器量程的有效范围。</w:t>
            </w:r>
          </w:p>
          <w:p>
            <w:pPr>
              <w:spacing w:line="360" w:lineRule="auto"/>
              <w:ind w:firstLine="480" w:firstLineChars="200"/>
              <w:rPr>
                <w:rFonts w:hint="default"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3</w:t>
            </w: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现场监测采样人员为专业技术人员，持证上岗，严格执行采样技术要求。</w:t>
            </w:r>
          </w:p>
          <w:p>
            <w:pPr>
              <w:spacing w:line="360" w:lineRule="auto"/>
              <w:ind w:firstLine="480" w:firstLineChars="200"/>
              <w:rPr>
                <w:rFonts w:hint="eastAsia" w:ascii="Times New Roman" w:hAnsi="Times New Roman" w:cs="Times New Roman"/>
                <w:color w:val="auto"/>
                <w:sz w:val="24"/>
                <w:szCs w:val="32"/>
                <w:lang w:eastAsia="zh-CN"/>
              </w:rPr>
            </w:pPr>
            <w:r>
              <w:rPr>
                <w:rFonts w:hint="eastAsia" w:ascii="Times New Roman" w:hAnsi="Times New Roman" w:cs="Times New Roman"/>
                <w:color w:val="auto"/>
                <w:sz w:val="24"/>
                <w:szCs w:val="32"/>
                <w:lang w:eastAsia="zh-CN"/>
              </w:rPr>
              <w:t>（</w:t>
            </w:r>
            <w:r>
              <w:rPr>
                <w:rFonts w:hint="eastAsia" w:ascii="Times New Roman" w:hAnsi="Times New Roman" w:cs="Times New Roman"/>
                <w:color w:val="auto"/>
                <w:sz w:val="24"/>
                <w:szCs w:val="32"/>
                <w:lang w:val="en-US" w:eastAsia="zh-CN"/>
              </w:rPr>
              <w:t>4</w:t>
            </w:r>
            <w:r>
              <w:rPr>
                <w:rFonts w:hint="eastAsia" w:ascii="Times New Roman" w:hAnsi="Times New Roman" w:cs="Times New Roman"/>
                <w:color w:val="auto"/>
                <w:sz w:val="24"/>
                <w:szCs w:val="32"/>
                <w:lang w:eastAsia="zh-CN"/>
              </w:rPr>
              <w:t>）</w:t>
            </w:r>
            <w:r>
              <w:rPr>
                <w:rFonts w:hint="default" w:ascii="Times New Roman" w:hAnsi="Times New Roman" w:cs="Times New Roman"/>
                <w:color w:val="auto"/>
                <w:sz w:val="24"/>
                <w:szCs w:val="32"/>
              </w:rPr>
              <w:t>监测结果的审核签发、监测结果录入发布等工作的责任人和完成时限，确保监测各环节</w:t>
            </w:r>
            <w:r>
              <w:rPr>
                <w:rFonts w:hint="eastAsia" w:ascii="Times New Roman" w:hAnsi="Times New Roman" w:cs="Times New Roman"/>
                <w:color w:val="auto"/>
                <w:sz w:val="24"/>
                <w:szCs w:val="32"/>
                <w:lang w:val="en-US" w:eastAsia="zh-CN"/>
              </w:rPr>
              <w:t>无缝衔接</w:t>
            </w:r>
            <w:r>
              <w:rPr>
                <w:rFonts w:hint="default" w:ascii="Times New Roman" w:hAnsi="Times New Roman" w:cs="Times New Roman"/>
                <w:color w:val="auto"/>
                <w:sz w:val="24"/>
                <w:szCs w:val="32"/>
              </w:rPr>
              <w:t>。</w:t>
            </w:r>
          </w:p>
          <w:p>
            <w:pPr>
              <w:spacing w:line="360" w:lineRule="auto"/>
              <w:ind w:firstLine="480" w:firstLineChars="200"/>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32"/>
              </w:rPr>
              <w:t>（</w:t>
            </w:r>
            <w:r>
              <w:rPr>
                <w:rFonts w:hint="eastAsia" w:ascii="Times New Roman" w:hAnsi="Times New Roman" w:cs="Times New Roman"/>
                <w:color w:val="auto"/>
                <w:sz w:val="24"/>
                <w:szCs w:val="32"/>
                <w:lang w:val="en-US" w:eastAsia="zh-CN"/>
              </w:rPr>
              <w:t>5</w:t>
            </w:r>
            <w:r>
              <w:rPr>
                <w:rFonts w:hint="eastAsia" w:ascii="Times New Roman" w:hAnsi="Times New Roman" w:cs="Times New Roman"/>
                <w:color w:val="auto"/>
                <w:sz w:val="24"/>
                <w:szCs w:val="32"/>
              </w:rPr>
              <w:t>）烟尘采样器在进入现场前应对采样器流量计等进行校核。烟气监测（分析）仪器在监测前按监测因子分别用标准气体和流量计对其进行校核（标定），在监测时应保证其采样流量的准确。</w:t>
            </w:r>
          </w:p>
          <w:p>
            <w:pPr>
              <w:pStyle w:val="4"/>
              <w:rPr>
                <w:color w:val="auto"/>
              </w:rPr>
            </w:pPr>
            <w:r>
              <w:rPr>
                <w:rFonts w:hint="eastAsia" w:ascii="Times New Roman" w:hAnsi="Times New Roman" w:cs="Times New Roman"/>
                <w:color w:val="auto"/>
                <w:sz w:val="24"/>
                <w:szCs w:val="24"/>
                <w:lang w:val="en-US" w:eastAsia="zh-CN"/>
              </w:rPr>
              <w:t>6.</w:t>
            </w:r>
            <w:r>
              <w:rPr>
                <w:rFonts w:hint="eastAsia" w:cs="Times New Roman"/>
                <w:color w:val="auto"/>
                <w:sz w:val="24"/>
                <w:szCs w:val="24"/>
                <w:lang w:val="en-US" w:eastAsia="zh-CN"/>
              </w:rPr>
              <w:t>3</w:t>
            </w:r>
            <w:r>
              <w:rPr>
                <w:rFonts w:hint="eastAsia" w:ascii="Times New Roman" w:hAnsi="Times New Roman" w:cs="Times New Roman"/>
                <w:color w:val="auto"/>
                <w:sz w:val="24"/>
                <w:szCs w:val="24"/>
                <w:lang w:val="en-US" w:eastAsia="zh-CN"/>
              </w:rPr>
              <w:t xml:space="preserve"> </w:t>
            </w:r>
            <w:r>
              <w:rPr>
                <w:rFonts w:hint="eastAsia"/>
                <w:color w:val="auto"/>
              </w:rPr>
              <w:t>噪声监测分析过程中的质量保证和质量控制</w:t>
            </w:r>
            <w:bookmarkEnd w:id="29"/>
            <w:bookmarkEnd w:id="30"/>
            <w:bookmarkEnd w:id="31"/>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（1）按照《环境监测技术规范》（噪声部分）和《工业企业厂界环境噪声排放标准》的规定进行。</w:t>
            </w:r>
          </w:p>
          <w:p>
            <w:pPr>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（2）使用仪器为经经检验机构检定合格并且在有效期以内的噪声分析仪。</w:t>
            </w:r>
          </w:p>
          <w:p>
            <w:pPr>
              <w:spacing w:line="360" w:lineRule="auto"/>
              <w:ind w:firstLine="480" w:firstLineChars="200"/>
              <w:rPr>
                <w:rFonts w:hint="eastAsia" w:ascii="Times New Roman" w:hAnsi="Times New Roman" w:cs="Times New Roman"/>
                <w:color w:val="auto"/>
                <w:sz w:val="24"/>
                <w:szCs w:val="32"/>
                <w:lang w:val="en-US" w:eastAsia="zh-CN"/>
              </w:rPr>
            </w:pPr>
            <w:r>
              <w:rPr>
                <w:rFonts w:hint="default" w:ascii="Times New Roman" w:hAnsi="Times New Roman" w:cs="Times New Roman"/>
                <w:color w:val="auto"/>
                <w:sz w:val="24"/>
                <w:szCs w:val="32"/>
              </w:rPr>
              <w:t>（3）测量前后在测量的环境中用声校准器校准测量仪器，示值偏差不大于0.5dB</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rPr>
              <w:t>A</w:t>
            </w:r>
            <w:r>
              <w:rPr>
                <w:rFonts w:hint="eastAsia" w:ascii="Times New Roman" w:hAnsi="Times New Roman" w:cs="Times New Roman"/>
                <w:color w:val="auto"/>
                <w:sz w:val="24"/>
                <w:szCs w:val="32"/>
                <w:lang w:val="en-US" w:eastAsia="zh-CN"/>
              </w:rPr>
              <w:t>)</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rPr>
              <w:t>测量时传声器加防风罩</w:t>
            </w:r>
            <w:r>
              <w:rPr>
                <w:rFonts w:hint="eastAsia" w:ascii="Times New Roman" w:hAnsi="Times New Roman" w:cs="Times New Roman"/>
                <w:color w:val="auto"/>
                <w:sz w:val="24"/>
                <w:szCs w:val="32"/>
                <w:lang w:eastAsia="zh-CN"/>
              </w:rPr>
              <w:t>。</w:t>
            </w:r>
          </w:p>
          <w:p>
            <w:pPr>
              <w:pStyle w:val="4"/>
              <w:spacing w:line="360" w:lineRule="auto"/>
              <w:jc w:val="center"/>
              <w:rPr>
                <w:rFonts w:hint="default" w:ascii="Times New Roman" w:hAnsi="Times New Roman" w:eastAsia="黑体" w:cs="Times New Roman"/>
                <w:color w:val="auto"/>
                <w:sz w:val="21"/>
                <w:szCs w:val="21"/>
                <w:lang w:val="en-US" w:eastAsia="zh-CN"/>
              </w:rPr>
            </w:pPr>
            <w:r>
              <w:rPr>
                <w:rFonts w:hint="default" w:ascii="Times New Roman" w:hAnsi="Times New Roman" w:eastAsia="黑体" w:cs="Times New Roman"/>
                <w:color w:val="auto"/>
                <w:sz w:val="21"/>
                <w:szCs w:val="21"/>
                <w:lang w:val="en-US" w:eastAsia="zh-CN"/>
              </w:rPr>
              <w:t>表6</w:t>
            </w:r>
            <w:r>
              <w:rPr>
                <w:rFonts w:hint="eastAsia" w:eastAsia="黑体" w:cs="Times New Roman"/>
                <w:color w:val="auto"/>
                <w:sz w:val="21"/>
                <w:szCs w:val="21"/>
                <w:lang w:val="en-US" w:eastAsia="zh-CN"/>
              </w:rPr>
              <w:t>-3</w:t>
            </w:r>
            <w:r>
              <w:rPr>
                <w:rFonts w:hint="default" w:ascii="Times New Roman" w:hAnsi="Times New Roman" w:eastAsia="黑体" w:cs="Times New Roman"/>
                <w:color w:val="auto"/>
                <w:sz w:val="21"/>
                <w:szCs w:val="21"/>
                <w:lang w:val="en-US" w:eastAsia="zh-CN"/>
              </w:rPr>
              <w:t>噪声质控结果表</w:t>
            </w:r>
          </w:p>
          <w:tbl>
            <w:tblPr>
              <w:tblStyle w:val="23"/>
              <w:tblW w:w="884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917"/>
              <w:gridCol w:w="1105"/>
              <w:gridCol w:w="1105"/>
              <w:gridCol w:w="1106"/>
              <w:gridCol w:w="1106"/>
              <w:gridCol w:w="1106"/>
              <w:gridCol w:w="110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color w:val="auto"/>
                      <w:sz w:val="21"/>
                      <w:szCs w:val="21"/>
                      <w:vertAlign w:val="baseline"/>
                      <w:lang w:eastAsia="zh-CN"/>
                    </w:rPr>
                  </w:pPr>
                  <w:r>
                    <w:rPr>
                      <w:rFonts w:hint="eastAsia" w:ascii="Times New Roman" w:hAnsi="Times New Roman" w:cs="Times New Roman"/>
                      <w:b/>
                      <w:bCs w:val="0"/>
                      <w:color w:val="auto"/>
                      <w:sz w:val="21"/>
                      <w:szCs w:val="21"/>
                      <w:vertAlign w:val="baseline"/>
                      <w:lang w:eastAsia="zh-CN"/>
                    </w:rPr>
                    <w:t>校准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eastAsia" w:ascii="Times New Roman" w:hAnsi="Times New Roman" w:cs="Times New Roman"/>
                      <w:b/>
                      <w:bCs w:val="0"/>
                      <w:color w:val="auto"/>
                      <w:sz w:val="21"/>
                      <w:szCs w:val="21"/>
                      <w:vertAlign w:val="baseline"/>
                      <w:lang w:eastAsia="zh-CN"/>
                    </w:rPr>
                    <w:t>日期</w:t>
                  </w:r>
                </w:p>
              </w:tc>
              <w:tc>
                <w:tcPr>
                  <w:tcW w:w="917"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bCs w:val="0"/>
                      <w:color w:val="auto"/>
                      <w:sz w:val="21"/>
                      <w:szCs w:val="21"/>
                      <w:vertAlign w:val="baseline"/>
                      <w:lang w:eastAsia="zh-CN"/>
                    </w:rPr>
                  </w:pPr>
                  <w:r>
                    <w:rPr>
                      <w:rFonts w:hint="eastAsia" w:ascii="Times New Roman" w:hAnsi="Times New Roman" w:cs="Times New Roman"/>
                      <w:b/>
                      <w:bCs w:val="0"/>
                      <w:color w:val="auto"/>
                      <w:sz w:val="21"/>
                      <w:szCs w:val="21"/>
                      <w:vertAlign w:val="baseline"/>
                      <w:lang w:eastAsia="zh-CN"/>
                    </w:rPr>
                    <w:t>标准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eastAsia" w:ascii="Times New Roman" w:hAnsi="Times New Roman" w:cs="Times New Roman"/>
                      <w:b/>
                      <w:bCs w:val="0"/>
                      <w:color w:val="auto"/>
                      <w:sz w:val="21"/>
                      <w:szCs w:val="21"/>
                      <w:vertAlign w:val="baseline"/>
                      <w:lang w:eastAsia="zh-CN"/>
                    </w:rPr>
                    <w:t>示值</w:t>
                  </w:r>
                </w:p>
              </w:tc>
              <w:tc>
                <w:tcPr>
                  <w:tcW w:w="2210"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测量前dB(A)</w:t>
                  </w:r>
                </w:p>
              </w:tc>
              <w:tc>
                <w:tcPr>
                  <w:tcW w:w="2212"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测量后dB(A)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质控标准dB(A)</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val="0"/>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917"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校准值</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b/>
                      <w:bCs/>
                      <w:color w:val="auto"/>
                      <w:sz w:val="21"/>
                      <w:szCs w:val="21"/>
                    </w:rPr>
                    <w:t>示值偏差</w:t>
                  </w:r>
                </w:p>
              </w:tc>
              <w:tc>
                <w:tcPr>
                  <w:tcW w:w="1106"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6"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202</w:t>
                  </w:r>
                  <w:r>
                    <w:rPr>
                      <w:rFonts w:hint="eastAsia" w:hAnsi="Times New Roman" w:cs="Times New Roman"/>
                      <w:b w:val="0"/>
                      <w:bCs w:val="0"/>
                      <w:color w:val="auto"/>
                      <w:kern w:val="2"/>
                      <w:sz w:val="21"/>
                      <w:szCs w:val="21"/>
                      <w:vertAlign w:val="baseline"/>
                      <w:lang w:val="en-US" w:eastAsia="zh-CN" w:bidi="ar-SA"/>
                    </w:rPr>
                    <w:t>2</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8</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24</w:t>
                  </w:r>
                </w:p>
              </w:tc>
              <w:tc>
                <w:tcPr>
                  <w:tcW w:w="917" w:type="dxa"/>
                  <w:vMerge w:val="restart"/>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94.0</w:t>
                  </w:r>
                </w:p>
              </w:tc>
              <w:tc>
                <w:tcPr>
                  <w:tcW w:w="110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hAnsi="Times New Roman" w:cs="Times New Roman"/>
                      <w:b w:val="0"/>
                      <w:bCs w:val="0"/>
                      <w:color w:val="auto"/>
                      <w:kern w:val="2"/>
                      <w:sz w:val="21"/>
                      <w:szCs w:val="21"/>
                      <w:vertAlign w:val="baseline"/>
                      <w:lang w:val="en-US" w:eastAsia="zh-CN" w:bidi="ar-SA"/>
                    </w:rPr>
                    <w:t>93.8</w:t>
                  </w:r>
                </w:p>
              </w:tc>
              <w:tc>
                <w:tcPr>
                  <w:tcW w:w="110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示值偏差</w:t>
                  </w:r>
                  <w:r>
                    <w:rPr>
                      <w:rFonts w:hint="eastAsia" w:ascii="仿宋" w:hAnsi="仿宋" w:eastAsia="仿宋" w:cs="仿宋"/>
                      <w:color w:val="auto"/>
                      <w:sz w:val="21"/>
                      <w:szCs w:val="21"/>
                      <w:lang w:val="en-US" w:eastAsia="zh-CN"/>
                    </w:rPr>
                    <w:t>≤</w:t>
                  </w:r>
                  <w:r>
                    <w:rPr>
                      <w:rFonts w:hint="default" w:ascii="Times New Roman" w:hAnsi="Times New Roman" w:eastAsia="宋体" w:cs="Times New Roman"/>
                      <w:color w:val="auto"/>
                      <w:sz w:val="21"/>
                      <w:szCs w:val="21"/>
                      <w:lang w:val="en-US" w:eastAsia="zh-CN"/>
                    </w:rPr>
                    <w:t>0.5</w:t>
                  </w: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93"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202</w:t>
                  </w:r>
                  <w:r>
                    <w:rPr>
                      <w:rFonts w:hint="eastAsia" w:hAnsi="Times New Roman" w:cs="Times New Roman"/>
                      <w:b w:val="0"/>
                      <w:bCs w:val="0"/>
                      <w:color w:val="auto"/>
                      <w:kern w:val="2"/>
                      <w:sz w:val="21"/>
                      <w:szCs w:val="21"/>
                      <w:vertAlign w:val="baseline"/>
                      <w:lang w:val="en-US" w:eastAsia="zh-CN" w:bidi="ar-SA"/>
                    </w:rPr>
                    <w:t>2</w:t>
                  </w:r>
                  <w:r>
                    <w:rPr>
                      <w:rFonts w:hint="eastAsia" w:ascii="Times New Roman" w:hAnsi="Times New Roman" w:cs="Times New Roman"/>
                      <w:b w:val="0"/>
                      <w:bCs w:val="0"/>
                      <w:color w:val="auto"/>
                      <w:kern w:val="2"/>
                      <w:sz w:val="21"/>
                      <w:szCs w:val="21"/>
                      <w:vertAlign w:val="baseline"/>
                      <w:lang w:val="en-US" w:eastAsia="zh-CN" w:bidi="ar-SA"/>
                    </w:rPr>
                    <w:t>.</w:t>
                  </w:r>
                  <w:r>
                    <w:rPr>
                      <w:rFonts w:hint="eastAsia" w:hAnsi="Times New Roman" w:cs="Times New Roman"/>
                      <w:b w:val="0"/>
                      <w:bCs w:val="0"/>
                      <w:color w:val="auto"/>
                      <w:kern w:val="2"/>
                      <w:sz w:val="21"/>
                      <w:szCs w:val="21"/>
                      <w:vertAlign w:val="baseline"/>
                      <w:lang w:val="en-US" w:eastAsia="zh-CN" w:bidi="ar-SA"/>
                    </w:rPr>
                    <w:t>8.25</w:t>
                  </w:r>
                </w:p>
              </w:tc>
              <w:tc>
                <w:tcPr>
                  <w:tcW w:w="917"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5"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93.8</w:t>
                  </w:r>
                </w:p>
              </w:tc>
              <w:tc>
                <w:tcPr>
                  <w:tcW w:w="1106" w:type="dxa"/>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r>
                    <w:rPr>
                      <w:rFonts w:hint="eastAsia" w:ascii="Times New Roman" w:hAnsi="Times New Roman" w:cs="Times New Roman"/>
                      <w:b w:val="0"/>
                      <w:bCs w:val="0"/>
                      <w:color w:val="auto"/>
                      <w:kern w:val="2"/>
                      <w:sz w:val="21"/>
                      <w:szCs w:val="21"/>
                      <w:vertAlign w:val="baseline"/>
                      <w:lang w:val="en-US" w:eastAsia="zh-CN" w:bidi="ar-SA"/>
                    </w:rPr>
                    <w:t>0.2</w:t>
                  </w:r>
                </w:p>
              </w:tc>
              <w:tc>
                <w:tcPr>
                  <w:tcW w:w="1106" w:type="dxa"/>
                  <w:vMerge w:val="continue"/>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Times New Roman" w:hAnsi="Times New Roman" w:cs="Times New Roman"/>
                      <w:b w:val="0"/>
                      <w:bCs w:val="0"/>
                      <w:color w:val="auto"/>
                      <w:kern w:val="2"/>
                      <w:sz w:val="21"/>
                      <w:szCs w:val="21"/>
                      <w:vertAlign w:val="baseline"/>
                      <w:lang w:val="en-US" w:eastAsia="zh-CN" w:bidi="ar-SA"/>
                    </w:rPr>
                  </w:pPr>
                </w:p>
              </w:tc>
              <w:tc>
                <w:tcPr>
                  <w:tcW w:w="110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合格</w:t>
                  </w:r>
                </w:p>
              </w:tc>
            </w:tr>
          </w:tbl>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pStyle w:val="20"/>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0000FF"/>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olor w:val="0000FF"/>
                <w:sz w:val="24"/>
                <w:szCs w:val="32"/>
                <w:lang w:val="en-US" w:eastAsia="zh-CN"/>
              </w:rPr>
            </w:pPr>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2" w:name="_Toc31195"/>
      <w:bookmarkStart w:id="33" w:name="_Toc28103"/>
      <w:bookmarkStart w:id="34" w:name="_Toc26678"/>
      <w:r>
        <w:rPr>
          <w:rFonts w:hint="eastAsia"/>
          <w:color w:val="auto"/>
          <w:lang w:val="en-US" w:eastAsia="zh-CN"/>
        </w:rPr>
        <w:t>表七 验收监测结果</w:t>
      </w:r>
      <w:bookmarkEnd w:id="32"/>
      <w:bookmarkEnd w:id="33"/>
      <w:bookmarkEnd w:id="34"/>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066" w:type="dxa"/>
            <w:vAlign w:val="top"/>
          </w:tcPr>
          <w:p>
            <w:pPr>
              <w:pStyle w:val="4"/>
              <w:rPr>
                <w:rFonts w:hint="eastAsia"/>
                <w:color w:val="auto"/>
                <w:lang w:val="en-US" w:eastAsia="zh-CN"/>
              </w:rPr>
            </w:pPr>
            <w:bookmarkStart w:id="35" w:name="_Toc32390"/>
            <w:r>
              <w:rPr>
                <w:rFonts w:hint="eastAsia"/>
                <w:color w:val="auto"/>
                <w:lang w:val="en-US" w:eastAsia="zh-CN"/>
              </w:rPr>
              <w:t>7.1</w:t>
            </w:r>
            <w:bookmarkEnd w:id="35"/>
            <w:r>
              <w:rPr>
                <w:rFonts w:hint="eastAsia"/>
                <w:color w:val="auto"/>
                <w:lang w:val="en-US" w:eastAsia="zh-CN"/>
              </w:rPr>
              <w:t xml:space="preserve">  监测期间工况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szCs w:val="24"/>
              </w:rPr>
              <w:t>根据</w:t>
            </w:r>
            <w:r>
              <w:rPr>
                <w:rFonts w:hint="eastAsia" w:cs="宋体"/>
                <w:b w:val="0"/>
                <w:bCs w:val="0"/>
                <w:color w:val="auto"/>
                <w:sz w:val="24"/>
                <w:szCs w:val="24"/>
                <w:lang w:eastAsia="zh-CN"/>
              </w:rPr>
              <w:t>本项目</w:t>
            </w:r>
            <w:r>
              <w:rPr>
                <w:rFonts w:hint="default" w:ascii="Times New Roman" w:hAnsi="Times New Roman" w:cs="Times New Roman"/>
                <w:color w:val="auto"/>
                <w:sz w:val="24"/>
                <w:szCs w:val="24"/>
                <w:lang w:eastAsia="zh-CN"/>
              </w:rPr>
              <w:t>运行</w:t>
            </w:r>
            <w:r>
              <w:rPr>
                <w:rFonts w:hint="eastAsia" w:ascii="Times New Roman" w:hAnsi="Times New Roman" w:cs="Times New Roman"/>
                <w:color w:val="auto"/>
                <w:sz w:val="24"/>
                <w:szCs w:val="24"/>
                <w:lang w:eastAsia="zh-CN"/>
              </w:rPr>
              <w:t>工况</w:t>
            </w:r>
            <w:r>
              <w:rPr>
                <w:rFonts w:hint="default" w:ascii="Times New Roman" w:hAnsi="Times New Roman" w:cs="Times New Roman"/>
                <w:color w:val="auto"/>
                <w:sz w:val="24"/>
                <w:szCs w:val="24"/>
              </w:rPr>
              <w:t>，安徽工和</w:t>
            </w:r>
            <w:r>
              <w:rPr>
                <w:rFonts w:hint="default" w:ascii="Times New Roman" w:hAnsi="Times New Roman" w:cs="Times New Roman"/>
                <w:color w:val="auto"/>
                <w:sz w:val="24"/>
              </w:rPr>
              <w:t>环境监测有限责任公司</w:t>
            </w:r>
            <w:r>
              <w:rPr>
                <w:rFonts w:hint="eastAsia" w:ascii="Times New Roman" w:hAnsi="Times New Roman" w:cs="Times New Roman"/>
                <w:color w:val="auto"/>
                <w:sz w:val="24"/>
                <w:lang w:eastAsia="zh-CN"/>
              </w:rPr>
              <w:t>于</w:t>
            </w:r>
            <w:r>
              <w:rPr>
                <w:rFonts w:hint="default" w:ascii="Times New Roman" w:hAnsi="Times New Roman" w:cs="Times New Roman"/>
                <w:color w:val="auto"/>
                <w:sz w:val="24"/>
              </w:rPr>
              <w:t>20</w:t>
            </w:r>
            <w:r>
              <w:rPr>
                <w:rFonts w:hint="eastAsia" w:ascii="Times New Roman" w:hAnsi="Times New Roman" w:cs="Times New Roman"/>
                <w:color w:val="auto"/>
                <w:sz w:val="24"/>
                <w:lang w:val="en-US" w:eastAsia="zh-CN"/>
              </w:rPr>
              <w:t>22</w:t>
            </w:r>
            <w:r>
              <w:rPr>
                <w:rFonts w:hint="default" w:ascii="Times New Roman" w:hAnsi="Times New Roman" w:cs="Times New Roman"/>
                <w:color w:val="auto"/>
                <w:sz w:val="24"/>
              </w:rPr>
              <w:t>年</w:t>
            </w:r>
            <w:r>
              <w:rPr>
                <w:rFonts w:hint="eastAsia" w:ascii="Times New Roman" w:hAnsi="Times New Roman" w:cs="Times New Roman"/>
                <w:color w:val="auto"/>
                <w:sz w:val="24"/>
                <w:lang w:val="en-US" w:eastAsia="zh-CN"/>
              </w:rPr>
              <w:t>8</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24</w:t>
            </w:r>
            <w:r>
              <w:rPr>
                <w:rFonts w:hint="default" w:ascii="Times New Roman" w:hAnsi="Times New Roman" w:cs="Times New Roman"/>
                <w:color w:val="auto"/>
                <w:sz w:val="24"/>
              </w:rPr>
              <w:t>日~</w:t>
            </w:r>
            <w:r>
              <w:rPr>
                <w:rFonts w:hint="eastAsia" w:ascii="Times New Roman" w:hAnsi="Times New Roman" w:cs="Times New Roman"/>
                <w:color w:val="auto"/>
                <w:sz w:val="24"/>
                <w:lang w:val="en-US" w:eastAsia="zh-CN"/>
              </w:rPr>
              <w:t>2022年8</w:t>
            </w:r>
            <w:r>
              <w:rPr>
                <w:rFonts w:hint="default" w:ascii="Times New Roman" w:hAnsi="Times New Roman" w:cs="Times New Roman"/>
                <w:color w:val="auto"/>
                <w:sz w:val="24"/>
              </w:rPr>
              <w:t>月</w:t>
            </w:r>
            <w:r>
              <w:rPr>
                <w:rFonts w:hint="eastAsia" w:ascii="Times New Roman" w:hAnsi="Times New Roman" w:cs="Times New Roman"/>
                <w:color w:val="auto"/>
                <w:sz w:val="24"/>
                <w:lang w:val="en-US" w:eastAsia="zh-CN"/>
              </w:rPr>
              <w:t>27</w:t>
            </w:r>
            <w:r>
              <w:rPr>
                <w:rFonts w:hint="default" w:ascii="Times New Roman" w:hAnsi="Times New Roman" w:cs="Times New Roman"/>
                <w:color w:val="auto"/>
                <w:sz w:val="24"/>
              </w:rPr>
              <w:t>日对本项目的周边气象条件</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有组织废气、</w:t>
            </w:r>
            <w:r>
              <w:rPr>
                <w:rFonts w:hint="default" w:ascii="Times New Roman" w:hAnsi="Times New Roman" w:cs="Times New Roman"/>
                <w:color w:val="auto"/>
                <w:sz w:val="24"/>
              </w:rPr>
              <w:t>厂界无组织废气</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废水、</w:t>
            </w:r>
            <w:r>
              <w:rPr>
                <w:rFonts w:hint="eastAsia" w:ascii="Times New Roman" w:hAnsi="Times New Roman" w:cs="Times New Roman"/>
                <w:color w:val="auto"/>
                <w:sz w:val="24"/>
                <w:lang w:eastAsia="zh-CN"/>
              </w:rPr>
              <w:t>厂界</w:t>
            </w:r>
            <w:r>
              <w:rPr>
                <w:rFonts w:hint="default" w:ascii="Times New Roman" w:hAnsi="Times New Roman" w:cs="Times New Roman"/>
                <w:color w:val="auto"/>
                <w:sz w:val="24"/>
              </w:rPr>
              <w:t>噪声进行了现场监测。</w:t>
            </w:r>
          </w:p>
          <w:p>
            <w:pPr>
              <w:spacing w:line="360" w:lineRule="auto"/>
              <w:ind w:left="0" w:leftChars="0" w:firstLine="480" w:firstLineChars="200"/>
              <w:rPr>
                <w:rFonts w:hint="eastAsia" w:ascii="Times New Roman" w:hAnsi="Times New Roman" w:cs="Times New Roman"/>
                <w:color w:val="auto"/>
                <w:sz w:val="24"/>
                <w:szCs w:val="24"/>
                <w:lang w:eastAsia="zh-CN"/>
              </w:rPr>
            </w:pPr>
            <w:r>
              <w:rPr>
                <w:rFonts w:hint="default" w:ascii="Times New Roman" w:hAnsi="Times New Roman" w:cs="Times New Roman"/>
                <w:color w:val="auto"/>
                <w:sz w:val="24"/>
              </w:rPr>
              <w:t>安徽工和环境监测有限责任公司监测人员同步进行生产工况监察，根据</w:t>
            </w:r>
            <w:r>
              <w:rPr>
                <w:rFonts w:hint="eastAsia" w:cs="宋体"/>
                <w:b w:val="0"/>
                <w:bCs w:val="0"/>
                <w:color w:val="auto"/>
                <w:sz w:val="24"/>
                <w:szCs w:val="24"/>
                <w:lang w:eastAsia="zh-CN"/>
              </w:rPr>
              <w:t>我单位</w:t>
            </w:r>
            <w:r>
              <w:rPr>
                <w:rFonts w:hint="default" w:ascii="Times New Roman" w:hAnsi="Times New Roman" w:cs="Times New Roman"/>
                <w:color w:val="auto"/>
                <w:sz w:val="24"/>
              </w:rPr>
              <w:t>出示的竣工环境保护验收监测期间的生产工况表，企业竣工环境保护验收期间</w:t>
            </w:r>
            <w:r>
              <w:rPr>
                <w:rFonts w:hint="eastAsia" w:ascii="Times New Roman" w:hAnsi="Times New Roman" w:cs="Times New Roman"/>
                <w:color w:val="auto"/>
                <w:sz w:val="24"/>
                <w:lang w:eastAsia="zh-CN"/>
              </w:rPr>
              <w:t>正常生产</w:t>
            </w:r>
            <w:r>
              <w:rPr>
                <w:rFonts w:hint="default" w:ascii="Times New Roman" w:hAnsi="Times New Roman" w:cs="Times New Roman"/>
                <w:color w:val="auto"/>
                <w:sz w:val="24"/>
              </w:rPr>
              <w:t>，环保设施正常运行</w:t>
            </w:r>
            <w:r>
              <w:rPr>
                <w:rFonts w:hint="eastAsia" w:ascii="Times New Roman" w:hAnsi="Times New Roman" w:cs="Times New Roman"/>
                <w:color w:val="auto"/>
                <w:sz w:val="24"/>
                <w:szCs w:val="24"/>
                <w:lang w:eastAsia="zh-CN"/>
              </w:rPr>
              <w:t>。</w:t>
            </w:r>
          </w:p>
          <w:p>
            <w:pPr>
              <w:spacing w:line="360" w:lineRule="auto"/>
              <w:ind w:left="0" w:leftChars="0" w:firstLine="480" w:firstLineChars="200"/>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eastAsia="zh-CN"/>
              </w:rPr>
              <w:t>具体工况情况见表</w:t>
            </w:r>
            <w:r>
              <w:rPr>
                <w:rFonts w:hint="eastAsia" w:ascii="Times New Roman" w:hAnsi="Times New Roman" w:cs="Times New Roman"/>
                <w:color w:val="auto"/>
                <w:sz w:val="24"/>
                <w:szCs w:val="24"/>
                <w:lang w:val="en-US" w:eastAsia="zh-CN"/>
              </w:rPr>
              <w:t>7</w:t>
            </w:r>
            <w:r>
              <w:rPr>
                <w:rFonts w:hint="default" w:ascii="Times New Roman" w:hAnsi="Times New Roman" w:cs="Times New Roman"/>
                <w:color w:val="auto"/>
                <w:sz w:val="24"/>
                <w:szCs w:val="24"/>
                <w:lang w:val="en-US" w:eastAsia="zh-CN"/>
              </w:rPr>
              <w:t>-1。</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eastAsia" w:ascii="Times New Roman" w:hAnsi="Times New Roman" w:eastAsia="黑体" w:cs="Times New Roman"/>
                <w:b/>
                <w:color w:val="auto"/>
                <w:sz w:val="21"/>
                <w:szCs w:val="21"/>
                <w:lang w:val="en-US" w:eastAsia="zh-CN"/>
              </w:rPr>
              <w:t>7</w:t>
            </w:r>
            <w:r>
              <w:rPr>
                <w:rFonts w:hint="default" w:ascii="Times New Roman" w:hAnsi="Times New Roman" w:eastAsia="黑体" w:cs="Times New Roman"/>
                <w:b/>
                <w:color w:val="auto"/>
                <w:sz w:val="21"/>
                <w:szCs w:val="21"/>
              </w:rPr>
              <w:t>-1 验收监测期间工况</w:t>
            </w:r>
          </w:p>
          <w:tbl>
            <w:tblPr>
              <w:tblStyle w:val="23"/>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44"/>
              <w:gridCol w:w="1725"/>
              <w:gridCol w:w="1725"/>
              <w:gridCol w:w="1725"/>
              <w:gridCol w:w="17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single" w:color="auto" w:sz="4" w:space="0"/>
                  </w:tcBorders>
                  <w:vAlign w:val="center"/>
                </w:tcPr>
                <w:p>
                  <w:pPr>
                    <w:snapToGrid w:val="0"/>
                    <w:spacing w:before="100" w:line="240" w:lineRule="auto"/>
                    <w:jc w:val="right"/>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w:t>
                  </w:r>
                </w:p>
                <w:p>
                  <w:pPr>
                    <w:spacing w:line="240" w:lineRule="auto"/>
                    <w:rPr>
                      <w:rFonts w:hint="eastAsia" w:ascii="Times New Roman" w:hAnsi="Times New Roman" w:cs="Times New Roman" w:eastAsiaTheme="minorEastAsia"/>
                      <w:b/>
                      <w:bCs/>
                      <w:color w:val="auto"/>
                      <w:sz w:val="21"/>
                      <w:szCs w:val="21"/>
                      <w:lang w:val="en-US" w:eastAsia="zh-CN"/>
                    </w:rPr>
                  </w:pPr>
                  <w:r>
                    <w:rPr>
                      <w:rFonts w:hint="eastAsia" w:ascii="Times New Roman" w:hAnsi="Times New Roman" w:cs="Times New Roman"/>
                      <w:b/>
                      <w:bCs/>
                      <w:color w:val="auto"/>
                      <w:sz w:val="21"/>
                      <w:szCs w:val="21"/>
                      <w:lang w:val="en-US" w:eastAsia="zh-CN"/>
                    </w:rPr>
                    <w:t>日期</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生产产品</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default" w:ascii="Times New Roman" w:hAnsi="Times New Roman" w:cs="Times New Roman"/>
                      <w:b/>
                      <w:bCs/>
                      <w:color w:val="auto"/>
                      <w:sz w:val="21"/>
                      <w:szCs w:val="21"/>
                    </w:rPr>
                    <w:t>设计</w:t>
                  </w:r>
                  <w:r>
                    <w:rPr>
                      <w:rFonts w:hint="eastAsia" w:ascii="Times New Roman" w:hAnsi="Times New Roman" w:cs="Times New Roman"/>
                      <w:b/>
                      <w:bCs/>
                      <w:color w:val="auto"/>
                      <w:sz w:val="21"/>
                      <w:szCs w:val="21"/>
                      <w:lang w:val="en-US" w:eastAsia="zh-CN"/>
                    </w:rPr>
                    <w:t>生产量（套）</w:t>
                  </w:r>
                </w:p>
              </w:tc>
              <w:tc>
                <w:tcPr>
                  <w:tcW w:w="1725" w:type="dxa"/>
                  <w:tcBorders>
                    <w:tl2br w:val="nil"/>
                    <w:tr2bl w:val="nil"/>
                  </w:tcBorders>
                  <w:vAlign w:val="center"/>
                </w:tcPr>
                <w:p>
                  <w:pPr>
                    <w:spacing w:line="240" w:lineRule="auto"/>
                    <w:jc w:val="center"/>
                    <w:rPr>
                      <w:rFonts w:hint="default" w:ascii="Times New Roman" w:hAnsi="Times New Roman" w:cs="Times New Roman" w:eastAsiaTheme="minorEastAsia"/>
                      <w:b/>
                      <w:bCs/>
                      <w:color w:val="auto"/>
                      <w:sz w:val="21"/>
                      <w:szCs w:val="21"/>
                      <w:shd w:val="clear" w:color="auto" w:fill="auto"/>
                      <w:lang w:val="en-US" w:eastAsia="zh-CN"/>
                    </w:rPr>
                  </w:pPr>
                  <w:r>
                    <w:rPr>
                      <w:rFonts w:hint="eastAsia" w:ascii="Times New Roman" w:hAnsi="Times New Roman" w:cs="Times New Roman"/>
                      <w:b/>
                      <w:bCs/>
                      <w:color w:val="auto"/>
                      <w:sz w:val="21"/>
                      <w:szCs w:val="21"/>
                      <w:lang w:val="en-US" w:eastAsia="zh-CN"/>
                    </w:rPr>
                    <w:t>实际生产量（吨）</w:t>
                  </w:r>
                </w:p>
              </w:tc>
              <w:tc>
                <w:tcPr>
                  <w:tcW w:w="1725" w:type="dxa"/>
                  <w:tcBorders>
                    <w:tl2br w:val="nil"/>
                    <w:tr2bl w:val="nil"/>
                  </w:tcBorders>
                  <w:vAlign w:val="center"/>
                </w:tcPr>
                <w:p>
                  <w:pPr>
                    <w:spacing w:line="240" w:lineRule="auto"/>
                    <w:jc w:val="center"/>
                    <w:rPr>
                      <w:rFonts w:hint="default" w:ascii="Times New Roman" w:hAnsi="Times New Roman" w:cs="Times New Roman"/>
                      <w:b/>
                      <w:bCs/>
                      <w:color w:val="auto"/>
                      <w:sz w:val="21"/>
                      <w:szCs w:val="21"/>
                      <w:shd w:val="clear" w:color="auto" w:fill="auto"/>
                    </w:rPr>
                  </w:pPr>
                  <w:r>
                    <w:rPr>
                      <w:rFonts w:hint="eastAsia" w:ascii="Times New Roman" w:hAnsi="Times New Roman" w:cs="Times New Roman"/>
                      <w:b/>
                      <w:bCs/>
                      <w:color w:val="auto"/>
                      <w:sz w:val="21"/>
                      <w:szCs w:val="21"/>
                      <w:lang w:val="en-US" w:eastAsia="zh-CN"/>
                    </w:rPr>
                    <w:t>运营</w:t>
                  </w:r>
                  <w:r>
                    <w:rPr>
                      <w:rFonts w:hint="default" w:ascii="Times New Roman" w:hAnsi="Times New Roman" w:cs="Times New Roman"/>
                      <w:b/>
                      <w:bCs/>
                      <w:color w:val="auto"/>
                      <w:sz w:val="21"/>
                      <w:szCs w:val="21"/>
                    </w:rPr>
                    <w:t>负荷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eastAsiaTheme="minorEastAsia"/>
                      <w:b w:val="0"/>
                      <w:bCs w:val="0"/>
                      <w:color w:val="auto"/>
                      <w:sz w:val="21"/>
                      <w:szCs w:val="21"/>
                      <w:lang w:val="en-US" w:eastAsia="zh-CN"/>
                    </w:rPr>
                  </w:pPr>
                  <w:r>
                    <w:rPr>
                      <w:rFonts w:hint="default" w:ascii="Times New Roman" w:hAnsi="Times New Roman" w:eastAsia="宋体" w:cs="Times New Roman"/>
                      <w:bCs/>
                      <w:color w:val="auto"/>
                      <w:kern w:val="0"/>
                      <w:sz w:val="21"/>
                      <w:szCs w:val="21"/>
                      <w:vertAlign w:val="baseline"/>
                      <w:lang w:val="en-US" w:eastAsia="zh-CN"/>
                    </w:rPr>
                    <w:t>2022-</w:t>
                  </w:r>
                  <w:r>
                    <w:rPr>
                      <w:rFonts w:hint="eastAsia" w:ascii="Times New Roman" w:hAnsi="Times New Roman" w:eastAsia="宋体" w:cs="Times New Roman"/>
                      <w:bCs/>
                      <w:color w:val="auto"/>
                      <w:kern w:val="0"/>
                      <w:sz w:val="21"/>
                      <w:szCs w:val="21"/>
                      <w:vertAlign w:val="baseline"/>
                      <w:lang w:val="en-US" w:eastAsia="zh-CN"/>
                    </w:rPr>
                    <w:t>8</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cs="Times New Roman"/>
                      <w:bCs/>
                      <w:color w:val="auto"/>
                      <w:kern w:val="0"/>
                      <w:sz w:val="21"/>
                      <w:szCs w:val="21"/>
                      <w:vertAlign w:val="baseline"/>
                      <w:lang w:val="en-US" w:eastAsia="zh-CN"/>
                    </w:rPr>
                    <w:t>24</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展台展具</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10</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8</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80%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cs="Times New Roman"/>
                      <w:b w:val="0"/>
                      <w:bCs w:val="0"/>
                      <w:color w:val="auto"/>
                      <w:sz w:val="21"/>
                      <w:szCs w:val="21"/>
                      <w:lang w:val="en-US"/>
                    </w:rPr>
                  </w:pPr>
                  <w:r>
                    <w:rPr>
                      <w:rFonts w:hint="default" w:ascii="Times New Roman" w:hAnsi="Times New Roman" w:eastAsia="宋体" w:cs="Times New Roman"/>
                      <w:bCs/>
                      <w:color w:val="auto"/>
                      <w:kern w:val="0"/>
                      <w:sz w:val="21"/>
                      <w:szCs w:val="21"/>
                      <w:vertAlign w:val="baseline"/>
                      <w:lang w:val="en-US" w:eastAsia="zh-CN"/>
                    </w:rPr>
                    <w:t>2022-</w:t>
                  </w:r>
                  <w:r>
                    <w:rPr>
                      <w:rFonts w:hint="eastAsia" w:ascii="Times New Roman" w:hAnsi="Times New Roman" w:eastAsia="宋体" w:cs="Times New Roman"/>
                      <w:bCs/>
                      <w:color w:val="auto"/>
                      <w:kern w:val="0"/>
                      <w:sz w:val="21"/>
                      <w:szCs w:val="21"/>
                      <w:vertAlign w:val="baseline"/>
                      <w:lang w:val="en-US" w:eastAsia="zh-CN"/>
                    </w:rPr>
                    <w:t>8</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cs="Times New Roman"/>
                      <w:bCs/>
                      <w:color w:val="auto"/>
                      <w:kern w:val="0"/>
                      <w:sz w:val="21"/>
                      <w:szCs w:val="21"/>
                      <w:vertAlign w:val="baseline"/>
                      <w:lang w:val="en-US" w:eastAsia="zh-CN"/>
                    </w:rPr>
                    <w:t>25</w:t>
                  </w:r>
                </w:p>
              </w:tc>
              <w:tc>
                <w:tcPr>
                  <w:tcW w:w="1725" w:type="dxa"/>
                  <w:tcBorders>
                    <w:tl2br w:val="nil"/>
                    <w:tr2bl w:val="nil"/>
                  </w:tcBorders>
                  <w:vAlign w:val="center"/>
                </w:tcPr>
                <w:p>
                  <w:pPr>
                    <w:spacing w:line="240" w:lineRule="auto"/>
                    <w:jc w:val="center"/>
                    <w:rPr>
                      <w:rFonts w:hint="default" w:ascii="宋体" w:hAnsi="宋体" w:eastAsia="宋体" w:cs="宋体"/>
                      <w:b w:val="0"/>
                      <w:bCs w:val="0"/>
                      <w:color w:val="auto"/>
                      <w:kern w:val="0"/>
                      <w:sz w:val="21"/>
                      <w:szCs w:val="21"/>
                      <w:vertAlign w:val="baseline"/>
                      <w:lang w:val="en-US" w:eastAsia="zh-CN" w:bidi="ar-SA"/>
                    </w:rPr>
                  </w:pPr>
                  <w:r>
                    <w:rPr>
                      <w:rFonts w:hint="eastAsia" w:ascii="宋体" w:hAnsi="宋体" w:eastAsia="宋体" w:cs="宋体"/>
                      <w:b w:val="0"/>
                      <w:bCs w:val="0"/>
                      <w:color w:val="auto"/>
                      <w:kern w:val="0"/>
                      <w:sz w:val="21"/>
                      <w:szCs w:val="21"/>
                      <w:vertAlign w:val="baseline"/>
                      <w:lang w:val="en-US" w:eastAsia="zh-CN"/>
                    </w:rPr>
                    <w:t>展台展具</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10</w:t>
                  </w:r>
                </w:p>
              </w:tc>
              <w:tc>
                <w:tcPr>
                  <w:tcW w:w="1725" w:type="dxa"/>
                  <w:tcBorders>
                    <w:tl2br w:val="nil"/>
                    <w:tr2bl w:val="nil"/>
                  </w:tcBorders>
                  <w:vAlign w:val="center"/>
                </w:tcPr>
                <w:p>
                  <w:pPr>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bCs/>
                      <w:color w:val="auto"/>
                      <w:kern w:val="0"/>
                      <w:sz w:val="21"/>
                      <w:szCs w:val="21"/>
                      <w:vertAlign w:val="baseline"/>
                      <w:lang w:val="en-US" w:eastAsia="zh-CN"/>
                    </w:rPr>
                    <w:t>9</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2022-</w:t>
                  </w:r>
                  <w:r>
                    <w:rPr>
                      <w:rFonts w:hint="eastAsia" w:ascii="Times New Roman" w:hAnsi="Times New Roman" w:eastAsia="宋体" w:cs="Times New Roman"/>
                      <w:bCs/>
                      <w:color w:val="auto"/>
                      <w:kern w:val="0"/>
                      <w:sz w:val="21"/>
                      <w:szCs w:val="21"/>
                      <w:vertAlign w:val="baseline"/>
                      <w:lang w:val="en-US" w:eastAsia="zh-CN"/>
                    </w:rPr>
                    <w:t>8</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cs="Times New Roman"/>
                      <w:bCs/>
                      <w:color w:val="auto"/>
                      <w:kern w:val="0"/>
                      <w:sz w:val="21"/>
                      <w:szCs w:val="21"/>
                      <w:vertAlign w:val="baseline"/>
                      <w:lang w:val="en-US" w:eastAsia="zh-CN"/>
                    </w:rPr>
                    <w:t>26</w:t>
                  </w:r>
                </w:p>
              </w:tc>
              <w:tc>
                <w:tcPr>
                  <w:tcW w:w="1725" w:type="dxa"/>
                  <w:tcBorders>
                    <w:tl2br w:val="nil"/>
                    <w:tr2bl w:val="nil"/>
                  </w:tcBorders>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展台展具</w:t>
                  </w:r>
                </w:p>
              </w:tc>
              <w:tc>
                <w:tcPr>
                  <w:tcW w:w="1725" w:type="dxa"/>
                  <w:tcBorders>
                    <w:tl2br w:val="nil"/>
                    <w:tr2bl w:val="nil"/>
                  </w:tcBorders>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cs="Times New Roman"/>
                      <w:bCs/>
                      <w:color w:val="auto"/>
                      <w:kern w:val="0"/>
                      <w:sz w:val="21"/>
                      <w:szCs w:val="21"/>
                      <w:vertAlign w:val="baseline"/>
                      <w:lang w:val="en-US" w:eastAsia="zh-CN"/>
                    </w:rPr>
                    <w:t>10</w:t>
                  </w:r>
                </w:p>
              </w:tc>
              <w:tc>
                <w:tcPr>
                  <w:tcW w:w="1725" w:type="dxa"/>
                  <w:tcBorders>
                    <w:tl2br w:val="nil"/>
                    <w:tr2bl w:val="nil"/>
                  </w:tcBorders>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cs="Times New Roman"/>
                      <w:bCs/>
                      <w:color w:val="auto"/>
                      <w:kern w:val="0"/>
                      <w:sz w:val="21"/>
                      <w:szCs w:val="21"/>
                      <w:vertAlign w:val="baseline"/>
                      <w:lang w:val="en-US" w:eastAsia="zh-CN"/>
                    </w:rPr>
                    <w:t>9</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44" w:type="dxa"/>
                  <w:tcBorders>
                    <w:tl2br w:val="nil"/>
                    <w:tr2bl w:val="nil"/>
                  </w:tcBorders>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2022-</w:t>
                  </w:r>
                  <w:r>
                    <w:rPr>
                      <w:rFonts w:hint="eastAsia" w:ascii="Times New Roman" w:hAnsi="Times New Roman" w:eastAsia="宋体" w:cs="Times New Roman"/>
                      <w:bCs/>
                      <w:color w:val="auto"/>
                      <w:kern w:val="0"/>
                      <w:sz w:val="21"/>
                      <w:szCs w:val="21"/>
                      <w:vertAlign w:val="baseline"/>
                      <w:lang w:val="en-US" w:eastAsia="zh-CN"/>
                    </w:rPr>
                    <w:t>8</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cs="Times New Roman"/>
                      <w:bCs/>
                      <w:color w:val="auto"/>
                      <w:kern w:val="0"/>
                      <w:sz w:val="21"/>
                      <w:szCs w:val="21"/>
                      <w:vertAlign w:val="baseline"/>
                      <w:lang w:val="en-US" w:eastAsia="zh-CN"/>
                    </w:rPr>
                    <w:t>27</w:t>
                  </w:r>
                </w:p>
              </w:tc>
              <w:tc>
                <w:tcPr>
                  <w:tcW w:w="1725" w:type="dxa"/>
                  <w:tcBorders>
                    <w:tl2br w:val="nil"/>
                    <w:tr2bl w:val="nil"/>
                  </w:tcBorders>
                  <w:vAlign w:val="center"/>
                </w:tcPr>
                <w:p>
                  <w:pPr>
                    <w:spacing w:line="240" w:lineRule="auto"/>
                    <w:jc w:val="center"/>
                    <w:rPr>
                      <w:rFonts w:hint="eastAsia" w:ascii="宋体" w:hAnsi="宋体" w:eastAsia="宋体" w:cs="宋体"/>
                      <w:b w:val="0"/>
                      <w:bCs w:val="0"/>
                      <w:color w:val="auto"/>
                      <w:kern w:val="0"/>
                      <w:sz w:val="21"/>
                      <w:szCs w:val="21"/>
                      <w:vertAlign w:val="baseline"/>
                      <w:lang w:val="en-US" w:eastAsia="zh-CN"/>
                    </w:rPr>
                  </w:pPr>
                  <w:r>
                    <w:rPr>
                      <w:rFonts w:hint="eastAsia" w:ascii="宋体" w:hAnsi="宋体" w:eastAsia="宋体" w:cs="宋体"/>
                      <w:b w:val="0"/>
                      <w:bCs w:val="0"/>
                      <w:color w:val="auto"/>
                      <w:kern w:val="0"/>
                      <w:sz w:val="21"/>
                      <w:szCs w:val="21"/>
                      <w:vertAlign w:val="baseline"/>
                      <w:lang w:val="en-US" w:eastAsia="zh-CN"/>
                    </w:rPr>
                    <w:t>展台展具</w:t>
                  </w:r>
                </w:p>
              </w:tc>
              <w:tc>
                <w:tcPr>
                  <w:tcW w:w="1725" w:type="dxa"/>
                  <w:tcBorders>
                    <w:tl2br w:val="nil"/>
                    <w:tr2bl w:val="nil"/>
                  </w:tcBorders>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cs="Times New Roman"/>
                      <w:bCs/>
                      <w:color w:val="auto"/>
                      <w:kern w:val="0"/>
                      <w:sz w:val="21"/>
                      <w:szCs w:val="21"/>
                      <w:vertAlign w:val="baseline"/>
                      <w:lang w:val="en-US" w:eastAsia="zh-CN"/>
                    </w:rPr>
                    <w:t>10</w:t>
                  </w:r>
                </w:p>
              </w:tc>
              <w:tc>
                <w:tcPr>
                  <w:tcW w:w="1725" w:type="dxa"/>
                  <w:tcBorders>
                    <w:tl2br w:val="nil"/>
                    <w:tr2bl w:val="nil"/>
                  </w:tcBorders>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cs="Times New Roman"/>
                      <w:bCs/>
                      <w:color w:val="auto"/>
                      <w:kern w:val="0"/>
                      <w:sz w:val="21"/>
                      <w:szCs w:val="21"/>
                      <w:vertAlign w:val="baseline"/>
                      <w:lang w:val="en-US" w:eastAsia="zh-CN"/>
                    </w:rPr>
                    <w:t>9</w:t>
                  </w:r>
                </w:p>
              </w:tc>
              <w:tc>
                <w:tcPr>
                  <w:tcW w:w="1725" w:type="dxa"/>
                  <w:tcBorders>
                    <w:tl2br w:val="nil"/>
                    <w:tr2bl w:val="nil"/>
                  </w:tcBorders>
                  <w:vAlign w:val="center"/>
                </w:tcPr>
                <w:p>
                  <w:pPr>
                    <w:keepNext w:val="0"/>
                    <w:keepLines w:val="0"/>
                    <w:pageBreakBefore w:val="0"/>
                    <w:kinsoku/>
                    <w:wordWrap/>
                    <w:overflowPunct/>
                    <w:topLinePunct w:val="0"/>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w:t>
                  </w:r>
                </w:p>
              </w:tc>
            </w:tr>
          </w:tbl>
          <w:p>
            <w:pPr>
              <w:rPr>
                <w:rFonts w:hint="default"/>
                <w:color w:val="0000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bookmarkStart w:id="36" w:name="_Toc8641"/>
            <w:r>
              <w:rPr>
                <w:rFonts w:hint="eastAsia"/>
                <w:color w:val="auto"/>
                <w:lang w:val="en-US" w:eastAsia="zh-CN"/>
              </w:rPr>
              <w:t>7.2 污染物排放监测结果</w:t>
            </w:r>
          </w:p>
          <w:p>
            <w:pPr>
              <w:pStyle w:val="4"/>
              <w:rPr>
                <w:rFonts w:hint="eastAsia"/>
                <w:color w:val="auto"/>
                <w:lang w:val="en-US" w:eastAsia="zh-CN"/>
              </w:rPr>
            </w:pPr>
            <w:r>
              <w:rPr>
                <w:rFonts w:hint="eastAsia"/>
                <w:color w:val="auto"/>
                <w:lang w:val="en-US" w:eastAsia="zh-CN"/>
              </w:rPr>
              <w:t>7.2.1废水监测结果</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项目厂区废水排口废水监测结果见下表。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-2</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eastAsia="zh-CN"/>
              </w:rPr>
              <w:t>废水</w:t>
            </w:r>
            <w:r>
              <w:rPr>
                <w:rFonts w:hint="default" w:ascii="Times New Roman" w:hAnsi="Times New Roman" w:eastAsia="黑体" w:cs="Times New Roman"/>
                <w:b/>
                <w:color w:val="auto"/>
                <w:sz w:val="21"/>
                <w:szCs w:val="21"/>
              </w:rPr>
              <w:t>监测结果统计表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5"/>
              <w:gridCol w:w="2648"/>
              <w:gridCol w:w="1300"/>
              <w:gridCol w:w="1300"/>
              <w:gridCol w:w="1300"/>
              <w:gridCol w:w="1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679" w:type="pct"/>
                  <w:vMerge w:val="restar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eastAsia="zh-CN"/>
                    </w:rPr>
                    <w:t>采样点位</w:t>
                  </w:r>
                </w:p>
              </w:tc>
              <w:tc>
                <w:tcPr>
                  <w:tcW w:w="1456" w:type="pct"/>
                  <w:vMerge w:val="restar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检测项目</w:t>
                  </w:r>
                  <w:r>
                    <w:rPr>
                      <w:rFonts w:hint="default" w:ascii="Times New Roman" w:hAnsi="Times New Roman" w:eastAsia="宋体" w:cs="Times New Roman"/>
                      <w:sz w:val="21"/>
                      <w:szCs w:val="21"/>
                      <w:highlight w:val="none"/>
                      <w:lang w:val="en-US" w:eastAsia="zh-CN"/>
                    </w:rPr>
                    <w:t>及单位</w:t>
                  </w:r>
                </w:p>
              </w:tc>
              <w:tc>
                <w:tcPr>
                  <w:tcW w:w="2863" w:type="pct"/>
                  <w:gridSpan w:val="4"/>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Merge w:val="continue"/>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rPr>
                  </w:pPr>
                </w:p>
              </w:tc>
              <w:tc>
                <w:tcPr>
                  <w:tcW w:w="1456" w:type="pct"/>
                  <w:vMerge w:val="continue"/>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rPr>
                  </w:pPr>
                </w:p>
              </w:tc>
              <w:tc>
                <w:tcPr>
                  <w:tcW w:w="715" w:type="pc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第一次</w:t>
                  </w:r>
                </w:p>
              </w:tc>
              <w:tc>
                <w:tcPr>
                  <w:tcW w:w="715" w:type="pc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第二次</w:t>
                  </w:r>
                </w:p>
              </w:tc>
              <w:tc>
                <w:tcPr>
                  <w:tcW w:w="715" w:type="pc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第三次</w:t>
                  </w:r>
                </w:p>
              </w:tc>
              <w:tc>
                <w:tcPr>
                  <w:tcW w:w="715" w:type="pct"/>
                  <w:vAlign w:val="center"/>
                </w:tcPr>
                <w:p>
                  <w:pPr>
                    <w:keepNext w:val="0"/>
                    <w:keepLines w:val="0"/>
                    <w:suppressLineNumbers w:val="0"/>
                    <w:adjustRightInd w:val="0"/>
                    <w:snapToGrid w:val="0"/>
                    <w:spacing w:before="0" w:beforeAutospacing="0" w:after="0" w:afterAutospacing="0" w:line="221" w:lineRule="auto"/>
                    <w:ind w:left="0" w:right="0"/>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eastAsia="zh-CN"/>
                    </w:rPr>
                    <w:t>第四次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79" w:type="pct"/>
                  <w:vMerge w:val="restart"/>
                  <w:vAlign w:val="center"/>
                </w:tcPr>
                <w:p>
                  <w:pPr>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color w:val="auto"/>
                      <w:sz w:val="21"/>
                      <w:szCs w:val="21"/>
                      <w:lang w:val="en-US" w:eastAsia="zh-CN"/>
                    </w:rPr>
                    <w:t>污水设备排口</w:t>
                  </w:r>
                </w:p>
              </w:tc>
              <w:tc>
                <w:tcPr>
                  <w:tcW w:w="1456" w:type="pct"/>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pH（无量纲）</w:t>
                  </w:r>
                </w:p>
              </w:tc>
              <w:tc>
                <w:tcPr>
                  <w:tcW w:w="715"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7.3</w:t>
                  </w:r>
                </w:p>
              </w:tc>
              <w:tc>
                <w:tcPr>
                  <w:tcW w:w="715"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7.1</w:t>
                  </w:r>
                </w:p>
              </w:tc>
              <w:tc>
                <w:tcPr>
                  <w:tcW w:w="715"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7.2</w:t>
                  </w:r>
                </w:p>
              </w:tc>
              <w:tc>
                <w:tcPr>
                  <w:tcW w:w="715" w:type="pc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Merge w:val="continue"/>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6" w:type="pct"/>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shd w:val="clear" w:color="auto" w:fill="auto"/>
                      <w:lang w:val="en-US" w:eastAsia="zh-CN"/>
                    </w:rPr>
                    <w:t>化学需氧量（</w:t>
                  </w:r>
                  <w:r>
                    <w:rPr>
                      <w:rFonts w:hint="default" w:ascii="Times New Roman" w:hAnsi="Times New Roman" w:eastAsia="宋体" w:cs="Times New Roman"/>
                      <w:color w:val="auto"/>
                      <w:sz w:val="21"/>
                      <w:szCs w:val="21"/>
                      <w:shd w:val="clear" w:color="auto" w:fill="auto"/>
                    </w:rPr>
                    <w:t>mg/L</w:t>
                  </w:r>
                  <w:r>
                    <w:rPr>
                      <w:rFonts w:hint="default" w:ascii="Times New Roman" w:hAnsi="Times New Roman" w:eastAsia="宋体" w:cs="Times New Roman"/>
                      <w:color w:val="auto"/>
                      <w:sz w:val="21"/>
                      <w:szCs w:val="21"/>
                      <w:shd w:val="clear" w:color="auto" w:fill="auto"/>
                      <w:lang w:eastAsia="zh-CN"/>
                    </w:rPr>
                    <w:t>）</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43</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Merge w:val="continue"/>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6" w:type="pct"/>
                  <w:vAlign w:val="center"/>
                </w:tcPr>
                <w:p>
                  <w:pPr>
                    <w:jc w:val="center"/>
                    <w:rPr>
                      <w:rFonts w:hint="default" w:ascii="Times New Roman" w:hAnsi="Times New Roman" w:eastAsia="宋体" w:cs="Times New Roman"/>
                      <w:color w:val="auto"/>
                      <w:sz w:val="21"/>
                      <w:szCs w:val="21"/>
                      <w:shd w:val="clear" w:color="auto" w:fill="auto"/>
                      <w:lang w:val="en-US" w:eastAsia="zh-CN"/>
                    </w:rPr>
                  </w:pPr>
                  <w:r>
                    <w:rPr>
                      <w:rFonts w:hint="default" w:ascii="Times New Roman" w:hAnsi="Times New Roman" w:eastAsia="宋体" w:cs="Times New Roman"/>
                      <w:color w:val="auto"/>
                      <w:sz w:val="21"/>
                      <w:szCs w:val="21"/>
                      <w:shd w:val="clear" w:color="auto" w:fill="auto"/>
                      <w:lang w:val="en-US" w:eastAsia="zh-CN"/>
                    </w:rPr>
                    <w:t>五日生化需氧量（</w:t>
                  </w:r>
                  <w:r>
                    <w:rPr>
                      <w:rFonts w:hint="default" w:ascii="Times New Roman" w:hAnsi="Times New Roman" w:eastAsia="宋体" w:cs="Times New Roman"/>
                      <w:color w:val="auto"/>
                      <w:sz w:val="21"/>
                      <w:szCs w:val="21"/>
                      <w:shd w:val="clear" w:color="auto" w:fill="auto"/>
                    </w:rPr>
                    <w:t>mg/L</w:t>
                  </w:r>
                  <w:r>
                    <w:rPr>
                      <w:rFonts w:hint="default" w:ascii="Times New Roman" w:hAnsi="Times New Roman" w:eastAsia="宋体" w:cs="Times New Roman"/>
                      <w:color w:val="auto"/>
                      <w:sz w:val="21"/>
                      <w:szCs w:val="21"/>
                      <w:shd w:val="clear" w:color="auto" w:fill="auto"/>
                      <w:lang w:eastAsia="zh-CN"/>
                    </w:rPr>
                    <w:t>）</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9.6</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10.1</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8.8</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Merge w:val="continue"/>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6" w:type="pct"/>
                  <w:vAlign w:val="center"/>
                </w:tcPr>
                <w:p>
                  <w:pPr>
                    <w:jc w:val="center"/>
                    <w:rPr>
                      <w:rFonts w:hint="default" w:ascii="Times New Roman" w:hAnsi="Times New Roman" w:eastAsia="宋体" w:cs="Times New Roman"/>
                      <w:color w:val="auto"/>
                      <w:sz w:val="21"/>
                      <w:szCs w:val="21"/>
                      <w:shd w:val="clear" w:color="auto" w:fill="auto"/>
                      <w:lang w:val="en-US" w:eastAsia="zh-CN"/>
                    </w:rPr>
                  </w:pPr>
                  <w:r>
                    <w:rPr>
                      <w:rFonts w:hint="default" w:ascii="Times New Roman" w:hAnsi="Times New Roman" w:eastAsia="宋体" w:cs="Times New Roman"/>
                      <w:color w:val="auto"/>
                      <w:sz w:val="21"/>
                      <w:szCs w:val="21"/>
                      <w:highlight w:val="none"/>
                      <w:lang w:val="en-US" w:eastAsia="zh-CN"/>
                    </w:rPr>
                    <w:t>悬浮物</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mg/L</w:t>
                  </w:r>
                  <w:r>
                    <w:rPr>
                      <w:rFonts w:hint="default" w:ascii="Times New Roman" w:hAnsi="Times New Roman" w:eastAsia="宋体" w:cs="Times New Roman"/>
                      <w:color w:val="auto"/>
                      <w:sz w:val="21"/>
                      <w:szCs w:val="21"/>
                      <w:highlight w:val="none"/>
                      <w:lang w:eastAsia="zh-CN"/>
                    </w:rPr>
                    <w:t>）</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Merge w:val="continue"/>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p>
              </w:tc>
              <w:tc>
                <w:tcPr>
                  <w:tcW w:w="1456" w:type="pct"/>
                  <w:vAlign w:val="center"/>
                </w:tcPr>
                <w:p>
                  <w:pPr>
                    <w:jc w:val="center"/>
                    <w:rPr>
                      <w:rFonts w:hint="default" w:ascii="Times New Roman" w:hAnsi="Times New Roman" w:eastAsia="宋体" w:cs="Times New Roman"/>
                      <w:color w:val="auto"/>
                      <w:sz w:val="21"/>
                      <w:szCs w:val="21"/>
                      <w:shd w:val="clear" w:color="auto" w:fill="auto"/>
                      <w:lang w:val="en-US" w:eastAsia="zh-CN"/>
                    </w:rPr>
                  </w:pPr>
                  <w:r>
                    <w:rPr>
                      <w:rFonts w:hint="default" w:ascii="Times New Roman" w:hAnsi="Times New Roman" w:eastAsia="宋体" w:cs="Times New Roman"/>
                      <w:color w:val="auto"/>
                      <w:sz w:val="21"/>
                      <w:szCs w:val="21"/>
                      <w:shd w:val="clear" w:color="auto" w:fill="auto"/>
                      <w:lang w:val="en-US" w:eastAsia="zh-CN"/>
                    </w:rPr>
                    <w:t>氨氮（</w:t>
                  </w:r>
                  <w:r>
                    <w:rPr>
                      <w:rFonts w:hint="default" w:ascii="Times New Roman" w:hAnsi="Times New Roman" w:eastAsia="宋体" w:cs="Times New Roman"/>
                      <w:color w:val="auto"/>
                      <w:sz w:val="21"/>
                      <w:szCs w:val="21"/>
                      <w:shd w:val="clear" w:color="auto" w:fill="auto"/>
                    </w:rPr>
                    <w:t>mg/L</w:t>
                  </w:r>
                  <w:r>
                    <w:rPr>
                      <w:rFonts w:hint="default" w:ascii="Times New Roman" w:hAnsi="Times New Roman" w:eastAsia="宋体" w:cs="Times New Roman"/>
                      <w:color w:val="auto"/>
                      <w:sz w:val="21"/>
                      <w:szCs w:val="21"/>
                      <w:shd w:val="clear" w:color="auto" w:fill="auto"/>
                      <w:lang w:eastAsia="zh-CN"/>
                    </w:rPr>
                    <w:t>）</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5.52</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5.18</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4.77</w:t>
                  </w:r>
                </w:p>
              </w:tc>
              <w:tc>
                <w:tcPr>
                  <w:tcW w:w="122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9" w:type="pct"/>
                  <w:vAlign w:val="center"/>
                </w:tcPr>
                <w:p>
                  <w:pPr>
                    <w:keepNext w:val="0"/>
                    <w:keepLines w:val="0"/>
                    <w:widowControl/>
                    <w:suppressLineNumbers w:val="0"/>
                    <w:adjustRightInd w:val="0"/>
                    <w:snapToGrid w:val="0"/>
                    <w:spacing w:before="0" w:beforeAutospacing="0" w:after="0" w:afterAutospacing="0"/>
                    <w:ind w:left="0" w:right="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val="en-US" w:eastAsia="zh-CN" w:bidi="ar"/>
                    </w:rPr>
                    <w:t>备注</w:t>
                  </w:r>
                </w:p>
              </w:tc>
              <w:tc>
                <w:tcPr>
                  <w:tcW w:w="4320" w:type="pct"/>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kern w:val="2"/>
                      <w:sz w:val="21"/>
                      <w:szCs w:val="21"/>
                      <w:highlight w:val="none"/>
                      <w:lang w:val="en-US" w:eastAsia="zh-CN" w:bidi="ar-SA"/>
                    </w:rPr>
                    <w:t>/</w:t>
                  </w:r>
                </w:p>
              </w:tc>
            </w:tr>
          </w:tbl>
          <w:p>
            <w:pPr>
              <w:pStyle w:val="31"/>
              <w:keepNext w:val="0"/>
              <w:keepLines w:val="0"/>
              <w:pageBreakBefore w:val="0"/>
              <w:widowControl w:val="0"/>
              <w:kinsoku/>
              <w:wordWrap/>
              <w:overflowPunct/>
              <w:topLinePunct w:val="0"/>
              <w:autoSpaceDE/>
              <w:autoSpaceDN/>
              <w:bidi w:val="0"/>
              <w:adjustRightInd w:val="0"/>
              <w:snapToGrid/>
              <w:ind w:firstLine="480" w:firstLineChars="200"/>
              <w:jc w:val="both"/>
              <w:textAlignment w:val="auto"/>
              <w:rPr>
                <w:rFonts w:hint="default" w:cs="Times New Roman"/>
                <w:color w:val="auto"/>
                <w:sz w:val="24"/>
                <w:szCs w:val="32"/>
                <w:lang w:val="en-US" w:eastAsia="zh-CN"/>
              </w:rPr>
            </w:pPr>
            <w:r>
              <w:rPr>
                <w:rFonts w:hint="default" w:cs="Times New Roman"/>
                <w:color w:val="auto"/>
                <w:sz w:val="24"/>
                <w:szCs w:val="32"/>
                <w:lang w:val="en-US" w:eastAsia="zh-CN"/>
              </w:rPr>
              <w:t>监测结果表明：验收监测期间，项目厂区废水排口污染物排放浓度</w:t>
            </w:r>
            <w:r>
              <w:rPr>
                <w:rFonts w:hint="eastAsia" w:cs="Times New Roman"/>
                <w:color w:val="auto"/>
                <w:sz w:val="24"/>
                <w:szCs w:val="32"/>
                <w:lang w:val="en-US" w:eastAsia="zh-CN"/>
              </w:rPr>
              <w:t>均</w:t>
            </w:r>
            <w:r>
              <w:rPr>
                <w:rFonts w:hint="default" w:cs="Times New Roman"/>
                <w:color w:val="auto"/>
                <w:sz w:val="24"/>
                <w:szCs w:val="32"/>
                <w:lang w:val="en-US" w:eastAsia="zh-CN"/>
              </w:rPr>
              <w:t>满足</w:t>
            </w:r>
            <w:r>
              <w:rPr>
                <w:rFonts w:hint="eastAsia" w:ascii="Times New Roman" w:hAnsi="Times New Roman"/>
                <w:b w:val="0"/>
                <w:bCs w:val="0"/>
                <w:color w:val="auto"/>
                <w:sz w:val="24"/>
                <w:lang w:val="en-US" w:eastAsia="zh-CN"/>
              </w:rPr>
              <w:t>《污水综合排放标准》（GB8978-1996）一级标准</w:t>
            </w:r>
            <w:r>
              <w:rPr>
                <w:rFonts w:hint="eastAsia" w:cs="Times New Roman"/>
                <w:color w:val="auto"/>
                <w:sz w:val="24"/>
                <w:szCs w:val="32"/>
                <w:lang w:val="en-US" w:eastAsia="zh-CN"/>
              </w:rPr>
              <w:t>。</w:t>
            </w:r>
          </w:p>
          <w:bookmarkEnd w:id="36"/>
          <w:p>
            <w:pPr>
              <w:pStyle w:val="4"/>
              <w:rPr>
                <w:rFonts w:hint="eastAsia"/>
                <w:color w:val="auto"/>
                <w:lang w:val="en-US" w:eastAsia="zh-CN"/>
              </w:rPr>
            </w:pPr>
            <w:bookmarkStart w:id="37" w:name="_Toc27260"/>
            <w:r>
              <w:rPr>
                <w:rFonts w:hint="eastAsia"/>
                <w:color w:val="auto"/>
                <w:lang w:val="en-US" w:eastAsia="zh-CN"/>
              </w:rPr>
              <w:t>7.2.2 噪声监测结果</w:t>
            </w:r>
            <w:bookmarkEnd w:id="37"/>
          </w:p>
          <w:p>
            <w:pPr>
              <w:spacing w:line="360" w:lineRule="auto"/>
              <w:ind w:firstLine="480" w:firstLineChars="200"/>
              <w:rPr>
                <w:rFonts w:hint="default" w:ascii="Times New Roman" w:hAnsi="Times New Roman" w:eastAsia="黑体" w:cs="Times New Roman"/>
                <w:b/>
                <w:color w:val="auto"/>
                <w:sz w:val="21"/>
                <w:szCs w:val="21"/>
                <w:lang w:val="en-US" w:eastAsia="zh-CN"/>
              </w:rPr>
            </w:pPr>
            <w:r>
              <w:rPr>
                <w:rFonts w:hint="eastAsia" w:ascii="Times New Roman" w:hAnsi="Times New Roman" w:cs="Times New Roman"/>
                <w:color w:val="auto"/>
                <w:sz w:val="24"/>
                <w:szCs w:val="32"/>
                <w:lang w:val="en-US" w:eastAsia="zh-CN"/>
              </w:rPr>
              <w:t>噪声监测结果详见下表。</w:t>
            </w:r>
          </w:p>
          <w:p>
            <w:pPr>
              <w:keepNext w:val="0"/>
              <w:keepLines w:val="0"/>
              <w:pageBreakBefore w:val="0"/>
              <w:widowControl w:val="0"/>
              <w:kinsoku/>
              <w:wordWrap/>
              <w:overflowPunct/>
              <w:topLinePunct w:val="0"/>
              <w:autoSpaceDE/>
              <w:autoSpaceDN/>
              <w:bidi w:val="0"/>
              <w:adjustRightInd w:val="0"/>
              <w:snapToGrid/>
              <w:spacing w:line="360" w:lineRule="auto"/>
              <w:ind w:firstLine="420"/>
              <w:jc w:val="center"/>
              <w:textAlignment w:val="auto"/>
              <w:outlineLvl w:val="9"/>
              <w:rPr>
                <w:rFonts w:hint="default"/>
                <w:b/>
                <w:bCs/>
                <w:color w:val="auto"/>
                <w:lang w:val="en-US" w:eastAsia="zh-CN"/>
              </w:rPr>
            </w:pPr>
            <w:r>
              <w:rPr>
                <w:rFonts w:hint="default" w:ascii="Times New Roman" w:hAnsi="Times New Roman" w:eastAsia="黑体" w:cs="Times New Roman"/>
                <w:b/>
                <w:color w:val="auto"/>
                <w:sz w:val="21"/>
                <w:szCs w:val="21"/>
                <w:lang w:val="en-US" w:eastAsia="zh-CN"/>
              </w:rPr>
              <w:t>表7-</w:t>
            </w:r>
            <w:r>
              <w:rPr>
                <w:rFonts w:hint="eastAsia" w:ascii="Times New Roman" w:hAnsi="Times New Roman" w:eastAsia="黑体" w:cs="Times New Roman"/>
                <w:b/>
                <w:color w:val="auto"/>
                <w:sz w:val="21"/>
                <w:szCs w:val="21"/>
                <w:lang w:val="en-US" w:eastAsia="zh-CN"/>
              </w:rPr>
              <w:t>3</w:t>
            </w:r>
            <w:r>
              <w:rPr>
                <w:rFonts w:hint="default" w:ascii="Times New Roman" w:hAnsi="Times New Roman" w:eastAsia="黑体" w:cs="Times New Roman"/>
                <w:b/>
                <w:color w:val="auto"/>
                <w:sz w:val="21"/>
                <w:szCs w:val="21"/>
                <w:lang w:val="en-US" w:eastAsia="zh-CN"/>
              </w:rPr>
              <w:t xml:space="preserve"> 噪声监测结果统计表</w:t>
            </w:r>
            <w:r>
              <w:rPr>
                <w:rFonts w:hint="eastAsia" w:ascii="Times New Roman" w:hAnsi="Times New Roman" w:eastAsia="黑体" w:cs="Times New Roman"/>
                <w:b/>
                <w:color w:val="auto"/>
                <w:sz w:val="21"/>
                <w:szCs w:val="21"/>
                <w:lang w:val="en-US" w:eastAsia="zh-CN"/>
              </w:rPr>
              <w:t xml:space="preserve"> </w:t>
            </w:r>
            <w:r>
              <w:rPr>
                <w:rFonts w:hint="default" w:ascii="Times New Roman" w:hAnsi="Times New Roman" w:eastAsia="黑体" w:cs="Times New Roman"/>
                <w:b/>
                <w:color w:val="auto"/>
                <w:sz w:val="21"/>
                <w:szCs w:val="21"/>
                <w:lang w:val="en-US" w:eastAsia="zh-CN"/>
              </w:rPr>
              <w:t>（单位：dB</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A</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1"/>
              <w:gridCol w:w="3468"/>
              <w:gridCol w:w="3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检测</w:t>
                  </w:r>
                  <w:r>
                    <w:rPr>
                      <w:rFonts w:hint="default" w:ascii="Times New Roman" w:hAnsi="Times New Roman" w:eastAsia="宋体" w:cs="Times New Roman"/>
                      <w:color w:val="auto"/>
                      <w:sz w:val="21"/>
                      <w:szCs w:val="21"/>
                      <w:highlight w:val="none"/>
                      <w:vertAlign w:val="baseline"/>
                      <w:lang w:val="en-US" w:eastAsia="zh-CN"/>
                    </w:rPr>
                    <w:t>点位</w:t>
                  </w:r>
                </w:p>
              </w:tc>
              <w:tc>
                <w:tcPr>
                  <w:tcW w:w="369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昼间</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N1厂界东侧外1m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9:11~9:12</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N2厂界南侧外1m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9:18~9:19</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N3厂界西侧外1m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9:25~9:26</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N4厂界北侧外1m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9:33~9:34</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气象条件</w:t>
                  </w:r>
                </w:p>
              </w:tc>
              <w:tc>
                <w:tcPr>
                  <w:tcW w:w="3690" w:type="pct"/>
                  <w:gridSpan w:val="2"/>
                  <w:vAlign w:val="center"/>
                </w:tcPr>
                <w:p>
                  <w:pPr>
                    <w:keepNext w:val="0"/>
                    <w:keepLines w:val="0"/>
                    <w:widowControl/>
                    <w:suppressLineNumbers w:val="0"/>
                    <w:spacing w:before="0" w:beforeAutospacing="0" w:after="0" w:afterAutospacing="0"/>
                    <w:ind w:right="0" w:right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天气：多云；风速：1.8</w:t>
                  </w:r>
                  <w:r>
                    <w:rPr>
                      <w:rFonts w:hint="default" w:ascii="Times New Roman" w:hAnsi="Times New Roman" w:eastAsia="宋体" w:cs="Times New Roman"/>
                      <w:color w:val="auto"/>
                      <w:sz w:val="21"/>
                      <w:szCs w:val="21"/>
                      <w:highlight w:val="none"/>
                    </w:rPr>
                    <w:t>m/s</w:t>
                  </w:r>
                  <w:r>
                    <w:rPr>
                      <w:rFonts w:hint="default" w:ascii="Times New Roman" w:hAns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rPr>
                    <w:t>m/s</w:t>
                  </w:r>
                </w:p>
              </w:tc>
            </w:tr>
          </w:tbl>
          <w:p>
            <w:pPr>
              <w:spacing w:line="360" w:lineRule="auto"/>
              <w:ind w:left="0" w:leftChars="0" w:firstLine="422" w:firstLineChars="200"/>
              <w:jc w:val="center"/>
              <w:rPr>
                <w:rFonts w:hint="default" w:ascii="Times New Roman" w:hAnsi="Times New Roman" w:cs="Times New Roman"/>
                <w:color w:val="auto"/>
                <w:sz w:val="24"/>
                <w:szCs w:val="24"/>
                <w:lang w:eastAsia="zh-CN"/>
              </w:rPr>
            </w:pPr>
            <w:r>
              <w:rPr>
                <w:rFonts w:hint="default" w:ascii="Times New Roman" w:hAnsi="Times New Roman" w:eastAsia="黑体" w:cs="Times New Roman"/>
                <w:b/>
                <w:color w:val="auto"/>
                <w:sz w:val="21"/>
                <w:szCs w:val="21"/>
                <w:lang w:val="en-US" w:eastAsia="zh-CN"/>
              </w:rPr>
              <w:t>表7-</w:t>
            </w:r>
            <w:r>
              <w:rPr>
                <w:rFonts w:hint="eastAsia" w:ascii="Times New Roman" w:hAnsi="Times New Roman" w:eastAsia="黑体" w:cs="Times New Roman"/>
                <w:b/>
                <w:color w:val="auto"/>
                <w:sz w:val="21"/>
                <w:szCs w:val="21"/>
                <w:lang w:val="en-US" w:eastAsia="zh-CN"/>
              </w:rPr>
              <w:t>3（续表）</w:t>
            </w:r>
            <w:r>
              <w:rPr>
                <w:rFonts w:hint="default" w:ascii="Times New Roman" w:hAnsi="Times New Roman" w:eastAsia="黑体" w:cs="Times New Roman"/>
                <w:b/>
                <w:color w:val="auto"/>
                <w:sz w:val="21"/>
                <w:szCs w:val="21"/>
                <w:lang w:val="en-US" w:eastAsia="zh-CN"/>
              </w:rPr>
              <w:t xml:space="preserve"> 噪声监测结果统计表</w:t>
            </w:r>
            <w:r>
              <w:rPr>
                <w:rFonts w:hint="eastAsia" w:ascii="Times New Roman" w:hAnsi="Times New Roman" w:eastAsia="黑体" w:cs="Times New Roman"/>
                <w:b/>
                <w:color w:val="auto"/>
                <w:sz w:val="21"/>
                <w:szCs w:val="21"/>
                <w:lang w:val="en-US" w:eastAsia="zh-CN"/>
              </w:rPr>
              <w:t xml:space="preserve"> </w:t>
            </w:r>
            <w:r>
              <w:rPr>
                <w:rFonts w:hint="default" w:ascii="Times New Roman" w:hAnsi="Times New Roman" w:eastAsia="黑体" w:cs="Times New Roman"/>
                <w:b/>
                <w:color w:val="auto"/>
                <w:sz w:val="21"/>
                <w:szCs w:val="21"/>
                <w:lang w:val="en-US" w:eastAsia="zh-CN"/>
              </w:rPr>
              <w:t>（单位：dB</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A</w:t>
            </w:r>
            <w:r>
              <w:rPr>
                <w:rFonts w:hint="eastAsia" w:ascii="Times New Roman" w:hAnsi="Times New Roman" w:eastAsia="黑体" w:cs="Times New Roman"/>
                <w:b/>
                <w:color w:val="auto"/>
                <w:sz w:val="21"/>
                <w:szCs w:val="21"/>
                <w:lang w:val="en-US" w:eastAsia="zh-CN"/>
              </w:rPr>
              <w:t>)</w:t>
            </w:r>
            <w:r>
              <w:rPr>
                <w:rFonts w:hint="default" w:ascii="Times New Roman" w:hAnsi="Times New Roman" w:eastAsia="黑体" w:cs="Times New Roman"/>
                <w:b/>
                <w:color w:val="auto"/>
                <w:sz w:val="21"/>
                <w:szCs w:val="21"/>
                <w:lang w:val="en-US" w:eastAsia="zh-CN"/>
              </w:rPr>
              <w:t>）</w:t>
            </w:r>
          </w:p>
          <w:tbl>
            <w:tblPr>
              <w:tblStyle w:val="2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1"/>
              <w:gridCol w:w="3468"/>
              <w:gridCol w:w="32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b w:val="0"/>
                      <w:bCs/>
                      <w:color w:val="auto"/>
                      <w:sz w:val="21"/>
                      <w:szCs w:val="21"/>
                      <w:highlight w:val="none"/>
                      <w:lang w:val="en-US" w:eastAsia="zh-CN"/>
                    </w:rPr>
                    <w:t>检测</w:t>
                  </w:r>
                  <w:r>
                    <w:rPr>
                      <w:rFonts w:hint="default" w:ascii="Times New Roman" w:hAnsi="Times New Roman" w:eastAsia="宋体" w:cs="Times New Roman"/>
                      <w:color w:val="auto"/>
                      <w:sz w:val="21"/>
                      <w:szCs w:val="21"/>
                      <w:highlight w:val="none"/>
                      <w:vertAlign w:val="baseline"/>
                      <w:lang w:val="en-US" w:eastAsia="zh-CN"/>
                    </w:rPr>
                    <w:t>点位</w:t>
                  </w:r>
                </w:p>
              </w:tc>
              <w:tc>
                <w:tcPr>
                  <w:tcW w:w="3690"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昼间</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N1厂界东侧外1m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27</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28</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N2厂界南侧外1m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34</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35</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N3厂界西侧外1m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47</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48</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i w:val="0"/>
                      <w:color w:val="auto"/>
                      <w:kern w:val="0"/>
                      <w:sz w:val="21"/>
                      <w:szCs w:val="21"/>
                      <w:highlight w:val="none"/>
                      <w:u w:val="none"/>
                      <w:lang w:val="en-US" w:eastAsia="zh-CN" w:bidi="ar"/>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N4厂界北侧外1m</w:t>
                  </w:r>
                </w:p>
              </w:tc>
              <w:tc>
                <w:tcPr>
                  <w:tcW w:w="190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56</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13</w:t>
                  </w:r>
                  <w:r>
                    <w:rPr>
                      <w:rFonts w:hint="default" w:ascii="Times New Roman" w:hAnsi="Times New Roman" w:eastAsia="宋体" w:cs="Times New Roman"/>
                      <w:i w:val="0"/>
                      <w:color w:val="auto"/>
                      <w:kern w:val="0"/>
                      <w:sz w:val="21"/>
                      <w:szCs w:val="21"/>
                      <w:highlight w:val="none"/>
                      <w:u w:val="none"/>
                      <w:lang w:val="en-US" w:eastAsia="zh-CN" w:bidi="ar"/>
                    </w:rPr>
                    <w:t>:</w:t>
                  </w:r>
                  <w:r>
                    <w:rPr>
                      <w:rFonts w:hint="eastAsia" w:ascii="Times New Roman" w:hAnsi="Times New Roman" w:eastAsia="宋体" w:cs="Times New Roman"/>
                      <w:i w:val="0"/>
                      <w:color w:val="auto"/>
                      <w:kern w:val="0"/>
                      <w:sz w:val="21"/>
                      <w:szCs w:val="21"/>
                      <w:highlight w:val="none"/>
                      <w:u w:val="none"/>
                      <w:lang w:val="en-US" w:eastAsia="zh-CN" w:bidi="ar"/>
                    </w:rPr>
                    <w:t>57</w:t>
                  </w:r>
                </w:p>
              </w:tc>
              <w:tc>
                <w:tcPr>
                  <w:tcW w:w="1782"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eastAsia="宋体" w:cs="Times New Roman"/>
                      <w:i w:val="0"/>
                      <w:color w:val="auto"/>
                      <w:kern w:val="0"/>
                      <w:sz w:val="21"/>
                      <w:szCs w:val="21"/>
                      <w:highlight w:val="none"/>
                      <w:u w:val="none"/>
                      <w:lang w:val="en-US" w:eastAsia="zh-CN" w:bidi="ar"/>
                    </w:rPr>
                  </w:pPr>
                  <w:r>
                    <w:rPr>
                      <w:rFonts w:hint="eastAsia" w:ascii="Times New Roman" w:hAnsi="Times New Roman" w:eastAsia="宋体" w:cs="Times New Roman"/>
                      <w:i w:val="0"/>
                      <w:color w:val="auto"/>
                      <w:kern w:val="0"/>
                      <w:sz w:val="21"/>
                      <w:szCs w:val="21"/>
                      <w:highlight w:val="none"/>
                      <w:u w:val="none"/>
                      <w:lang w:val="en-US" w:eastAsia="zh-CN" w:bidi="ar"/>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309"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lang w:val="en-US" w:eastAsia="zh-CN"/>
                    </w:rPr>
                    <w:t>气象条件</w:t>
                  </w:r>
                </w:p>
              </w:tc>
              <w:tc>
                <w:tcPr>
                  <w:tcW w:w="3690" w:type="pct"/>
                  <w:gridSpan w:val="2"/>
                  <w:vAlign w:val="center"/>
                </w:tcPr>
                <w:p>
                  <w:pPr>
                    <w:keepNext w:val="0"/>
                    <w:keepLines w:val="0"/>
                    <w:widowControl/>
                    <w:suppressLineNumbers w:val="0"/>
                    <w:spacing w:before="0" w:beforeAutospacing="0" w:after="0" w:afterAutospacing="0"/>
                    <w:ind w:right="0" w:rightChars="0"/>
                    <w:jc w:val="center"/>
                    <w:textAlignment w:val="center"/>
                    <w:rPr>
                      <w:rFonts w:hint="default" w:ascii="Times New Roman" w:hAnsi="Times New Roman" w:eastAsia="宋体" w:cs="Times New Roman"/>
                      <w:i w:val="0"/>
                      <w:color w:val="auto"/>
                      <w:kern w:val="0"/>
                      <w:sz w:val="21"/>
                      <w:szCs w:val="21"/>
                      <w:highlight w:val="none"/>
                      <w:u w:val="none"/>
                      <w:lang w:val="en-US" w:eastAsia="zh-CN" w:bidi="ar"/>
                    </w:rPr>
                  </w:pPr>
                  <w:r>
                    <w:rPr>
                      <w:rFonts w:hint="default" w:ascii="Times New Roman" w:hAnsi="Times New Roman" w:eastAsia="宋体" w:cs="Times New Roman"/>
                      <w:color w:val="auto"/>
                      <w:kern w:val="2"/>
                      <w:sz w:val="21"/>
                      <w:szCs w:val="21"/>
                      <w:highlight w:val="none"/>
                      <w:lang w:val="en-US" w:eastAsia="zh-CN" w:bidi="ar-SA"/>
                    </w:rPr>
                    <w:t>天气：</w:t>
                  </w:r>
                  <w:r>
                    <w:rPr>
                      <w:rFonts w:hint="eastAsia" w:ascii="Times New Roman" w:hAnsi="Times New Roman" w:eastAsia="宋体" w:cs="Times New Roman"/>
                      <w:color w:val="auto"/>
                      <w:kern w:val="2"/>
                      <w:sz w:val="21"/>
                      <w:szCs w:val="21"/>
                      <w:highlight w:val="none"/>
                      <w:lang w:val="en-US" w:eastAsia="zh-CN" w:bidi="ar-SA"/>
                    </w:rPr>
                    <w:t>阴</w:t>
                  </w:r>
                  <w:r>
                    <w:rPr>
                      <w:rFonts w:hint="default" w:ascii="Times New Roman" w:hAnsi="Times New Roman" w:eastAsia="宋体" w:cs="Times New Roman"/>
                      <w:color w:val="auto"/>
                      <w:kern w:val="2"/>
                      <w:sz w:val="21"/>
                      <w:szCs w:val="21"/>
                      <w:highlight w:val="none"/>
                      <w:lang w:val="en-US" w:eastAsia="zh-CN" w:bidi="ar-SA"/>
                    </w:rPr>
                    <w:t>；风速：1.</w:t>
                  </w:r>
                  <w:r>
                    <w:rPr>
                      <w:rFonts w:hint="eastAsia" w:ascii="Times New Roman" w:hAnsi="Times New Roman" w:eastAsia="宋体" w:cs="Times New Roman"/>
                      <w:color w:val="auto"/>
                      <w:kern w:val="2"/>
                      <w:sz w:val="21"/>
                      <w:szCs w:val="21"/>
                      <w:highlight w:val="none"/>
                      <w:lang w:val="en-US" w:eastAsia="zh-CN" w:bidi="ar-SA"/>
                    </w:rPr>
                    <w:t>9</w:t>
                  </w:r>
                  <w:r>
                    <w:rPr>
                      <w:rFonts w:hint="default" w:ascii="Times New Roman" w:hAnsi="Times New Roman" w:eastAsia="宋体" w:cs="Times New Roman"/>
                      <w:color w:val="auto"/>
                      <w:sz w:val="21"/>
                      <w:szCs w:val="21"/>
                      <w:highlight w:val="none"/>
                    </w:rPr>
                    <w:t>m/s</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2.2</w:t>
                  </w:r>
                  <w:r>
                    <w:rPr>
                      <w:rFonts w:hint="default" w:ascii="Times New Roman" w:hAnsi="Times New Roman" w:eastAsia="宋体" w:cs="Times New Roman"/>
                      <w:color w:val="auto"/>
                      <w:sz w:val="21"/>
                      <w:szCs w:val="21"/>
                      <w:highlight w:val="none"/>
                    </w:rPr>
                    <w:t>m/s</w:t>
                  </w:r>
                </w:p>
              </w:tc>
            </w:tr>
          </w:tbl>
          <w:p>
            <w:pPr>
              <w:spacing w:line="360" w:lineRule="auto"/>
              <w:jc w:val="both"/>
              <w:rPr>
                <w:rFonts w:hint="default" w:ascii="Times New Roman" w:hAnsi="Times New Roman" w:cs="Times New Roman"/>
                <w:color w:val="auto"/>
                <w:sz w:val="24"/>
                <w:szCs w:val="24"/>
                <w:lang w:eastAsia="zh-CN"/>
              </w:rPr>
            </w:pPr>
          </w:p>
          <w:p>
            <w:pPr>
              <w:spacing w:line="360" w:lineRule="auto"/>
              <w:ind w:left="0" w:leftChars="0" w:firstLine="480" w:firstLineChars="200"/>
              <w:jc w:val="both"/>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eastAsia="zh-CN"/>
              </w:rPr>
              <w:t>验收监测结果表明：验收监测期间，</w:t>
            </w:r>
            <w:r>
              <w:rPr>
                <w:rFonts w:hint="default" w:ascii="Times New Roman" w:hAnsi="Times New Roman" w:cs="Times New Roman"/>
                <w:color w:val="auto"/>
                <w:sz w:val="24"/>
                <w:szCs w:val="24"/>
                <w:lang w:val="en-US" w:eastAsia="zh-CN"/>
              </w:rPr>
              <w:t>厂界噪声</w:t>
            </w:r>
            <w:r>
              <w:rPr>
                <w:rFonts w:hint="eastAsia" w:ascii="Times New Roman" w:hAnsi="Times New Roman" w:cs="Times New Roman"/>
                <w:color w:val="auto"/>
                <w:sz w:val="24"/>
                <w:szCs w:val="24"/>
                <w:lang w:val="en-US" w:eastAsia="zh-CN"/>
              </w:rPr>
              <w:t>能达到</w:t>
            </w:r>
            <w:r>
              <w:rPr>
                <w:rFonts w:hint="default" w:ascii="Times New Roman" w:hAnsi="Times New Roman" w:cs="Times New Roman"/>
                <w:color w:val="auto"/>
                <w:sz w:val="24"/>
                <w:szCs w:val="24"/>
                <w:lang w:val="en-US" w:eastAsia="zh-CN"/>
              </w:rPr>
              <w:t>《工业企业厂界环境噪声排放标准》（GB12348-2008）中3类</w:t>
            </w:r>
            <w:r>
              <w:rPr>
                <w:rFonts w:hint="eastAsia" w:ascii="Times New Roman" w:hAnsi="Times New Roman" w:cs="Times New Roman"/>
                <w:color w:val="auto"/>
                <w:sz w:val="24"/>
                <w:szCs w:val="24"/>
                <w:lang w:val="en-US" w:eastAsia="zh-CN"/>
              </w:rPr>
              <w:t>标准</w:t>
            </w:r>
            <w:r>
              <w:rPr>
                <w:rFonts w:hint="default" w:ascii="Times New Roman" w:hAnsi="Times New Roman" w:cs="Times New Roman"/>
                <w:color w:val="auto"/>
                <w:sz w:val="24"/>
                <w:szCs w:val="24"/>
                <w:lang w:val="en-US" w:eastAsia="zh-CN"/>
              </w:rPr>
              <w:t>。</w:t>
            </w:r>
          </w:p>
          <w:p>
            <w:pPr>
              <w:pStyle w:val="4"/>
              <w:rPr>
                <w:rFonts w:hint="eastAsia"/>
                <w:color w:val="auto"/>
                <w:lang w:val="en-US" w:eastAsia="zh-CN"/>
              </w:rPr>
            </w:pPr>
            <w:r>
              <w:rPr>
                <w:rFonts w:hint="eastAsia"/>
                <w:color w:val="auto"/>
                <w:lang w:val="en-US" w:eastAsia="zh-CN"/>
              </w:rPr>
              <w:t>7.2.3 废气监测结果</w:t>
            </w:r>
          </w:p>
          <w:p>
            <w:pPr>
              <w:spacing w:line="360" w:lineRule="auto"/>
              <w:ind w:firstLine="480" w:firstLineChars="200"/>
              <w:rPr>
                <w:rFonts w:hint="eastAsia" w:ascii="Times New Roman" w:hAnsi="Times New Roman"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1、无组织废气</w:t>
            </w:r>
          </w:p>
          <w:p>
            <w:pPr>
              <w:spacing w:line="360" w:lineRule="auto"/>
              <w:ind w:firstLine="480" w:firstLineChars="200"/>
              <w:rPr>
                <w:rFonts w:hint="eastAsia" w:ascii="Times New Roman" w:hAnsi="Times New Roman" w:cs="Times New Roman"/>
                <w:color w:val="auto"/>
                <w:sz w:val="24"/>
                <w:szCs w:val="32"/>
                <w:lang w:val="en-US" w:eastAsia="zh-CN"/>
              </w:rPr>
            </w:pPr>
            <w:r>
              <w:rPr>
                <w:rFonts w:hint="eastAsia" w:ascii="Times New Roman" w:hAnsi="Times New Roman" w:cs="Times New Roman"/>
                <w:color w:val="auto"/>
                <w:sz w:val="24"/>
                <w:szCs w:val="32"/>
                <w:lang w:val="en-US" w:eastAsia="zh-CN"/>
              </w:rPr>
              <w:t>项目有组织废气监测结果详见下表。</w:t>
            </w:r>
          </w:p>
          <w:p>
            <w:pPr>
              <w:keepNext w:val="0"/>
              <w:keepLines w:val="0"/>
              <w:pageBreakBefore w:val="0"/>
              <w:widowControl w:val="0"/>
              <w:kinsoku/>
              <w:wordWrap/>
              <w:overflowPunct/>
              <w:topLinePunct w:val="0"/>
              <w:autoSpaceDE/>
              <w:autoSpaceDN/>
              <w:bidi w:val="0"/>
              <w:adjustRightInd w:val="0"/>
              <w:snapToGrid/>
              <w:spacing w:line="360" w:lineRule="auto"/>
              <w:jc w:val="center"/>
              <w:textAlignment w:val="auto"/>
              <w:outlineLvl w:val="9"/>
              <w:rPr>
                <w:rFonts w:hint="default" w:ascii="Times New Roman" w:hAnsi="Times New Roman" w:eastAsia="黑体" w:cs="Times New Roman"/>
                <w:b/>
                <w:color w:val="auto"/>
                <w:sz w:val="21"/>
                <w:szCs w:val="21"/>
              </w:rPr>
            </w:pPr>
            <w:r>
              <w:rPr>
                <w:rFonts w:hint="default" w:ascii="Times New Roman" w:hAnsi="Times New Roman" w:eastAsia="黑体" w:cs="Times New Roman"/>
                <w:b/>
                <w:color w:val="auto"/>
                <w:sz w:val="21"/>
                <w:szCs w:val="21"/>
              </w:rPr>
              <w:t>表</w:t>
            </w:r>
            <w:r>
              <w:rPr>
                <w:rFonts w:hint="default" w:ascii="Times New Roman" w:hAnsi="Times New Roman" w:eastAsia="黑体" w:cs="Times New Roman"/>
                <w:b/>
                <w:color w:val="auto"/>
                <w:sz w:val="21"/>
                <w:szCs w:val="21"/>
                <w:lang w:val="en-US" w:eastAsia="zh-CN"/>
              </w:rPr>
              <w:t>7</w:t>
            </w:r>
            <w:r>
              <w:rPr>
                <w:rFonts w:hint="eastAsia" w:ascii="Times New Roman" w:hAnsi="Times New Roman" w:eastAsia="黑体" w:cs="Times New Roman"/>
                <w:b/>
                <w:color w:val="auto"/>
                <w:sz w:val="21"/>
                <w:szCs w:val="21"/>
                <w:lang w:val="en-US" w:eastAsia="zh-CN"/>
              </w:rPr>
              <w:t>-4</w:t>
            </w:r>
            <w:r>
              <w:rPr>
                <w:rFonts w:hint="default" w:ascii="Times New Roman" w:hAnsi="Times New Roman" w:eastAsia="黑体" w:cs="Times New Roman"/>
                <w:b/>
                <w:color w:val="auto"/>
                <w:sz w:val="21"/>
                <w:szCs w:val="21"/>
              </w:rPr>
              <w:t xml:space="preserve"> </w:t>
            </w:r>
            <w:r>
              <w:rPr>
                <w:rFonts w:hint="eastAsia" w:ascii="Times New Roman" w:hAnsi="Times New Roman" w:eastAsia="黑体" w:cs="Times New Roman"/>
                <w:b/>
                <w:color w:val="auto"/>
                <w:sz w:val="21"/>
                <w:szCs w:val="21"/>
                <w:lang w:val="en-US" w:eastAsia="zh-CN"/>
              </w:rPr>
              <w:t>无组织</w:t>
            </w:r>
            <w:r>
              <w:rPr>
                <w:rFonts w:hint="default" w:ascii="Times New Roman" w:hAnsi="Times New Roman" w:eastAsia="黑体" w:cs="Times New Roman"/>
                <w:b/>
                <w:color w:val="auto"/>
                <w:sz w:val="21"/>
                <w:szCs w:val="21"/>
                <w:lang w:val="en-US" w:eastAsia="zh-CN"/>
              </w:rPr>
              <w:t>废气</w:t>
            </w:r>
            <w:r>
              <w:rPr>
                <w:rFonts w:hint="default" w:ascii="Times New Roman" w:hAnsi="Times New Roman" w:eastAsia="黑体" w:cs="Times New Roman"/>
                <w:b/>
                <w:color w:val="auto"/>
                <w:sz w:val="21"/>
                <w:szCs w:val="21"/>
              </w:rPr>
              <w:t>监测结果统计表</w:t>
            </w:r>
          </w:p>
          <w:tbl>
            <w:tblPr>
              <w:tblStyle w:val="23"/>
              <w:tblW w:w="9094"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49"/>
              <w:gridCol w:w="2156"/>
              <w:gridCol w:w="136"/>
              <w:gridCol w:w="1199"/>
              <w:gridCol w:w="189"/>
              <w:gridCol w:w="1146"/>
              <w:gridCol w:w="242"/>
              <w:gridCol w:w="1093"/>
              <w:gridCol w:w="295"/>
              <w:gridCol w:w="1041"/>
              <w:gridCol w:w="3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检测项目及单位</w:t>
                  </w:r>
                </w:p>
              </w:tc>
              <w:tc>
                <w:tcPr>
                  <w:tcW w:w="1260" w:type="pct"/>
                  <w:gridSpan w:val="2"/>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检测频次</w:t>
                  </w:r>
                </w:p>
              </w:tc>
              <w:tc>
                <w:tcPr>
                  <w:tcW w:w="3053" w:type="pct"/>
                  <w:gridSpan w:val="8"/>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检测点位及结果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1260"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G1上风向</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G2下风向</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G3下风向</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G4下风向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颗粒物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0.107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0.115</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0.257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0.227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0.237</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0.308</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0.337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0.297</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0.722</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0.673</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0.719</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甲苯（</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二甲苯</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0.80</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0.74</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0.73</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0.97</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0.96</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0.92</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0.94</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0.91</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0.91</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60"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0.92</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0.82</w:t>
                  </w:r>
                </w:p>
              </w:tc>
              <w:tc>
                <w:tcPr>
                  <w:tcW w:w="763"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0.92</w:t>
                  </w:r>
                </w:p>
              </w:tc>
              <w:tc>
                <w:tcPr>
                  <w:tcW w:w="76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86"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备注</w:t>
                  </w:r>
                </w:p>
              </w:tc>
              <w:tc>
                <w:tcPr>
                  <w:tcW w:w="4313" w:type="pct"/>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2022年8月24日采样期间天气多云；风向为北风；风速范围为1.7m/s~1.9m/s。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检测项目及单位</w:t>
                  </w:r>
                </w:p>
              </w:tc>
              <w:tc>
                <w:tcPr>
                  <w:tcW w:w="1212" w:type="pct"/>
                  <w:gridSpan w:val="2"/>
                  <w:vMerge w:val="restart"/>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检测频次</w:t>
                  </w:r>
                </w:p>
              </w:tc>
              <w:tc>
                <w:tcPr>
                  <w:tcW w:w="2936" w:type="pct"/>
                  <w:gridSpan w:val="8"/>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检测点位及结果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1212" w:type="pct"/>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G1上风向</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G2下风向</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G3下风向</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G4下风向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rPr>
                    <w:t>颗粒物</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0.112</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0.138</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0.096</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0.217</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0.223</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0.197</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0.333</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0.318</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0.307</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0.323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0.983</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0.933</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0.963</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甲苯（</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二甲苯</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非甲烷总烃</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mg/m</w:t>
                  </w:r>
                  <w:r>
                    <w:rPr>
                      <w:rFonts w:hint="default" w:ascii="Times New Roman" w:hAnsi="Times New Roman" w:eastAsia="宋体" w:cs="Times New Roman"/>
                      <w:color w:val="auto"/>
                      <w:sz w:val="21"/>
                      <w:szCs w:val="21"/>
                      <w:vertAlign w:val="superscript"/>
                    </w:rPr>
                    <w:t>3</w:t>
                  </w:r>
                  <w:r>
                    <w:rPr>
                      <w:rFonts w:hint="default" w:ascii="Times New Roman" w:hAnsi="Times New Roman" w:eastAsia="宋体" w:cs="Times New Roman"/>
                      <w:color w:val="auto"/>
                      <w:sz w:val="21"/>
                      <w:szCs w:val="21"/>
                      <w:lang w:eastAsia="zh-CN"/>
                    </w:rPr>
                    <w:t>）</w:t>
                  </w: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第一次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0.74</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0.75</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0.81</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第二次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0.95</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0.94</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0.88</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第三次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0.94</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0.95</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0.95</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eastAsia="zh-CN"/>
                    </w:rPr>
                  </w:pPr>
                </w:p>
              </w:tc>
              <w:tc>
                <w:tcPr>
                  <w:tcW w:w="1212"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第四次</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0.90</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0.88</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0.98</w:t>
                  </w:r>
                </w:p>
              </w:tc>
              <w:tc>
                <w:tcPr>
                  <w:tcW w:w="734" w:type="pct"/>
                  <w:gridSpan w:val="2"/>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1" w:type="pct"/>
                <w:trHeight w:val="624" w:hRule="atLeast"/>
              </w:trPr>
              <w:tc>
                <w:tcPr>
                  <w:tcW w:w="659"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eastAsia="宋体" w:cs="Times New Roman"/>
                      <w:color w:val="auto"/>
                      <w:sz w:val="21"/>
                      <w:szCs w:val="21"/>
                      <w:highlight w:val="none"/>
                      <w:vertAlign w:val="baseline"/>
                      <w:lang w:eastAsia="zh-CN"/>
                    </w:rPr>
                    <w:t>备注</w:t>
                  </w:r>
                </w:p>
              </w:tc>
              <w:tc>
                <w:tcPr>
                  <w:tcW w:w="4148" w:type="pct"/>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2022年8月25日采样期间天气阴；风向为东北风；风速范围为1.8m/s~2.1m/s。</w:t>
                  </w:r>
                </w:p>
              </w:tc>
            </w:tr>
          </w:tbl>
          <w:p>
            <w:pPr>
              <w:spacing w:line="360" w:lineRule="auto"/>
              <w:rPr>
                <w:rFonts w:hint="default" w:ascii="Times New Roman" w:hAnsi="Times New Roman" w:cs="Times New Roman"/>
                <w:color w:val="0000FF"/>
                <w:sz w:val="24"/>
                <w:szCs w:val="24"/>
                <w:lang w:eastAsia="zh-CN"/>
              </w:rPr>
            </w:pP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2" w:firstLineChars="200"/>
              <w:jc w:val="both"/>
              <w:textAlignment w:val="auto"/>
              <w:rPr>
                <w:b/>
                <w:bCs/>
                <w:color w:val="auto"/>
                <w:sz w:val="24"/>
                <w:szCs w:val="24"/>
              </w:rPr>
            </w:pPr>
            <w:r>
              <w:rPr>
                <w:rFonts w:hint="eastAsia"/>
                <w:b/>
                <w:bCs/>
                <w:color w:val="auto"/>
                <w:sz w:val="24"/>
                <w:szCs w:val="24"/>
                <w:lang w:val="en-US" w:eastAsia="zh-CN"/>
              </w:rPr>
              <w:t>2、有</w:t>
            </w:r>
            <w:r>
              <w:rPr>
                <w:b/>
                <w:bCs/>
                <w:color w:val="auto"/>
                <w:sz w:val="24"/>
                <w:szCs w:val="24"/>
              </w:rPr>
              <w:t>组织废气监测结果</w:t>
            </w:r>
          </w:p>
          <w:p>
            <w:pPr>
              <w:tabs>
                <w:tab w:val="left" w:pos="1755"/>
              </w:tabs>
              <w:snapToGrid w:val="0"/>
              <w:spacing w:line="360" w:lineRule="auto"/>
              <w:jc w:val="center"/>
              <w:rPr>
                <w:b/>
                <w:bCs/>
                <w:color w:val="auto"/>
                <w:szCs w:val="21"/>
              </w:rPr>
            </w:pPr>
            <w:r>
              <w:rPr>
                <w:b/>
                <w:bCs/>
                <w:color w:val="auto"/>
                <w:szCs w:val="21"/>
              </w:rPr>
              <w:t>表</w:t>
            </w:r>
            <w:r>
              <w:rPr>
                <w:rFonts w:ascii="Times New Roman" w:hAnsi="Times New Roman"/>
                <w:b/>
                <w:bCs/>
                <w:color w:val="auto"/>
                <w:szCs w:val="21"/>
              </w:rPr>
              <w:t>7</w:t>
            </w:r>
            <w:r>
              <w:rPr>
                <w:b/>
                <w:bCs/>
                <w:color w:val="auto"/>
                <w:szCs w:val="21"/>
              </w:rPr>
              <w:t>-</w:t>
            </w:r>
            <w:r>
              <w:rPr>
                <w:rFonts w:hint="eastAsia"/>
                <w:b/>
                <w:bCs/>
                <w:color w:val="auto"/>
                <w:szCs w:val="21"/>
                <w:lang w:val="en-US" w:eastAsia="zh-CN"/>
              </w:rPr>
              <w:t>5有</w:t>
            </w:r>
            <w:r>
              <w:rPr>
                <w:b/>
                <w:bCs/>
                <w:color w:val="auto"/>
                <w:szCs w:val="21"/>
              </w:rPr>
              <w:t>组织废气监测结果一览表</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4"/>
              <w:gridCol w:w="2337"/>
              <w:gridCol w:w="1706"/>
              <w:gridCol w:w="1706"/>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检测点位</w:t>
                  </w:r>
                </w:p>
              </w:tc>
              <w:tc>
                <w:tcPr>
                  <w:tcW w:w="2190" w:type="dxa"/>
                  <w:vMerge w:val="restar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检测项目及单位</w:t>
                  </w:r>
                </w:p>
              </w:tc>
              <w:tc>
                <w:tcPr>
                  <w:tcW w:w="4798"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检测频次及结果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rPr>
                  </w:pPr>
                </w:p>
              </w:tc>
              <w:tc>
                <w:tcPr>
                  <w:tcW w:w="219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rPr>
                  </w:pPr>
                </w:p>
              </w:tc>
              <w:tc>
                <w:tcPr>
                  <w:tcW w:w="15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15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16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木材加工排放口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2.4</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1.9 </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面漆和烘干废气</w:t>
                  </w:r>
                  <w:r>
                    <w:rPr>
                      <w:rFonts w:hint="default" w:ascii="Times New Roman" w:hAnsi="Times New Roman" w:eastAsia="宋体" w:cs="Times New Roman"/>
                      <w:color w:val="auto"/>
                      <w:sz w:val="21"/>
                      <w:szCs w:val="21"/>
                      <w:highlight w:val="none"/>
                      <w:lang w:eastAsia="zh-CN"/>
                    </w:rPr>
                    <w:t>排放口</w:t>
                  </w:r>
                </w:p>
              </w:tc>
              <w:tc>
                <w:tcPr>
                  <w:tcW w:w="2190" w:type="dxa"/>
                  <w:vAlign w:val="center"/>
                </w:tcPr>
                <w:p>
                  <w:pPr>
                    <w:jc w:val="center"/>
                    <w:rPr>
                      <w:rFonts w:hint="default" w:ascii="Times New Roman" w:hAnsi="Times New Roman" w:eastAsia="宋体" w:cs="Times New Roman"/>
                      <w:b w:val="0"/>
                      <w:bCs w:val="0"/>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sz w:val="21"/>
                      <w:szCs w:val="21"/>
                      <w:highlight w:val="none"/>
                      <w:lang w:val="en-US" w:eastAsia="zh-CN"/>
                    </w:rPr>
                    <w:t>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rPr>
                    <w:t>二甲苯（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1.19</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1.31</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底漆废气排放口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1.58</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1.55</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打磨废气排放口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sz w:val="21"/>
                      <w:szCs w:val="21"/>
                      <w:highlight w:val="none"/>
                      <w:lang w:val="en-US" w:eastAsia="zh-CN"/>
                    </w:rPr>
                    <w:t>备注</w:t>
                  </w:r>
                </w:p>
              </w:tc>
              <w:tc>
                <w:tcPr>
                  <w:tcW w:w="6988" w:type="dxa"/>
                  <w:gridSpan w:val="4"/>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ND表示小于检出限</w:t>
                  </w:r>
                </w:p>
              </w:tc>
            </w:tr>
          </w:tbl>
          <w:p>
            <w:pPr>
              <w:tabs>
                <w:tab w:val="left" w:pos="1755"/>
              </w:tabs>
              <w:snapToGrid w:val="0"/>
              <w:spacing w:before="156" w:beforeLines="50" w:line="360" w:lineRule="auto"/>
              <w:ind w:firstLine="480" w:firstLineChars="200"/>
              <w:rPr>
                <w:rFonts w:hint="default" w:ascii="Times New Roman" w:hAnsi="Times New Roman" w:cs="Times New Roman"/>
                <w:color w:val="0000FF"/>
                <w:sz w:val="24"/>
              </w:rPr>
            </w:pP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4"/>
              <w:gridCol w:w="2337"/>
              <w:gridCol w:w="1706"/>
              <w:gridCol w:w="1706"/>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检测点位</w:t>
                  </w:r>
                </w:p>
              </w:tc>
              <w:tc>
                <w:tcPr>
                  <w:tcW w:w="2190" w:type="dxa"/>
                  <w:vMerge w:val="restar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b w:val="0"/>
                      <w:bCs w:val="0"/>
                      <w:i w:val="0"/>
                      <w:color w:val="000000" w:themeColor="text1"/>
                      <w:kern w:val="0"/>
                      <w:sz w:val="21"/>
                      <w:szCs w:val="21"/>
                      <w:highlight w:val="none"/>
                      <w:u w:val="none"/>
                      <w:lang w:val="en-US" w:eastAsia="zh-CN" w:bidi="ar"/>
                      <w14:textFill>
                        <w14:solidFill>
                          <w14:schemeClr w14:val="tx1"/>
                        </w14:solidFill>
                      </w14:textFill>
                    </w:rPr>
                    <w:t>检测项目及单位</w:t>
                  </w:r>
                </w:p>
              </w:tc>
              <w:tc>
                <w:tcPr>
                  <w:tcW w:w="4798" w:type="dxa"/>
                  <w:gridSpan w:val="3"/>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lang w:val="en-US" w:eastAsia="zh-CN" w:bidi="ar-SA"/>
                      <w14:textFill>
                        <w14:solidFill>
                          <w14:schemeClr w14:val="tx1"/>
                        </w14:solidFill>
                      </w14:textFill>
                    </w:rPr>
                    <w:t>检测频次及结果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rPr>
                  </w:pPr>
                </w:p>
              </w:tc>
              <w:tc>
                <w:tcPr>
                  <w:tcW w:w="2190" w:type="dxa"/>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rPr>
                  </w:pPr>
                </w:p>
              </w:tc>
              <w:tc>
                <w:tcPr>
                  <w:tcW w:w="15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第一次</w:t>
                  </w:r>
                </w:p>
              </w:tc>
              <w:tc>
                <w:tcPr>
                  <w:tcW w:w="1599"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第二次</w:t>
                  </w:r>
                </w:p>
              </w:tc>
              <w:tc>
                <w:tcPr>
                  <w:tcW w:w="1600" w:type="dxa"/>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木材加工排放口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1.3</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面漆和烘干废气</w:t>
                  </w:r>
                  <w:r>
                    <w:rPr>
                      <w:rFonts w:hint="default" w:ascii="Times New Roman" w:hAnsi="Times New Roman" w:eastAsia="宋体" w:cs="Times New Roman"/>
                      <w:color w:val="auto"/>
                      <w:sz w:val="21"/>
                      <w:szCs w:val="21"/>
                      <w:highlight w:val="none"/>
                      <w:lang w:eastAsia="zh-CN"/>
                    </w:rPr>
                    <w:t>排放口</w:t>
                  </w:r>
                </w:p>
              </w:tc>
              <w:tc>
                <w:tcPr>
                  <w:tcW w:w="2190" w:type="dxa"/>
                  <w:vAlign w:val="center"/>
                </w:tcPr>
                <w:p>
                  <w:pPr>
                    <w:jc w:val="center"/>
                    <w:rPr>
                      <w:rFonts w:hint="default" w:ascii="Times New Roman" w:hAnsi="Times New Roman" w:eastAsia="宋体" w:cs="Times New Roman"/>
                      <w:b w:val="0"/>
                      <w:bCs w:val="0"/>
                      <w:i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1.7</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i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sz w:val="21"/>
                      <w:szCs w:val="21"/>
                      <w:highlight w:val="none"/>
                      <w:lang w:val="en-US" w:eastAsia="zh-CN"/>
                    </w:rPr>
                    <w:t>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sz w:val="21"/>
                      <w:szCs w:val="21"/>
                      <w:highlight w:val="none"/>
                      <w:lang w:val="en-US" w:eastAsia="zh-CN"/>
                    </w:rPr>
                    <w:t>二甲苯（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0.047</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0.033</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1.26</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1.29</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restart"/>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底漆废气排放口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2.2</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二甲苯（</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Merge w:val="continue"/>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非甲烷总烃（</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1.61</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1.56</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打磨废气排放口</w:t>
                  </w:r>
                </w:p>
              </w:tc>
              <w:tc>
                <w:tcPr>
                  <w:tcW w:w="2190" w:type="dxa"/>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r>
                    <w:rPr>
                      <w:rFonts w:hint="default" w:ascii="Times New Roman" w:hAnsi="Times New Roman" w:eastAsia="宋体" w:cs="Times New Roman"/>
                      <w:color w:val="auto"/>
                      <w:sz w:val="21"/>
                      <w:szCs w:val="21"/>
                      <w:highlight w:val="none"/>
                    </w:rPr>
                    <w:t>mg/m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lang w:val="en-US" w:eastAsia="zh-CN"/>
                    </w:rPr>
                    <w:t>）</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1599"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1.9</w:t>
                  </w:r>
                </w:p>
              </w:tc>
              <w:tc>
                <w:tcPr>
                  <w:tcW w:w="160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32" w:type="dxa"/>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color w:val="auto"/>
                      <w:sz w:val="21"/>
                      <w:szCs w:val="21"/>
                      <w:highlight w:val="none"/>
                      <w:lang w:val="en-US" w:eastAsia="zh-CN"/>
                    </w:rPr>
                    <w:t>备注</w:t>
                  </w:r>
                </w:p>
              </w:tc>
              <w:tc>
                <w:tcPr>
                  <w:tcW w:w="6988" w:type="dxa"/>
                  <w:gridSpan w:val="4"/>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ND表示小于检出限</w:t>
                  </w:r>
                </w:p>
              </w:tc>
            </w:tr>
          </w:tbl>
          <w:p>
            <w:pPr>
              <w:tabs>
                <w:tab w:val="left" w:pos="1755"/>
              </w:tabs>
              <w:snapToGrid w:val="0"/>
              <w:spacing w:before="156" w:beforeLines="50" w:line="360" w:lineRule="auto"/>
              <w:ind w:firstLine="480" w:firstLineChars="200"/>
              <w:rPr>
                <w:rFonts w:hint="eastAsia" w:eastAsiaTheme="minorEastAsia"/>
                <w:color w:val="0000FF"/>
                <w:lang w:val="en-US" w:eastAsia="zh-CN"/>
              </w:rPr>
            </w:pPr>
            <w:r>
              <w:rPr>
                <w:rFonts w:hint="default" w:ascii="Times New Roman" w:hAnsi="Times New Roman" w:cs="Times New Roman"/>
                <w:color w:val="auto"/>
                <w:sz w:val="24"/>
              </w:rPr>
              <w:t>根据监测结果可知，</w:t>
            </w:r>
            <w:r>
              <w:rPr>
                <w:rFonts w:hint="eastAsia" w:ascii="Times New Roman" w:hAnsi="Times New Roman" w:cs="Times New Roman"/>
                <w:color w:val="auto"/>
                <w:sz w:val="24"/>
                <w:lang w:val="en-US" w:eastAsia="zh-CN"/>
              </w:rPr>
              <w:t>生产过程产生的废气经环保设备处理后，</w:t>
            </w:r>
            <w:r>
              <w:rPr>
                <w:rFonts w:hint="default" w:ascii="Times New Roman" w:hAnsi="Times New Roman" w:cs="Times New Roman"/>
                <w:color w:val="auto"/>
                <w:sz w:val="24"/>
              </w:rPr>
              <w:t>满足</w:t>
            </w:r>
            <w:r>
              <w:rPr>
                <w:rFonts w:hint="default" w:ascii="Times New Roman" w:hAnsi="Times New Roman" w:cs="Times New Roman"/>
                <w:color w:val="auto"/>
                <w:sz w:val="24"/>
                <w:lang w:val="en-US" w:eastAsia="zh-CN"/>
              </w:rPr>
              <w:t>《大气污染物综合排放标准》 (GB16297- 1996)中相关标准要求</w:t>
            </w:r>
            <w:r>
              <w:rPr>
                <w:rFonts w:hint="default" w:ascii="Times New Roman" w:hAnsi="Times New Roman" w:cs="Times New Roman"/>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6" w:type="dxa"/>
            <w:vAlign w:val="top"/>
          </w:tcPr>
          <w:p>
            <w:pPr>
              <w:pStyle w:val="4"/>
              <w:rPr>
                <w:rFonts w:hint="eastAsia"/>
                <w:color w:val="auto"/>
                <w:lang w:val="en-US" w:eastAsia="zh-CN"/>
              </w:rPr>
            </w:pPr>
            <w:r>
              <w:rPr>
                <w:rFonts w:hint="eastAsia"/>
                <w:color w:val="auto"/>
                <w:lang w:val="en-US" w:eastAsia="zh-CN"/>
              </w:rPr>
              <w:t>7.4 污染物排放总量</w:t>
            </w:r>
          </w:p>
          <w:p>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根据原环评，项目废气</w:t>
            </w:r>
            <w:r>
              <w:rPr>
                <w:rFonts w:hint="default" w:ascii="Times New Roman" w:hAnsi="Times New Roman" w:cs="Times New Roman"/>
                <w:color w:val="auto"/>
                <w:sz w:val="24"/>
                <w:lang w:val="en-US" w:eastAsia="zh-CN"/>
              </w:rPr>
              <w:t>污染物排放总量计算结果见</w:t>
            </w:r>
            <w:r>
              <w:rPr>
                <w:rFonts w:hint="eastAsia" w:ascii="Times New Roman" w:hAnsi="Times New Roman" w:cs="Times New Roman"/>
                <w:color w:val="auto"/>
                <w:sz w:val="24"/>
                <w:lang w:val="en-US" w:eastAsia="zh-CN"/>
              </w:rPr>
              <w:t>下</w:t>
            </w:r>
            <w:r>
              <w:rPr>
                <w:rFonts w:hint="default" w:ascii="Times New Roman" w:hAnsi="Times New Roman" w:cs="Times New Roman"/>
                <w:color w:val="auto"/>
                <w:sz w:val="24"/>
                <w:lang w:val="en-US" w:eastAsia="zh-CN"/>
              </w:rPr>
              <w:t>表。</w:t>
            </w:r>
          </w:p>
          <w:p>
            <w:pPr>
              <w:spacing w:line="360" w:lineRule="auto"/>
              <w:jc w:val="center"/>
              <w:rPr>
                <w:rFonts w:hint="default" w:ascii="Times New Roman" w:hAnsi="Times New Roman" w:eastAsia="黑体" w:cs="Times New Roman"/>
                <w:b/>
                <w:bCs/>
                <w:color w:val="auto"/>
                <w:sz w:val="21"/>
                <w:szCs w:val="21"/>
                <w:lang w:val="en-US" w:eastAsia="zh-CN"/>
              </w:rPr>
            </w:pPr>
            <w:r>
              <w:rPr>
                <w:rFonts w:hint="default" w:ascii="Times New Roman" w:hAnsi="Times New Roman" w:eastAsia="黑体" w:cs="Times New Roman"/>
                <w:b/>
                <w:bCs/>
                <w:color w:val="auto"/>
                <w:sz w:val="21"/>
                <w:szCs w:val="21"/>
                <w:lang w:val="en-US" w:eastAsia="zh-CN"/>
              </w:rPr>
              <w:t>表7</w:t>
            </w:r>
            <w:r>
              <w:rPr>
                <w:rFonts w:hint="eastAsia" w:ascii="Times New Roman" w:hAnsi="Times New Roman" w:eastAsia="黑体" w:cs="Times New Roman"/>
                <w:b/>
                <w:bCs/>
                <w:color w:val="auto"/>
                <w:sz w:val="21"/>
                <w:szCs w:val="21"/>
                <w:lang w:val="en-US" w:eastAsia="zh-CN"/>
              </w:rPr>
              <w:t>-7</w:t>
            </w:r>
            <w:r>
              <w:rPr>
                <w:rFonts w:hint="default" w:ascii="Times New Roman" w:hAnsi="Times New Roman" w:eastAsia="黑体" w:cs="Times New Roman"/>
                <w:b/>
                <w:bCs/>
                <w:color w:val="auto"/>
                <w:sz w:val="21"/>
                <w:szCs w:val="21"/>
                <w:lang w:val="en-US" w:eastAsia="zh-CN"/>
              </w:rPr>
              <w:t xml:space="preserve"> 有组织废气污染物排放总量</w:t>
            </w:r>
          </w:p>
          <w:tbl>
            <w:tblPr>
              <w:tblStyle w:val="23"/>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57" w:type="dxa"/>
                <w:bottom w:w="0" w:type="dxa"/>
                <w:right w:w="57" w:type="dxa"/>
              </w:tblCellMar>
            </w:tblPr>
            <w:tblGrid>
              <w:gridCol w:w="2267"/>
              <w:gridCol w:w="3616"/>
              <w:gridCol w:w="31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24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污染物</w:t>
                  </w:r>
                </w:p>
              </w:tc>
              <w:tc>
                <w:tcPr>
                  <w:tcW w:w="1992"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本项目实际排放总量（t/a）</w:t>
                  </w:r>
                </w:p>
              </w:tc>
              <w:tc>
                <w:tcPr>
                  <w:tcW w:w="1757"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bCs/>
                      <w:color w:val="auto"/>
                      <w:sz w:val="21"/>
                      <w:szCs w:val="21"/>
                      <w:vertAlign w:val="baseline"/>
                      <w:lang w:val="en-US" w:eastAsia="zh-CN"/>
                    </w:rPr>
                  </w:pPr>
                  <w:r>
                    <w:rPr>
                      <w:rFonts w:hint="eastAsia" w:hAnsi="Times New Roman" w:cs="Times New Roman"/>
                      <w:b/>
                      <w:bCs/>
                      <w:color w:val="auto"/>
                      <w:sz w:val="21"/>
                      <w:szCs w:val="21"/>
                      <w:vertAlign w:val="baseline"/>
                      <w:lang w:val="en-US" w:eastAsia="zh-CN"/>
                    </w:rPr>
                    <w:t>核定排放总量（t/a）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24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default" w:ascii="Times New Roman" w:hAnsi="Times New Roman" w:cs="Times New Roman"/>
                      <w:color w:val="auto"/>
                      <w:sz w:val="24"/>
                      <w:lang w:val="en-US" w:eastAsia="zh-CN"/>
                    </w:rPr>
                    <w:t>VOCs</w:t>
                  </w:r>
                </w:p>
              </w:tc>
              <w:tc>
                <w:tcPr>
                  <w:tcW w:w="1992"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0.12</w:t>
                  </w:r>
                </w:p>
              </w:tc>
              <w:tc>
                <w:tcPr>
                  <w:tcW w:w="1757"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default" w:ascii="Times New Roman" w:hAnsi="Times New Roman" w:cs="Times New Roman"/>
                      <w:color w:val="auto"/>
                      <w:sz w:val="24"/>
                      <w:lang w:val="en-US" w:eastAsia="zh-CN"/>
                    </w:rPr>
                    <w:t>0.22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249"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default" w:ascii="Times New Roman" w:hAnsi="Times New Roman" w:cs="Times New Roman"/>
                      <w:color w:val="auto"/>
                      <w:sz w:val="24"/>
                      <w:lang w:val="en-US" w:eastAsia="zh-CN"/>
                    </w:rPr>
                    <w:t>颗粒物</w:t>
                  </w:r>
                </w:p>
              </w:tc>
              <w:tc>
                <w:tcPr>
                  <w:tcW w:w="1992" w:type="pct"/>
                  <w:tcBorders>
                    <w:tl2br w:val="nil"/>
                    <w:tr2bl w:val="nil"/>
                  </w:tcBorders>
                  <w:vAlign w:val="center"/>
                </w:tcPr>
                <w:p>
                  <w:pPr>
                    <w:pStyle w:val="2"/>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hAnsi="Times New Roman" w:cs="Times New Roman"/>
                      <w:b w:val="0"/>
                      <w:bCs w:val="0"/>
                      <w:color w:val="auto"/>
                      <w:sz w:val="21"/>
                      <w:szCs w:val="21"/>
                      <w:vertAlign w:val="baseline"/>
                      <w:lang w:val="en-US" w:eastAsia="zh-CN"/>
                    </w:rPr>
                  </w:pPr>
                  <w:r>
                    <w:rPr>
                      <w:rFonts w:hint="eastAsia" w:hAnsi="Times New Roman" w:cs="Times New Roman"/>
                      <w:b w:val="0"/>
                      <w:bCs w:val="0"/>
                      <w:color w:val="auto"/>
                      <w:sz w:val="21"/>
                      <w:szCs w:val="21"/>
                      <w:vertAlign w:val="baseline"/>
                      <w:lang w:val="en-US" w:eastAsia="zh-CN"/>
                    </w:rPr>
                    <w:t>0.084</w:t>
                  </w:r>
                </w:p>
              </w:tc>
              <w:tc>
                <w:tcPr>
                  <w:tcW w:w="1757" w:type="pct"/>
                  <w:tcBorders>
                    <w:tl2br w:val="nil"/>
                    <w:tr2bl w:val="nil"/>
                  </w:tcBorders>
                  <w:vAlign w:val="center"/>
                </w:tcPr>
                <w:p>
                  <w:pPr>
                    <w:pStyle w:val="4"/>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cs="Times New Roman"/>
                      <w:color w:val="auto"/>
                      <w:sz w:val="24"/>
                      <w:lang w:val="en-US" w:eastAsia="zh-CN"/>
                    </w:rPr>
                    <w:t>0.112</w:t>
                  </w:r>
                </w:p>
              </w:tc>
            </w:tr>
          </w:tbl>
          <w:p>
            <w:pPr>
              <w:autoSpaceDE w:val="0"/>
              <w:autoSpaceDN w:val="0"/>
              <w:adjustRightInd w:val="0"/>
              <w:spacing w:line="360" w:lineRule="auto"/>
              <w:ind w:firstLine="480" w:firstLineChars="200"/>
              <w:jc w:val="left"/>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项目废气满足厂区环评批复文件中</w:t>
            </w:r>
            <w:r>
              <w:rPr>
                <w:rFonts w:hint="default" w:ascii="Times New Roman" w:hAnsi="Times New Roman" w:cs="Times New Roman"/>
                <w:color w:val="auto"/>
                <w:sz w:val="24"/>
                <w:lang w:val="en-US" w:eastAsia="zh-CN"/>
              </w:rPr>
              <w:t>VOCs：0.22t/a（有组织排放），颗粒物：0.112t/a</w:t>
            </w:r>
            <w:r>
              <w:rPr>
                <w:rFonts w:hint="eastAsia" w:ascii="Times New Roman" w:hAnsi="Times New Roman" w:cs="Times New Roman"/>
                <w:color w:val="auto"/>
                <w:sz w:val="24"/>
                <w:lang w:val="en-US" w:eastAsia="zh-CN"/>
              </w:rPr>
              <w:t>的总量控制指标。</w:t>
            </w: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pStyle w:val="6"/>
              <w:rPr>
                <w:rFonts w:hint="eastAsia" w:ascii="Times New Roman" w:hAnsi="Times New Roman" w:cs="Times New Roman"/>
                <w:color w:val="auto"/>
                <w:sz w:val="24"/>
                <w:lang w:val="en-US" w:eastAsia="zh-CN"/>
              </w:rPr>
            </w:pPr>
          </w:p>
          <w:p>
            <w:pPr>
              <w:rPr>
                <w:rFonts w:hint="eastAsia" w:ascii="Times New Roman" w:hAnsi="Times New Roman" w:cs="Times New Roman"/>
                <w:color w:val="auto"/>
                <w:sz w:val="24"/>
                <w:lang w:val="en-US" w:eastAsia="zh-CN"/>
              </w:rPr>
            </w:pPr>
          </w:p>
          <w:p>
            <w:pPr>
              <w:spacing w:line="360" w:lineRule="auto"/>
              <w:ind w:firstLine="0" w:firstLineChars="0"/>
              <w:rPr>
                <w:rFonts w:hint="default" w:eastAsiaTheme="minorEastAsia"/>
                <w:color w:val="0000FF"/>
                <w:sz w:val="24"/>
                <w:szCs w:val="32"/>
                <w:lang w:val="en-US" w:eastAsia="zh-CN"/>
              </w:rPr>
            </w:pPr>
          </w:p>
        </w:tc>
      </w:tr>
    </w:tbl>
    <w:p>
      <w:pPr>
        <w:rPr>
          <w:rFonts w:hint="eastAsia"/>
          <w:color w:val="0000FF"/>
          <w:lang w:val="en-US" w:eastAsia="zh-CN"/>
        </w:rPr>
      </w:pPr>
      <w:r>
        <w:rPr>
          <w:rFonts w:hint="eastAsia"/>
          <w:color w:val="0000FF"/>
          <w:lang w:val="en-US" w:eastAsia="zh-CN"/>
        </w:rPr>
        <w:br w:type="page"/>
      </w:r>
    </w:p>
    <w:p>
      <w:pPr>
        <w:pStyle w:val="3"/>
        <w:rPr>
          <w:rFonts w:hint="eastAsia"/>
          <w:color w:val="auto"/>
          <w:lang w:val="en-US" w:eastAsia="zh-CN"/>
        </w:rPr>
      </w:pPr>
      <w:bookmarkStart w:id="38" w:name="_Toc20289"/>
      <w:bookmarkStart w:id="39" w:name="_Toc31383"/>
      <w:bookmarkStart w:id="40" w:name="_Toc4892"/>
      <w:r>
        <w:rPr>
          <w:rFonts w:hint="eastAsia"/>
          <w:color w:val="auto"/>
          <w:lang w:val="en-US" w:eastAsia="zh-CN"/>
        </w:rPr>
        <w:t>表八 验收监测结论</w:t>
      </w:r>
      <w:bookmarkEnd w:id="38"/>
      <w:bookmarkEnd w:id="39"/>
      <w:bookmarkEnd w:id="40"/>
    </w:p>
    <w:tbl>
      <w:tblPr>
        <w:tblStyle w:val="23"/>
        <w:tblW w:w="9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6" w:hRule="atLeast"/>
          <w:jc w:val="center"/>
        </w:trPr>
        <w:tc>
          <w:tcPr>
            <w:tcW w:w="9066" w:type="dxa"/>
            <w:vAlign w:val="top"/>
          </w:tcPr>
          <w:p>
            <w:pPr>
              <w:pStyle w:val="4"/>
              <w:spacing w:line="360" w:lineRule="auto"/>
              <w:rPr>
                <w:rFonts w:hint="eastAsia"/>
                <w:color w:val="auto"/>
                <w:lang w:val="en-US" w:eastAsia="zh-CN"/>
              </w:rPr>
            </w:pPr>
            <w:bookmarkStart w:id="41" w:name="_Toc12212"/>
            <w:r>
              <w:rPr>
                <w:rFonts w:hint="eastAsia"/>
                <w:color w:val="auto"/>
                <w:lang w:val="en-US" w:eastAsia="zh-CN"/>
              </w:rPr>
              <w:t>8.1 验收监测结论</w:t>
            </w:r>
            <w:bookmarkEnd w:id="4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本次竣工环境保护验收为</w:t>
            </w:r>
            <w:r>
              <w:rPr>
                <w:rFonts w:hint="eastAsia" w:ascii="Times New Roman" w:hAnsi="Times New Roman" w:cs="Times New Roman"/>
                <w:color w:val="auto"/>
                <w:sz w:val="24"/>
                <w:szCs w:val="24"/>
                <w:lang w:val="en-US" w:eastAsia="zh-CN"/>
              </w:rPr>
              <w:t>年产3000套展台展具智能生产线项目</w:t>
            </w:r>
            <w:r>
              <w:rPr>
                <w:rFonts w:hint="default" w:ascii="Times New Roman" w:hAnsi="Times New Roman" w:cs="Times New Roman"/>
                <w:color w:val="auto"/>
                <w:sz w:val="24"/>
                <w:szCs w:val="24"/>
                <w:lang w:val="en-US" w:eastAsia="zh-CN"/>
              </w:rPr>
              <w:t>，验收监测时间为20</w:t>
            </w:r>
            <w:r>
              <w:rPr>
                <w:rFonts w:hint="eastAsia"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lang w:val="en-US" w:eastAsia="zh-CN"/>
              </w:rPr>
              <w:t>年</w:t>
            </w:r>
            <w:r>
              <w:rPr>
                <w:rFonts w:hint="eastAsia" w:ascii="Times New Roman" w:hAnsi="Times New Roman" w:cs="Times New Roman"/>
                <w:color w:val="auto"/>
                <w:sz w:val="24"/>
                <w:szCs w:val="24"/>
                <w:lang w:val="en-US" w:eastAsia="zh-CN"/>
              </w:rPr>
              <w:t>8</w:t>
            </w:r>
            <w:r>
              <w:rPr>
                <w:rFonts w:hint="default" w:ascii="Times New Roman" w:hAnsi="Times New Roman" w:cs="Times New Roman"/>
                <w:color w:val="auto"/>
                <w:sz w:val="24"/>
                <w:szCs w:val="24"/>
                <w:lang w:val="en-US" w:eastAsia="zh-CN"/>
              </w:rPr>
              <w:t>月</w:t>
            </w:r>
            <w:r>
              <w:rPr>
                <w:rFonts w:hint="eastAsia" w:ascii="Times New Roman" w:hAnsi="Times New Roman" w:cs="Times New Roman"/>
                <w:color w:val="auto"/>
                <w:sz w:val="24"/>
                <w:szCs w:val="24"/>
                <w:lang w:val="en-US" w:eastAsia="zh-CN"/>
              </w:rPr>
              <w:t>24日-8月27</w:t>
            </w:r>
            <w:r>
              <w:rPr>
                <w:rFonts w:hint="default" w:ascii="Times New Roman" w:hAnsi="Times New Roman" w:cs="Times New Roman"/>
                <w:color w:val="auto"/>
                <w:sz w:val="24"/>
                <w:szCs w:val="24"/>
                <w:lang w:val="en-US" w:eastAsia="zh-CN"/>
              </w:rPr>
              <w:t>日，验收监测期间建设项目实际运行工况能满足验收监测期间运行工况的要求，符合竣工环境保护验收监测技术规范要求。</w:t>
            </w:r>
          </w:p>
          <w:p>
            <w:pPr>
              <w:keepNext w:val="0"/>
              <w:keepLines w:val="0"/>
              <w:pageBreakBefore w:val="0"/>
              <w:widowControl w:val="0"/>
              <w:tabs>
                <w:tab w:val="left" w:pos="5226"/>
              </w:tabs>
              <w:kinsoku/>
              <w:wordWrap/>
              <w:overflowPunct/>
              <w:topLinePunct w:val="0"/>
              <w:bidi w:val="0"/>
              <w:adjustRightInd/>
              <w:snapToGrid/>
              <w:spacing w:line="360" w:lineRule="auto"/>
              <w:ind w:left="0" w:leftChars="0" w:firstLine="480" w:firstLineChars="200"/>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综合结论：项目针对各类污染因子都采取了治理措施，环评及批复要求基本落实到位，环保设施起到了相应作用，污染物排放达标，</w:t>
            </w:r>
            <w:r>
              <w:rPr>
                <w:rFonts w:hint="eastAsia" w:ascii="Times New Roman" w:hAnsi="Times New Roman" w:eastAsia="宋体" w:cs="Times New Roman"/>
                <w:color w:val="auto"/>
                <w:sz w:val="24"/>
                <w:szCs w:val="24"/>
                <w:lang w:val="en-US" w:eastAsia="zh-CN"/>
              </w:rPr>
              <w:t>排放总量满足总量核定指标，</w:t>
            </w:r>
            <w:r>
              <w:rPr>
                <w:rFonts w:hint="default" w:ascii="Times New Roman" w:hAnsi="Times New Roman" w:eastAsia="宋体" w:cs="Times New Roman"/>
                <w:color w:val="auto"/>
                <w:sz w:val="24"/>
                <w:szCs w:val="24"/>
                <w:lang w:val="en-US" w:eastAsia="zh-CN"/>
              </w:rPr>
              <w:t>符合项目竣工环境保护验收条件</w:t>
            </w:r>
            <w:r>
              <w:rPr>
                <w:rFonts w:hint="eastAsia" w:ascii="Times New Roman" w:hAnsi="Times New Roman" w:eastAsia="宋体" w:cs="Times New Roman"/>
                <w:color w:val="auto"/>
                <w:sz w:val="24"/>
                <w:szCs w:val="24"/>
                <w:lang w:val="en-US" w:eastAsia="zh-CN"/>
              </w:rPr>
              <w:t>，建议通过验收</w:t>
            </w:r>
            <w:r>
              <w:rPr>
                <w:rFonts w:hint="default" w:ascii="Times New Roman" w:hAnsi="Times New Roman" w:eastAsia="宋体" w:cs="Times New Roman"/>
                <w:color w:val="auto"/>
                <w:sz w:val="24"/>
                <w:szCs w:val="24"/>
                <w:lang w:val="en-US" w:eastAsia="zh-CN"/>
              </w:rPr>
              <w:t>。</w:t>
            </w:r>
          </w:p>
          <w:p>
            <w:pPr>
              <w:pStyle w:val="4"/>
              <w:rPr>
                <w:rFonts w:hint="default"/>
                <w:color w:val="auto"/>
              </w:rPr>
            </w:pPr>
            <w:bookmarkStart w:id="42" w:name="_Toc10837"/>
            <w:r>
              <w:rPr>
                <w:rFonts w:hint="eastAsia"/>
                <w:color w:val="auto"/>
                <w:lang w:val="en-US" w:eastAsia="zh-CN"/>
              </w:rPr>
              <w:t xml:space="preserve">8.2 </w:t>
            </w:r>
            <w:r>
              <w:rPr>
                <w:rFonts w:hint="default"/>
                <w:color w:val="auto"/>
              </w:rPr>
              <w:t>建议</w:t>
            </w:r>
            <w:bookmarkEnd w:id="42"/>
          </w:p>
          <w:p>
            <w:pPr>
              <w:spacing w:line="360" w:lineRule="auto"/>
              <w:ind w:left="0" w:leftChars="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1</w:t>
            </w:r>
            <w:r>
              <w:rPr>
                <w:rFonts w:hint="eastAsia" w:ascii="Times New Roman" w:hAnsi="Times New Roman" w:cs="Times New Roman"/>
                <w:color w:val="auto"/>
                <w:sz w:val="24"/>
                <w:szCs w:val="24"/>
                <w:lang w:eastAsia="zh-CN"/>
              </w:rPr>
              <w:t>、加强固体废物的收集和管理，确保全部得到及时、合理的处置，不产生二次污染</w:t>
            </w:r>
            <w:r>
              <w:rPr>
                <w:rFonts w:hint="default" w:ascii="Times New Roman" w:hAnsi="Times New Roman" w:cs="Times New Roman"/>
                <w:color w:val="auto"/>
                <w:sz w:val="24"/>
                <w:szCs w:val="24"/>
                <w:lang w:val="en-US" w:eastAsia="zh-CN"/>
              </w:rPr>
              <w:t>；</w:t>
            </w:r>
          </w:p>
          <w:p>
            <w:pPr>
              <w:pStyle w:val="20"/>
              <w:spacing w:line="360" w:lineRule="auto"/>
              <w:ind w:firstLine="480" w:firstLineChars="200"/>
              <w:rPr>
                <w:rFonts w:hint="eastAsia" w:ascii="Times New Roman" w:hAnsi="Times New Roman" w:cs="Times New Roman"/>
                <w:color w:val="auto"/>
                <w:kern w:val="2"/>
                <w:sz w:val="24"/>
                <w:szCs w:val="24"/>
                <w:lang w:val="en-US" w:eastAsia="zh-CN" w:bidi="ar-SA"/>
              </w:rPr>
            </w:pPr>
            <w:r>
              <w:rPr>
                <w:rFonts w:hint="eastAsia" w:ascii="Times New Roman" w:hAnsi="Times New Roman" w:cs="Times New Roman" w:eastAsiaTheme="minorEastAsia"/>
                <w:color w:val="auto"/>
                <w:kern w:val="2"/>
                <w:sz w:val="24"/>
                <w:szCs w:val="24"/>
                <w:lang w:val="en-US" w:eastAsia="zh-CN" w:bidi="ar-SA"/>
              </w:rPr>
              <w:t>2、加强环境管理，定期检查环保设施，</w:t>
            </w:r>
            <w:r>
              <w:rPr>
                <w:rFonts w:hint="eastAsia" w:ascii="Times New Roman" w:hAnsi="Times New Roman" w:cs="Times New Roman"/>
                <w:color w:val="auto"/>
                <w:sz w:val="24"/>
                <w:szCs w:val="24"/>
                <w:lang w:val="en-US" w:eastAsia="zh-CN"/>
              </w:rPr>
              <w:t>建立并及时更新环保设施运行管理台账，</w:t>
            </w:r>
            <w:r>
              <w:rPr>
                <w:rFonts w:hint="eastAsia" w:ascii="Times New Roman" w:hAnsi="Times New Roman" w:cs="Times New Roman" w:eastAsiaTheme="minorEastAsia"/>
                <w:color w:val="auto"/>
                <w:kern w:val="2"/>
                <w:sz w:val="24"/>
                <w:szCs w:val="24"/>
                <w:lang w:val="en-US" w:eastAsia="zh-CN" w:bidi="ar-SA"/>
              </w:rPr>
              <w:t>确保污染物长期稳定达标排放</w:t>
            </w:r>
            <w:r>
              <w:rPr>
                <w:rFonts w:hint="eastAsia" w:ascii="Times New Roman" w:hAnsi="Times New Roman" w:cs="Times New Roman"/>
                <w:color w:val="auto"/>
                <w:kern w:val="2"/>
                <w:sz w:val="24"/>
                <w:szCs w:val="24"/>
                <w:lang w:val="en-US" w:eastAsia="zh-CN" w:bidi="ar-SA"/>
              </w:rPr>
              <w:t>；</w:t>
            </w:r>
          </w:p>
          <w:p>
            <w:pPr>
              <w:pStyle w:val="20"/>
              <w:spacing w:line="360" w:lineRule="auto"/>
              <w:ind w:firstLine="480" w:firstLineChars="200"/>
              <w:rPr>
                <w:rFonts w:hint="default" w:ascii="Times New Roman" w:hAnsi="Times New Roman" w:cs="Times New Roman" w:eastAsiaTheme="minorEastAsia"/>
                <w:color w:val="auto"/>
                <w:kern w:val="2"/>
                <w:sz w:val="24"/>
                <w:szCs w:val="24"/>
                <w:lang w:val="en-US" w:eastAsia="zh-CN" w:bidi="ar-SA"/>
              </w:rPr>
            </w:pPr>
            <w:r>
              <w:rPr>
                <w:rFonts w:hint="eastAsia" w:ascii="Times New Roman" w:hAnsi="Times New Roman" w:cs="Times New Roman"/>
                <w:color w:val="auto"/>
                <w:kern w:val="2"/>
                <w:sz w:val="24"/>
                <w:szCs w:val="24"/>
                <w:lang w:val="en-US" w:eastAsia="zh-CN" w:bidi="ar-SA"/>
              </w:rPr>
              <w:t>3、后续工程内容建设时要严格遵守“三同时”制度，尽快落实自行监测计划、突发环境事件应急预案和排污许可内容。</w:t>
            </w:r>
          </w:p>
          <w:p>
            <w:pPr>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jc w:val="left"/>
              <w:textAlignment w:val="auto"/>
              <w:rPr>
                <w:rFonts w:hint="default" w:ascii="Times New Roman" w:hAnsi="Times New Roman" w:cs="Times New Roman" w:eastAsiaTheme="minorEastAsia"/>
                <w:color w:val="0000FF"/>
                <w:sz w:val="24"/>
                <w:szCs w:val="24"/>
              </w:rPr>
            </w:pPr>
          </w:p>
          <w:p>
            <w:pPr>
              <w:pStyle w:val="20"/>
              <w:rPr>
                <w:rFonts w:hint="eastAsia" w:eastAsia="宋体"/>
                <w:color w:val="0000FF"/>
                <w:lang w:val="en-US" w:eastAsia="zh-CN"/>
              </w:rPr>
            </w:pPr>
          </w:p>
        </w:tc>
      </w:tr>
    </w:tbl>
    <w:p>
      <w:pPr>
        <w:rPr>
          <w:rFonts w:hint="eastAsia"/>
          <w:color w:val="0000FF"/>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3"/>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hint="eastAsia"/>
          <w:color w:val="0000FF"/>
          <w:lang w:val="en-US" w:eastAsia="zh-CN"/>
        </w:rPr>
      </w:pPr>
    </w:p>
    <w:sectPr>
      <w:headerReference r:id="rId6" w:type="default"/>
      <w:footerReference r:id="rId7" w:type="default"/>
      <w:pgSz w:w="11906" w:h="16838"/>
      <w:pgMar w:top="1440" w:right="1080" w:bottom="1440" w:left="108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eastAsia"/>
        <w:lang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spacing w:line="240" w:lineRule="auto"/>
      <w:jc w:val="center"/>
      <w:rPr>
        <w:rFonts w:hint="default" w:ascii="Times New Roman" w:hAnsi="Times New Roman" w:eastAsia="宋体" w:cs="Times New Roman"/>
        <w:b w:val="0"/>
        <w:bCs w:val="0"/>
        <w:color w:val="auto"/>
        <w:sz w:val="18"/>
        <w:szCs w:val="18"/>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0"/>
      </w:pBdr>
      <w:spacing w:line="240" w:lineRule="auto"/>
      <w:jc w:val="center"/>
      <w:rPr>
        <w:rFonts w:hint="default" w:ascii="Times New Roman" w:hAnsi="Times New Roman" w:eastAsia="宋体" w:cs="Times New Roman"/>
        <w:b w:val="0"/>
        <w:bCs w:val="0"/>
        <w:color w:val="auto"/>
        <w:sz w:val="18"/>
        <w:szCs w:val="18"/>
        <w:lang w:val="en-US" w:eastAsia="zh-CN"/>
      </w:rPr>
    </w:pPr>
    <w:r>
      <w:rPr>
        <w:rFonts w:hint="eastAsia" w:ascii="Times New Roman" w:hAnsi="Times New Roman" w:eastAsia="宋体" w:cs="Times New Roman"/>
        <w:b w:val="0"/>
        <w:bCs/>
        <w:color w:val="auto"/>
        <w:sz w:val="18"/>
        <w:szCs w:val="18"/>
        <w:lang w:val="en-US" w:eastAsia="zh-CN"/>
      </w:rPr>
      <w:t>年产3000套展台展具智能生产线项目</w:t>
    </w:r>
    <w:r>
      <w:rPr>
        <w:rFonts w:hint="default" w:ascii="Times New Roman" w:hAnsi="Times New Roman" w:eastAsia="宋体" w:cs="Times New Roman"/>
        <w:b w:val="0"/>
        <w:bCs/>
        <w:color w:val="auto"/>
        <w:sz w:val="18"/>
        <w:szCs w:val="18"/>
        <w:u w:val="none"/>
        <w:lang w:val="en-US" w:eastAsia="zh-CN"/>
      </w:rPr>
      <w:t>竣工环境保护</w:t>
    </w:r>
    <w:r>
      <w:rPr>
        <w:rFonts w:hint="eastAsia" w:ascii="Times New Roman" w:hAnsi="Times New Roman" w:eastAsia="宋体" w:cs="Times New Roman"/>
        <w:b w:val="0"/>
        <w:bCs/>
        <w:color w:val="auto"/>
        <w:sz w:val="18"/>
        <w:szCs w:val="18"/>
        <w:lang w:val="en-US" w:eastAsia="zh-CN"/>
      </w:rPr>
      <w:t>验收监测报告表</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right"/>
      <w:rPr>
        <w:rFonts w:hint="eastAsia"/>
        <w:b w:val="0"/>
        <w:bCs w:val="0"/>
        <w:sz w:val="18"/>
        <w:szCs w:val="18"/>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862CA9"/>
    <w:multiLevelType w:val="multilevel"/>
    <w:tmpl w:val="41862CA9"/>
    <w:lvl w:ilvl="0" w:tentative="0">
      <w:start w:val="1"/>
      <w:numFmt w:val="decimal"/>
      <w:suff w:val="space"/>
      <w:lvlText w:val="%1"/>
      <w:lvlJc w:val="left"/>
      <w:pPr>
        <w:ind w:left="0" w:firstLine="0"/>
      </w:pPr>
      <w:rPr>
        <w:rFonts w:hint="eastAsia"/>
        <w:sz w:val="30"/>
        <w:szCs w:val="30"/>
      </w:rPr>
    </w:lvl>
    <w:lvl w:ilvl="1" w:tentative="0">
      <w:start w:val="1"/>
      <w:numFmt w:val="decimal"/>
      <w:pStyle w:val="74"/>
      <w:suff w:val="space"/>
      <w:lvlText w:val="%1.%2"/>
      <w:lvlJc w:val="left"/>
      <w:pPr>
        <w:ind w:left="1560" w:firstLine="0"/>
      </w:pPr>
      <w:rPr>
        <w:rFonts w:hint="default" w:ascii="Arial" w:hAnsi="Arial"/>
      </w:rPr>
    </w:lvl>
    <w:lvl w:ilvl="2" w:tentative="0">
      <w:start w:val="1"/>
      <w:numFmt w:val="decimal"/>
      <w:suff w:val="space"/>
      <w:lvlText w:val="%1.%2.%3"/>
      <w:lvlJc w:val="left"/>
      <w:pPr>
        <w:ind w:left="994" w:hanging="426"/>
      </w:pPr>
      <w:rPr>
        <w:rFonts w:hint="default" w:ascii="Arial" w:hAnsi="Arial"/>
      </w:rPr>
    </w:lvl>
    <w:lvl w:ilvl="3" w:tentative="0">
      <w:start w:val="1"/>
      <w:numFmt w:val="decimal"/>
      <w:suff w:val="nothing"/>
      <w:lvlText w:val="%1.%2.%3.%4"/>
      <w:lvlJc w:val="left"/>
      <w:pPr>
        <w:ind w:left="851" w:hanging="851"/>
      </w:pPr>
      <w:rPr>
        <w:rFonts w:hint="eastAsia" w:ascii="Arial" w:hAnsi="Arial"/>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MTllZjI3YmRlN2Q2NzVkMDQ3MTZiMzY0ZjRkYzQifQ=="/>
  </w:docVars>
  <w:rsids>
    <w:rsidRoot w:val="00172A27"/>
    <w:rsid w:val="0000027B"/>
    <w:rsid w:val="000A75C8"/>
    <w:rsid w:val="001810AB"/>
    <w:rsid w:val="00464C90"/>
    <w:rsid w:val="00486A60"/>
    <w:rsid w:val="0051746E"/>
    <w:rsid w:val="006A6E0F"/>
    <w:rsid w:val="00701F19"/>
    <w:rsid w:val="007E313D"/>
    <w:rsid w:val="00843D2B"/>
    <w:rsid w:val="00876E10"/>
    <w:rsid w:val="00B4002A"/>
    <w:rsid w:val="00B4787B"/>
    <w:rsid w:val="00B82CE4"/>
    <w:rsid w:val="00C72036"/>
    <w:rsid w:val="00D75C73"/>
    <w:rsid w:val="00DD4256"/>
    <w:rsid w:val="00E84384"/>
    <w:rsid w:val="00EF1D2B"/>
    <w:rsid w:val="010C3DC8"/>
    <w:rsid w:val="01104205"/>
    <w:rsid w:val="01133A8D"/>
    <w:rsid w:val="011E5F4B"/>
    <w:rsid w:val="0124220D"/>
    <w:rsid w:val="01272F94"/>
    <w:rsid w:val="012F689B"/>
    <w:rsid w:val="01451DCE"/>
    <w:rsid w:val="01490860"/>
    <w:rsid w:val="014E6F82"/>
    <w:rsid w:val="015513C3"/>
    <w:rsid w:val="015F6849"/>
    <w:rsid w:val="01807F36"/>
    <w:rsid w:val="019C3DFD"/>
    <w:rsid w:val="01A9180D"/>
    <w:rsid w:val="01AF7BEA"/>
    <w:rsid w:val="01B40DE4"/>
    <w:rsid w:val="01E1619A"/>
    <w:rsid w:val="01F07B08"/>
    <w:rsid w:val="01F80812"/>
    <w:rsid w:val="01FB2DD9"/>
    <w:rsid w:val="021013D5"/>
    <w:rsid w:val="022D06FA"/>
    <w:rsid w:val="02335E70"/>
    <w:rsid w:val="025B474D"/>
    <w:rsid w:val="02606E5A"/>
    <w:rsid w:val="026E4232"/>
    <w:rsid w:val="027423C5"/>
    <w:rsid w:val="02752E79"/>
    <w:rsid w:val="02A57047"/>
    <w:rsid w:val="02B71145"/>
    <w:rsid w:val="02BD13FE"/>
    <w:rsid w:val="02C64EA5"/>
    <w:rsid w:val="02D21181"/>
    <w:rsid w:val="02FB27AB"/>
    <w:rsid w:val="03002880"/>
    <w:rsid w:val="031252E4"/>
    <w:rsid w:val="032350EC"/>
    <w:rsid w:val="033C3C19"/>
    <w:rsid w:val="035A5B49"/>
    <w:rsid w:val="03647669"/>
    <w:rsid w:val="0381130E"/>
    <w:rsid w:val="03815826"/>
    <w:rsid w:val="03836FED"/>
    <w:rsid w:val="03952249"/>
    <w:rsid w:val="03986736"/>
    <w:rsid w:val="039E0A82"/>
    <w:rsid w:val="03A53CEA"/>
    <w:rsid w:val="03BE5BF6"/>
    <w:rsid w:val="03D30CC4"/>
    <w:rsid w:val="03E019F0"/>
    <w:rsid w:val="03FD3032"/>
    <w:rsid w:val="03FF52F0"/>
    <w:rsid w:val="04043B28"/>
    <w:rsid w:val="040D738E"/>
    <w:rsid w:val="041B45ED"/>
    <w:rsid w:val="04785640"/>
    <w:rsid w:val="047E5277"/>
    <w:rsid w:val="048051D9"/>
    <w:rsid w:val="048E7A8B"/>
    <w:rsid w:val="04A10363"/>
    <w:rsid w:val="04B622E7"/>
    <w:rsid w:val="04E022FB"/>
    <w:rsid w:val="04E35692"/>
    <w:rsid w:val="04E772D5"/>
    <w:rsid w:val="04EC2E27"/>
    <w:rsid w:val="04F236E0"/>
    <w:rsid w:val="04F46C36"/>
    <w:rsid w:val="04FC2408"/>
    <w:rsid w:val="05036A36"/>
    <w:rsid w:val="050D7D72"/>
    <w:rsid w:val="0519555E"/>
    <w:rsid w:val="052F7CC3"/>
    <w:rsid w:val="05390A11"/>
    <w:rsid w:val="05503178"/>
    <w:rsid w:val="05572F02"/>
    <w:rsid w:val="057A3964"/>
    <w:rsid w:val="058D6B2A"/>
    <w:rsid w:val="05905FEF"/>
    <w:rsid w:val="05993289"/>
    <w:rsid w:val="059C1668"/>
    <w:rsid w:val="05A77054"/>
    <w:rsid w:val="05B57BA9"/>
    <w:rsid w:val="05BC5AEB"/>
    <w:rsid w:val="05BE457B"/>
    <w:rsid w:val="05EB28E2"/>
    <w:rsid w:val="0610305F"/>
    <w:rsid w:val="06205D46"/>
    <w:rsid w:val="06363304"/>
    <w:rsid w:val="06374930"/>
    <w:rsid w:val="06430034"/>
    <w:rsid w:val="06567C57"/>
    <w:rsid w:val="06596E60"/>
    <w:rsid w:val="065F1A68"/>
    <w:rsid w:val="066F2051"/>
    <w:rsid w:val="0673552B"/>
    <w:rsid w:val="0675636C"/>
    <w:rsid w:val="06782FB0"/>
    <w:rsid w:val="06814C80"/>
    <w:rsid w:val="06892E1B"/>
    <w:rsid w:val="069049BB"/>
    <w:rsid w:val="0697092F"/>
    <w:rsid w:val="069C4AB8"/>
    <w:rsid w:val="06A12FF8"/>
    <w:rsid w:val="06A3052C"/>
    <w:rsid w:val="06AA77DD"/>
    <w:rsid w:val="06AB5D75"/>
    <w:rsid w:val="06C1758F"/>
    <w:rsid w:val="06D1051B"/>
    <w:rsid w:val="06DB4C92"/>
    <w:rsid w:val="06DF1F5E"/>
    <w:rsid w:val="07403997"/>
    <w:rsid w:val="07471E60"/>
    <w:rsid w:val="074F7F51"/>
    <w:rsid w:val="075E0856"/>
    <w:rsid w:val="076D664C"/>
    <w:rsid w:val="077D0342"/>
    <w:rsid w:val="077D3DBA"/>
    <w:rsid w:val="07805D86"/>
    <w:rsid w:val="079166CB"/>
    <w:rsid w:val="079272A7"/>
    <w:rsid w:val="07996B11"/>
    <w:rsid w:val="07A67592"/>
    <w:rsid w:val="07B778F3"/>
    <w:rsid w:val="07C5145B"/>
    <w:rsid w:val="07C549E7"/>
    <w:rsid w:val="07C630F6"/>
    <w:rsid w:val="07CB3677"/>
    <w:rsid w:val="07CE3BD7"/>
    <w:rsid w:val="07D60095"/>
    <w:rsid w:val="07D8126E"/>
    <w:rsid w:val="07E30D8C"/>
    <w:rsid w:val="07FD7231"/>
    <w:rsid w:val="08111CF6"/>
    <w:rsid w:val="08205D83"/>
    <w:rsid w:val="08224F3D"/>
    <w:rsid w:val="082A331B"/>
    <w:rsid w:val="08301394"/>
    <w:rsid w:val="083B79C8"/>
    <w:rsid w:val="083D5D1A"/>
    <w:rsid w:val="08402499"/>
    <w:rsid w:val="08457CF4"/>
    <w:rsid w:val="08471C8E"/>
    <w:rsid w:val="08493228"/>
    <w:rsid w:val="085237C8"/>
    <w:rsid w:val="08541D01"/>
    <w:rsid w:val="085E4225"/>
    <w:rsid w:val="086231C5"/>
    <w:rsid w:val="086C1221"/>
    <w:rsid w:val="08995EE6"/>
    <w:rsid w:val="089F5730"/>
    <w:rsid w:val="08A542AA"/>
    <w:rsid w:val="08B6280A"/>
    <w:rsid w:val="08BE2039"/>
    <w:rsid w:val="08C90A3C"/>
    <w:rsid w:val="08CD1369"/>
    <w:rsid w:val="08CE5036"/>
    <w:rsid w:val="08D057CA"/>
    <w:rsid w:val="08D354DB"/>
    <w:rsid w:val="08DC323A"/>
    <w:rsid w:val="08E26A9B"/>
    <w:rsid w:val="08E473E8"/>
    <w:rsid w:val="08F00D74"/>
    <w:rsid w:val="090A3C34"/>
    <w:rsid w:val="090A6ABE"/>
    <w:rsid w:val="094246A7"/>
    <w:rsid w:val="09500FF8"/>
    <w:rsid w:val="095C4267"/>
    <w:rsid w:val="097B7F07"/>
    <w:rsid w:val="097F3117"/>
    <w:rsid w:val="097F6D74"/>
    <w:rsid w:val="098161B7"/>
    <w:rsid w:val="09900E7D"/>
    <w:rsid w:val="09920ED9"/>
    <w:rsid w:val="099B3705"/>
    <w:rsid w:val="09A562D9"/>
    <w:rsid w:val="09B577BB"/>
    <w:rsid w:val="09C179B0"/>
    <w:rsid w:val="09D92736"/>
    <w:rsid w:val="09DD5309"/>
    <w:rsid w:val="0A041CA1"/>
    <w:rsid w:val="0A172159"/>
    <w:rsid w:val="0A1A1B8B"/>
    <w:rsid w:val="0A1E5EA4"/>
    <w:rsid w:val="0A325B53"/>
    <w:rsid w:val="0A3D0540"/>
    <w:rsid w:val="0A442C55"/>
    <w:rsid w:val="0A6E3BA5"/>
    <w:rsid w:val="0A745EA0"/>
    <w:rsid w:val="0A874EF4"/>
    <w:rsid w:val="0A8A7D92"/>
    <w:rsid w:val="0A8D726C"/>
    <w:rsid w:val="0A901FEF"/>
    <w:rsid w:val="0AA476A5"/>
    <w:rsid w:val="0AC279A8"/>
    <w:rsid w:val="0AC84F50"/>
    <w:rsid w:val="0AD44914"/>
    <w:rsid w:val="0AD8127D"/>
    <w:rsid w:val="0AFB6C3F"/>
    <w:rsid w:val="0B082AA8"/>
    <w:rsid w:val="0B333B97"/>
    <w:rsid w:val="0B3E3225"/>
    <w:rsid w:val="0B46329A"/>
    <w:rsid w:val="0B5C3944"/>
    <w:rsid w:val="0B7347E6"/>
    <w:rsid w:val="0B7C4C9E"/>
    <w:rsid w:val="0B8D0010"/>
    <w:rsid w:val="0B8E6B44"/>
    <w:rsid w:val="0BA945C1"/>
    <w:rsid w:val="0BE321F8"/>
    <w:rsid w:val="0BE652FC"/>
    <w:rsid w:val="0BEC0431"/>
    <w:rsid w:val="0C0F1E0F"/>
    <w:rsid w:val="0C144DCE"/>
    <w:rsid w:val="0C1816D0"/>
    <w:rsid w:val="0C220FF9"/>
    <w:rsid w:val="0C2E01AE"/>
    <w:rsid w:val="0C354883"/>
    <w:rsid w:val="0C5D11F1"/>
    <w:rsid w:val="0C707C45"/>
    <w:rsid w:val="0C7D3C9D"/>
    <w:rsid w:val="0CBC5F5A"/>
    <w:rsid w:val="0CBD077F"/>
    <w:rsid w:val="0CBF5644"/>
    <w:rsid w:val="0CC653A6"/>
    <w:rsid w:val="0CEC4848"/>
    <w:rsid w:val="0D071529"/>
    <w:rsid w:val="0D383D4D"/>
    <w:rsid w:val="0D490418"/>
    <w:rsid w:val="0D586A57"/>
    <w:rsid w:val="0D6E4BBD"/>
    <w:rsid w:val="0D7C3751"/>
    <w:rsid w:val="0DB151E1"/>
    <w:rsid w:val="0DB36B5C"/>
    <w:rsid w:val="0DB51505"/>
    <w:rsid w:val="0DC345AB"/>
    <w:rsid w:val="0DD45960"/>
    <w:rsid w:val="0DE80267"/>
    <w:rsid w:val="0DE80A1A"/>
    <w:rsid w:val="0DED3077"/>
    <w:rsid w:val="0DEF3BD2"/>
    <w:rsid w:val="0DFD42AB"/>
    <w:rsid w:val="0E0D1002"/>
    <w:rsid w:val="0E144770"/>
    <w:rsid w:val="0E17628A"/>
    <w:rsid w:val="0E272BE0"/>
    <w:rsid w:val="0E3F4840"/>
    <w:rsid w:val="0E457FAB"/>
    <w:rsid w:val="0E570AF9"/>
    <w:rsid w:val="0E5E3D00"/>
    <w:rsid w:val="0E621687"/>
    <w:rsid w:val="0E7F52AC"/>
    <w:rsid w:val="0E8A5825"/>
    <w:rsid w:val="0E8F7368"/>
    <w:rsid w:val="0E981445"/>
    <w:rsid w:val="0E9A449D"/>
    <w:rsid w:val="0E9F3AA0"/>
    <w:rsid w:val="0EA17280"/>
    <w:rsid w:val="0EBD1EA8"/>
    <w:rsid w:val="0EDD5D1A"/>
    <w:rsid w:val="0EE557A9"/>
    <w:rsid w:val="0EE60696"/>
    <w:rsid w:val="0EEA0E6A"/>
    <w:rsid w:val="0EF040C6"/>
    <w:rsid w:val="0EFE38BA"/>
    <w:rsid w:val="0F0E777E"/>
    <w:rsid w:val="0F596290"/>
    <w:rsid w:val="0F674B3E"/>
    <w:rsid w:val="0F7267AF"/>
    <w:rsid w:val="0F7C7965"/>
    <w:rsid w:val="0F8C0DAD"/>
    <w:rsid w:val="0F9B582D"/>
    <w:rsid w:val="0F9C70E7"/>
    <w:rsid w:val="0FA4092A"/>
    <w:rsid w:val="0FAE7EE8"/>
    <w:rsid w:val="0FB37D09"/>
    <w:rsid w:val="0FB6051B"/>
    <w:rsid w:val="0FCC2AB1"/>
    <w:rsid w:val="0FE72C23"/>
    <w:rsid w:val="0FF874AD"/>
    <w:rsid w:val="0FFA0D3D"/>
    <w:rsid w:val="1002549D"/>
    <w:rsid w:val="101551E6"/>
    <w:rsid w:val="10202B18"/>
    <w:rsid w:val="104462BF"/>
    <w:rsid w:val="104A0429"/>
    <w:rsid w:val="104C4B08"/>
    <w:rsid w:val="106C4E6F"/>
    <w:rsid w:val="106C731A"/>
    <w:rsid w:val="10AD4F58"/>
    <w:rsid w:val="10AE0674"/>
    <w:rsid w:val="10B93D1E"/>
    <w:rsid w:val="10C0770F"/>
    <w:rsid w:val="10C4629D"/>
    <w:rsid w:val="10CB0E53"/>
    <w:rsid w:val="10D56094"/>
    <w:rsid w:val="10D7179A"/>
    <w:rsid w:val="10D8511C"/>
    <w:rsid w:val="10DC6920"/>
    <w:rsid w:val="10E34613"/>
    <w:rsid w:val="10FC08AF"/>
    <w:rsid w:val="11044CFC"/>
    <w:rsid w:val="11283A5A"/>
    <w:rsid w:val="1129237B"/>
    <w:rsid w:val="113A7F86"/>
    <w:rsid w:val="11400F01"/>
    <w:rsid w:val="11437189"/>
    <w:rsid w:val="11441694"/>
    <w:rsid w:val="11485BA5"/>
    <w:rsid w:val="116E38AB"/>
    <w:rsid w:val="117664ED"/>
    <w:rsid w:val="11AE50AD"/>
    <w:rsid w:val="11C56561"/>
    <w:rsid w:val="11D35E9E"/>
    <w:rsid w:val="11E86CA0"/>
    <w:rsid w:val="11F47915"/>
    <w:rsid w:val="12076648"/>
    <w:rsid w:val="120D5F93"/>
    <w:rsid w:val="121473AB"/>
    <w:rsid w:val="12222797"/>
    <w:rsid w:val="122B3102"/>
    <w:rsid w:val="12325F1C"/>
    <w:rsid w:val="125C5D20"/>
    <w:rsid w:val="126F5A68"/>
    <w:rsid w:val="12701E09"/>
    <w:rsid w:val="12711354"/>
    <w:rsid w:val="128017F6"/>
    <w:rsid w:val="12A2357C"/>
    <w:rsid w:val="12A270CA"/>
    <w:rsid w:val="12AD382E"/>
    <w:rsid w:val="12AE3102"/>
    <w:rsid w:val="12BB2E55"/>
    <w:rsid w:val="12C65244"/>
    <w:rsid w:val="12D517F2"/>
    <w:rsid w:val="13042ADC"/>
    <w:rsid w:val="1318158D"/>
    <w:rsid w:val="132B5972"/>
    <w:rsid w:val="13570FFA"/>
    <w:rsid w:val="13585BA4"/>
    <w:rsid w:val="13641DA0"/>
    <w:rsid w:val="13696C39"/>
    <w:rsid w:val="136D7CB1"/>
    <w:rsid w:val="137E75AE"/>
    <w:rsid w:val="13923DB3"/>
    <w:rsid w:val="13AC189C"/>
    <w:rsid w:val="13B45CBF"/>
    <w:rsid w:val="13C40FE0"/>
    <w:rsid w:val="13DC1A7F"/>
    <w:rsid w:val="13DC45FB"/>
    <w:rsid w:val="13E2270F"/>
    <w:rsid w:val="13EB41A7"/>
    <w:rsid w:val="13F8053A"/>
    <w:rsid w:val="141A0C7C"/>
    <w:rsid w:val="1428121C"/>
    <w:rsid w:val="14450D7F"/>
    <w:rsid w:val="14587807"/>
    <w:rsid w:val="14714379"/>
    <w:rsid w:val="147A4B0F"/>
    <w:rsid w:val="147B7587"/>
    <w:rsid w:val="147D3429"/>
    <w:rsid w:val="1480511C"/>
    <w:rsid w:val="148D3A39"/>
    <w:rsid w:val="14900A96"/>
    <w:rsid w:val="14966DA6"/>
    <w:rsid w:val="14AB2463"/>
    <w:rsid w:val="14BF307B"/>
    <w:rsid w:val="14C57350"/>
    <w:rsid w:val="14CB3635"/>
    <w:rsid w:val="14D60E77"/>
    <w:rsid w:val="14F32556"/>
    <w:rsid w:val="14FA2683"/>
    <w:rsid w:val="151B67AF"/>
    <w:rsid w:val="152423DD"/>
    <w:rsid w:val="152E733B"/>
    <w:rsid w:val="154C7176"/>
    <w:rsid w:val="156B34E5"/>
    <w:rsid w:val="15894FC1"/>
    <w:rsid w:val="158C12D7"/>
    <w:rsid w:val="158C30A9"/>
    <w:rsid w:val="15A441DB"/>
    <w:rsid w:val="15DA583A"/>
    <w:rsid w:val="15E22EB4"/>
    <w:rsid w:val="15E66644"/>
    <w:rsid w:val="15F93F31"/>
    <w:rsid w:val="15FC1BAD"/>
    <w:rsid w:val="16085061"/>
    <w:rsid w:val="162064E6"/>
    <w:rsid w:val="16466129"/>
    <w:rsid w:val="16496E50"/>
    <w:rsid w:val="1652230F"/>
    <w:rsid w:val="165E65C5"/>
    <w:rsid w:val="16703A29"/>
    <w:rsid w:val="1673394C"/>
    <w:rsid w:val="1693617E"/>
    <w:rsid w:val="169621DB"/>
    <w:rsid w:val="16AD7749"/>
    <w:rsid w:val="16B757AB"/>
    <w:rsid w:val="16CA0A1F"/>
    <w:rsid w:val="16D448D0"/>
    <w:rsid w:val="16E876A9"/>
    <w:rsid w:val="16F14D35"/>
    <w:rsid w:val="16F416F1"/>
    <w:rsid w:val="16FD200F"/>
    <w:rsid w:val="16FE188A"/>
    <w:rsid w:val="17101D00"/>
    <w:rsid w:val="1714060C"/>
    <w:rsid w:val="17186FA4"/>
    <w:rsid w:val="171B1048"/>
    <w:rsid w:val="172A7C75"/>
    <w:rsid w:val="172D712F"/>
    <w:rsid w:val="173B7D34"/>
    <w:rsid w:val="1745177F"/>
    <w:rsid w:val="1749502A"/>
    <w:rsid w:val="178D293C"/>
    <w:rsid w:val="1790686F"/>
    <w:rsid w:val="17AE0F49"/>
    <w:rsid w:val="17BB79CF"/>
    <w:rsid w:val="17D021BD"/>
    <w:rsid w:val="17DE2B3E"/>
    <w:rsid w:val="17FC3DAB"/>
    <w:rsid w:val="180B592C"/>
    <w:rsid w:val="181A4AE9"/>
    <w:rsid w:val="183B4FAF"/>
    <w:rsid w:val="184039C4"/>
    <w:rsid w:val="184473E5"/>
    <w:rsid w:val="186031C0"/>
    <w:rsid w:val="18703EF6"/>
    <w:rsid w:val="188A3235"/>
    <w:rsid w:val="1892439D"/>
    <w:rsid w:val="18983A18"/>
    <w:rsid w:val="189B52F0"/>
    <w:rsid w:val="189B7D46"/>
    <w:rsid w:val="18A32ED9"/>
    <w:rsid w:val="18AB37A4"/>
    <w:rsid w:val="18C2557D"/>
    <w:rsid w:val="18CE7628"/>
    <w:rsid w:val="18F81FAD"/>
    <w:rsid w:val="18FD782C"/>
    <w:rsid w:val="19240D01"/>
    <w:rsid w:val="192E5F18"/>
    <w:rsid w:val="193745EC"/>
    <w:rsid w:val="19460138"/>
    <w:rsid w:val="19462024"/>
    <w:rsid w:val="194B5CF3"/>
    <w:rsid w:val="195C2F07"/>
    <w:rsid w:val="196E6806"/>
    <w:rsid w:val="198D33EC"/>
    <w:rsid w:val="19AF07FE"/>
    <w:rsid w:val="19B7674C"/>
    <w:rsid w:val="19B834A7"/>
    <w:rsid w:val="19FA0B0E"/>
    <w:rsid w:val="1A3655E9"/>
    <w:rsid w:val="1A38126B"/>
    <w:rsid w:val="1A4457A0"/>
    <w:rsid w:val="1A534F52"/>
    <w:rsid w:val="1A620099"/>
    <w:rsid w:val="1A8F45B8"/>
    <w:rsid w:val="1A9D1DE5"/>
    <w:rsid w:val="1AAF7096"/>
    <w:rsid w:val="1AB702BD"/>
    <w:rsid w:val="1AC35944"/>
    <w:rsid w:val="1ACC66E3"/>
    <w:rsid w:val="1AD32D94"/>
    <w:rsid w:val="1ADD4AD9"/>
    <w:rsid w:val="1B0D525B"/>
    <w:rsid w:val="1B180A93"/>
    <w:rsid w:val="1B280D01"/>
    <w:rsid w:val="1B3C6204"/>
    <w:rsid w:val="1B3E5265"/>
    <w:rsid w:val="1B480EA3"/>
    <w:rsid w:val="1B4E1819"/>
    <w:rsid w:val="1B4F435C"/>
    <w:rsid w:val="1B533B02"/>
    <w:rsid w:val="1B574207"/>
    <w:rsid w:val="1B5C204A"/>
    <w:rsid w:val="1B5F347E"/>
    <w:rsid w:val="1B7050E0"/>
    <w:rsid w:val="1B866E20"/>
    <w:rsid w:val="1B960ED4"/>
    <w:rsid w:val="1BBD7A17"/>
    <w:rsid w:val="1BBF3571"/>
    <w:rsid w:val="1BC56CE0"/>
    <w:rsid w:val="1BC66559"/>
    <w:rsid w:val="1BEA4ECA"/>
    <w:rsid w:val="1C3E35F4"/>
    <w:rsid w:val="1C6441D9"/>
    <w:rsid w:val="1C7025AD"/>
    <w:rsid w:val="1C743196"/>
    <w:rsid w:val="1C7F5E22"/>
    <w:rsid w:val="1C845FB9"/>
    <w:rsid w:val="1C893981"/>
    <w:rsid w:val="1CA049BB"/>
    <w:rsid w:val="1CA12B46"/>
    <w:rsid w:val="1CA37DD8"/>
    <w:rsid w:val="1CA71382"/>
    <w:rsid w:val="1CAB568A"/>
    <w:rsid w:val="1CBA4947"/>
    <w:rsid w:val="1CBF39F8"/>
    <w:rsid w:val="1CC07414"/>
    <w:rsid w:val="1CC16849"/>
    <w:rsid w:val="1CC246AD"/>
    <w:rsid w:val="1CCB64E6"/>
    <w:rsid w:val="1CCC076E"/>
    <w:rsid w:val="1CD30E45"/>
    <w:rsid w:val="1CD97574"/>
    <w:rsid w:val="1CE10C69"/>
    <w:rsid w:val="1CEB04EC"/>
    <w:rsid w:val="1D0D68FC"/>
    <w:rsid w:val="1D0E72DD"/>
    <w:rsid w:val="1D10580B"/>
    <w:rsid w:val="1D2B1388"/>
    <w:rsid w:val="1D37736D"/>
    <w:rsid w:val="1D394484"/>
    <w:rsid w:val="1D4B7475"/>
    <w:rsid w:val="1D676FDD"/>
    <w:rsid w:val="1D7D4F50"/>
    <w:rsid w:val="1D8F6664"/>
    <w:rsid w:val="1D97662C"/>
    <w:rsid w:val="1DA65A0C"/>
    <w:rsid w:val="1DA835DA"/>
    <w:rsid w:val="1DAB11DD"/>
    <w:rsid w:val="1DB16D9A"/>
    <w:rsid w:val="1DDF22C5"/>
    <w:rsid w:val="1DE764DC"/>
    <w:rsid w:val="1DEF5463"/>
    <w:rsid w:val="1E244240"/>
    <w:rsid w:val="1E5417F8"/>
    <w:rsid w:val="1E736993"/>
    <w:rsid w:val="1E753ECF"/>
    <w:rsid w:val="1E771B76"/>
    <w:rsid w:val="1E7C26D1"/>
    <w:rsid w:val="1E8A29C8"/>
    <w:rsid w:val="1E973BB0"/>
    <w:rsid w:val="1E976E5C"/>
    <w:rsid w:val="1EAC121D"/>
    <w:rsid w:val="1EAC1B6E"/>
    <w:rsid w:val="1EC00B6B"/>
    <w:rsid w:val="1ED112A5"/>
    <w:rsid w:val="1ED43EA5"/>
    <w:rsid w:val="1ED47B41"/>
    <w:rsid w:val="1EE03A95"/>
    <w:rsid w:val="1EED6B5E"/>
    <w:rsid w:val="1EEE6963"/>
    <w:rsid w:val="1EF43D8A"/>
    <w:rsid w:val="1EF5108F"/>
    <w:rsid w:val="1EF543F2"/>
    <w:rsid w:val="1EFF0E93"/>
    <w:rsid w:val="1F052591"/>
    <w:rsid w:val="1F0B5286"/>
    <w:rsid w:val="1F2625DF"/>
    <w:rsid w:val="1F5D7E53"/>
    <w:rsid w:val="1F900838"/>
    <w:rsid w:val="20065FCD"/>
    <w:rsid w:val="20191521"/>
    <w:rsid w:val="202A3DD7"/>
    <w:rsid w:val="20392C2A"/>
    <w:rsid w:val="20412707"/>
    <w:rsid w:val="204D0C33"/>
    <w:rsid w:val="204D2B17"/>
    <w:rsid w:val="20524ADA"/>
    <w:rsid w:val="2059165A"/>
    <w:rsid w:val="20711AEF"/>
    <w:rsid w:val="207D1658"/>
    <w:rsid w:val="20936CD1"/>
    <w:rsid w:val="20974A7D"/>
    <w:rsid w:val="20AB5D41"/>
    <w:rsid w:val="20C92B9D"/>
    <w:rsid w:val="20CD3291"/>
    <w:rsid w:val="20D563A6"/>
    <w:rsid w:val="20D77F88"/>
    <w:rsid w:val="20DB394B"/>
    <w:rsid w:val="20DC03F8"/>
    <w:rsid w:val="20E324A9"/>
    <w:rsid w:val="20EC1115"/>
    <w:rsid w:val="20F12F05"/>
    <w:rsid w:val="20F274D8"/>
    <w:rsid w:val="20F67518"/>
    <w:rsid w:val="210460EF"/>
    <w:rsid w:val="21051DE9"/>
    <w:rsid w:val="211C20D4"/>
    <w:rsid w:val="211C6E38"/>
    <w:rsid w:val="21261716"/>
    <w:rsid w:val="213261E6"/>
    <w:rsid w:val="21354E0E"/>
    <w:rsid w:val="213B1D4B"/>
    <w:rsid w:val="215839C4"/>
    <w:rsid w:val="215A37C9"/>
    <w:rsid w:val="217C63E0"/>
    <w:rsid w:val="21865062"/>
    <w:rsid w:val="2188521D"/>
    <w:rsid w:val="218B5358"/>
    <w:rsid w:val="218C56D3"/>
    <w:rsid w:val="21956642"/>
    <w:rsid w:val="21A04023"/>
    <w:rsid w:val="21AE3AEF"/>
    <w:rsid w:val="21C40468"/>
    <w:rsid w:val="21CD4447"/>
    <w:rsid w:val="21D00698"/>
    <w:rsid w:val="21DB06A6"/>
    <w:rsid w:val="21DB5242"/>
    <w:rsid w:val="21E01FF0"/>
    <w:rsid w:val="21E3686D"/>
    <w:rsid w:val="21F65209"/>
    <w:rsid w:val="22142976"/>
    <w:rsid w:val="222424EF"/>
    <w:rsid w:val="22257EEE"/>
    <w:rsid w:val="224B4BAC"/>
    <w:rsid w:val="224E7B5E"/>
    <w:rsid w:val="22636DAC"/>
    <w:rsid w:val="22722210"/>
    <w:rsid w:val="22725DEB"/>
    <w:rsid w:val="227D3FEC"/>
    <w:rsid w:val="22B10B41"/>
    <w:rsid w:val="22B44D3A"/>
    <w:rsid w:val="22BE5081"/>
    <w:rsid w:val="22C11D2F"/>
    <w:rsid w:val="22C3402F"/>
    <w:rsid w:val="22CC33BD"/>
    <w:rsid w:val="22D8742A"/>
    <w:rsid w:val="22DA4976"/>
    <w:rsid w:val="22DC1D2A"/>
    <w:rsid w:val="22ED10E7"/>
    <w:rsid w:val="23021B81"/>
    <w:rsid w:val="23072014"/>
    <w:rsid w:val="232914CD"/>
    <w:rsid w:val="23323F67"/>
    <w:rsid w:val="233A03F7"/>
    <w:rsid w:val="23436466"/>
    <w:rsid w:val="237405A7"/>
    <w:rsid w:val="238C4B7D"/>
    <w:rsid w:val="238D6D27"/>
    <w:rsid w:val="23984560"/>
    <w:rsid w:val="23AB6AC0"/>
    <w:rsid w:val="23B27BF9"/>
    <w:rsid w:val="23B8019B"/>
    <w:rsid w:val="23BA05C6"/>
    <w:rsid w:val="23D7178F"/>
    <w:rsid w:val="23E47BA2"/>
    <w:rsid w:val="23EE0EBC"/>
    <w:rsid w:val="240758B1"/>
    <w:rsid w:val="241A09A3"/>
    <w:rsid w:val="241A2F6D"/>
    <w:rsid w:val="241B2468"/>
    <w:rsid w:val="243F0460"/>
    <w:rsid w:val="2457631F"/>
    <w:rsid w:val="245C2C9F"/>
    <w:rsid w:val="24871FFA"/>
    <w:rsid w:val="2493699B"/>
    <w:rsid w:val="24941B47"/>
    <w:rsid w:val="24A4467B"/>
    <w:rsid w:val="24C558BF"/>
    <w:rsid w:val="24CC1FC9"/>
    <w:rsid w:val="24CE64E1"/>
    <w:rsid w:val="24D679EE"/>
    <w:rsid w:val="24DB0961"/>
    <w:rsid w:val="250015FA"/>
    <w:rsid w:val="250D7AEF"/>
    <w:rsid w:val="25124043"/>
    <w:rsid w:val="252C4906"/>
    <w:rsid w:val="25370533"/>
    <w:rsid w:val="25381132"/>
    <w:rsid w:val="253B7BF9"/>
    <w:rsid w:val="255A750E"/>
    <w:rsid w:val="255C6F66"/>
    <w:rsid w:val="25665EB5"/>
    <w:rsid w:val="258265BB"/>
    <w:rsid w:val="25885E44"/>
    <w:rsid w:val="258A40F9"/>
    <w:rsid w:val="258E43C6"/>
    <w:rsid w:val="2596468B"/>
    <w:rsid w:val="25C06073"/>
    <w:rsid w:val="25C132DF"/>
    <w:rsid w:val="25C8463C"/>
    <w:rsid w:val="25CB41CE"/>
    <w:rsid w:val="25E847EB"/>
    <w:rsid w:val="261F5C68"/>
    <w:rsid w:val="26211FD3"/>
    <w:rsid w:val="2625276A"/>
    <w:rsid w:val="263651EE"/>
    <w:rsid w:val="26395046"/>
    <w:rsid w:val="26412649"/>
    <w:rsid w:val="264841E7"/>
    <w:rsid w:val="265A1A85"/>
    <w:rsid w:val="26625B80"/>
    <w:rsid w:val="26687E6D"/>
    <w:rsid w:val="2683562F"/>
    <w:rsid w:val="268828BB"/>
    <w:rsid w:val="26906E58"/>
    <w:rsid w:val="26917C64"/>
    <w:rsid w:val="269775AC"/>
    <w:rsid w:val="26A84F9B"/>
    <w:rsid w:val="26BF77CD"/>
    <w:rsid w:val="27130266"/>
    <w:rsid w:val="27270647"/>
    <w:rsid w:val="273174AA"/>
    <w:rsid w:val="27370D4E"/>
    <w:rsid w:val="27776095"/>
    <w:rsid w:val="27A066BB"/>
    <w:rsid w:val="27BC1430"/>
    <w:rsid w:val="27C50D99"/>
    <w:rsid w:val="27C71E00"/>
    <w:rsid w:val="27CD5C2C"/>
    <w:rsid w:val="27DE002C"/>
    <w:rsid w:val="282F0598"/>
    <w:rsid w:val="28361ABF"/>
    <w:rsid w:val="283F7DED"/>
    <w:rsid w:val="28553474"/>
    <w:rsid w:val="285A3D91"/>
    <w:rsid w:val="285F5DE3"/>
    <w:rsid w:val="28640BE7"/>
    <w:rsid w:val="28950477"/>
    <w:rsid w:val="289C3247"/>
    <w:rsid w:val="289D29A2"/>
    <w:rsid w:val="28A66CF4"/>
    <w:rsid w:val="28B42BEE"/>
    <w:rsid w:val="28CC572F"/>
    <w:rsid w:val="28DF6636"/>
    <w:rsid w:val="28E90A9E"/>
    <w:rsid w:val="28E92667"/>
    <w:rsid w:val="28FF73C1"/>
    <w:rsid w:val="291C5AE4"/>
    <w:rsid w:val="292267C1"/>
    <w:rsid w:val="29322A01"/>
    <w:rsid w:val="29364B92"/>
    <w:rsid w:val="294F7384"/>
    <w:rsid w:val="2968131E"/>
    <w:rsid w:val="2987188B"/>
    <w:rsid w:val="299A2214"/>
    <w:rsid w:val="29AD11C9"/>
    <w:rsid w:val="29B457B3"/>
    <w:rsid w:val="29C8391E"/>
    <w:rsid w:val="29DC6E3F"/>
    <w:rsid w:val="2A111D82"/>
    <w:rsid w:val="2A3556DC"/>
    <w:rsid w:val="2A3743A3"/>
    <w:rsid w:val="2A420627"/>
    <w:rsid w:val="2A5F38C4"/>
    <w:rsid w:val="2A7E17C1"/>
    <w:rsid w:val="2A916EC5"/>
    <w:rsid w:val="2A954815"/>
    <w:rsid w:val="2AAA709A"/>
    <w:rsid w:val="2ACE350A"/>
    <w:rsid w:val="2AD204BA"/>
    <w:rsid w:val="2AD232F0"/>
    <w:rsid w:val="2AD240BC"/>
    <w:rsid w:val="2AD401E9"/>
    <w:rsid w:val="2ADF4414"/>
    <w:rsid w:val="2AE94163"/>
    <w:rsid w:val="2AE94820"/>
    <w:rsid w:val="2AF3628B"/>
    <w:rsid w:val="2B0F1A29"/>
    <w:rsid w:val="2B235724"/>
    <w:rsid w:val="2B335D33"/>
    <w:rsid w:val="2B4D3828"/>
    <w:rsid w:val="2B503106"/>
    <w:rsid w:val="2B5638E3"/>
    <w:rsid w:val="2B635F98"/>
    <w:rsid w:val="2B89734F"/>
    <w:rsid w:val="2B8F395A"/>
    <w:rsid w:val="2BA17E5E"/>
    <w:rsid w:val="2BA56D4E"/>
    <w:rsid w:val="2BA6383A"/>
    <w:rsid w:val="2BA91ABA"/>
    <w:rsid w:val="2BAB561E"/>
    <w:rsid w:val="2BB463DA"/>
    <w:rsid w:val="2BD81D6F"/>
    <w:rsid w:val="2BE35225"/>
    <w:rsid w:val="2BF35D9E"/>
    <w:rsid w:val="2BF72763"/>
    <w:rsid w:val="2C0964DF"/>
    <w:rsid w:val="2C175668"/>
    <w:rsid w:val="2C494D13"/>
    <w:rsid w:val="2C4E60EC"/>
    <w:rsid w:val="2C5B2712"/>
    <w:rsid w:val="2C640CCB"/>
    <w:rsid w:val="2C675F7D"/>
    <w:rsid w:val="2C6C48C4"/>
    <w:rsid w:val="2C7579A2"/>
    <w:rsid w:val="2CB63266"/>
    <w:rsid w:val="2CCA360C"/>
    <w:rsid w:val="2CFA48A4"/>
    <w:rsid w:val="2CFB5DBC"/>
    <w:rsid w:val="2CFC2A37"/>
    <w:rsid w:val="2D0A69AD"/>
    <w:rsid w:val="2D0C2788"/>
    <w:rsid w:val="2D2E02C9"/>
    <w:rsid w:val="2D2E485E"/>
    <w:rsid w:val="2D2F1B2D"/>
    <w:rsid w:val="2D6639DD"/>
    <w:rsid w:val="2D6A20DB"/>
    <w:rsid w:val="2D801032"/>
    <w:rsid w:val="2D872D17"/>
    <w:rsid w:val="2D952AB3"/>
    <w:rsid w:val="2DA41DA0"/>
    <w:rsid w:val="2DA806EF"/>
    <w:rsid w:val="2DAE3FA4"/>
    <w:rsid w:val="2DBB46F7"/>
    <w:rsid w:val="2DD618FF"/>
    <w:rsid w:val="2DDD2443"/>
    <w:rsid w:val="2DF313A0"/>
    <w:rsid w:val="2DF61A6F"/>
    <w:rsid w:val="2E010CF2"/>
    <w:rsid w:val="2E12626B"/>
    <w:rsid w:val="2E230E62"/>
    <w:rsid w:val="2E373392"/>
    <w:rsid w:val="2E3D0546"/>
    <w:rsid w:val="2E43719A"/>
    <w:rsid w:val="2E5C7456"/>
    <w:rsid w:val="2E7049E0"/>
    <w:rsid w:val="2E783F81"/>
    <w:rsid w:val="2E8D234B"/>
    <w:rsid w:val="2E9E6301"/>
    <w:rsid w:val="2E9F4071"/>
    <w:rsid w:val="2EA15069"/>
    <w:rsid w:val="2EA849F1"/>
    <w:rsid w:val="2EA96AE1"/>
    <w:rsid w:val="2EB2795A"/>
    <w:rsid w:val="2EB54682"/>
    <w:rsid w:val="2EB753D7"/>
    <w:rsid w:val="2EBE732F"/>
    <w:rsid w:val="2EC05403"/>
    <w:rsid w:val="2EC85979"/>
    <w:rsid w:val="2EE631A0"/>
    <w:rsid w:val="2F0438C6"/>
    <w:rsid w:val="2F0D6EF8"/>
    <w:rsid w:val="2F160AD2"/>
    <w:rsid w:val="2F213BBF"/>
    <w:rsid w:val="2F24558B"/>
    <w:rsid w:val="2F5A10DA"/>
    <w:rsid w:val="2F707D02"/>
    <w:rsid w:val="2FA947B2"/>
    <w:rsid w:val="2FB50101"/>
    <w:rsid w:val="2FB668DF"/>
    <w:rsid w:val="2FFA32B1"/>
    <w:rsid w:val="30041500"/>
    <w:rsid w:val="30101492"/>
    <w:rsid w:val="30147C76"/>
    <w:rsid w:val="301D36D9"/>
    <w:rsid w:val="30401171"/>
    <w:rsid w:val="30490FD9"/>
    <w:rsid w:val="306A3EFF"/>
    <w:rsid w:val="306D3684"/>
    <w:rsid w:val="30740678"/>
    <w:rsid w:val="30793F27"/>
    <w:rsid w:val="30A67568"/>
    <w:rsid w:val="30A84A0B"/>
    <w:rsid w:val="30DD1ED3"/>
    <w:rsid w:val="30E06274"/>
    <w:rsid w:val="30EC5D28"/>
    <w:rsid w:val="30F84624"/>
    <w:rsid w:val="31104F39"/>
    <w:rsid w:val="311460CB"/>
    <w:rsid w:val="31286D7F"/>
    <w:rsid w:val="312D25A6"/>
    <w:rsid w:val="31403DEF"/>
    <w:rsid w:val="314059A8"/>
    <w:rsid w:val="31461F4A"/>
    <w:rsid w:val="315B77F5"/>
    <w:rsid w:val="316279DB"/>
    <w:rsid w:val="316328DD"/>
    <w:rsid w:val="316E02A6"/>
    <w:rsid w:val="317620AC"/>
    <w:rsid w:val="317A3C89"/>
    <w:rsid w:val="318331E7"/>
    <w:rsid w:val="31A63499"/>
    <w:rsid w:val="31AA2E12"/>
    <w:rsid w:val="31B514EA"/>
    <w:rsid w:val="31C32E6A"/>
    <w:rsid w:val="31CA2429"/>
    <w:rsid w:val="31D40852"/>
    <w:rsid w:val="31D53C5E"/>
    <w:rsid w:val="31E5540A"/>
    <w:rsid w:val="31EC260A"/>
    <w:rsid w:val="320D6B16"/>
    <w:rsid w:val="320E71B2"/>
    <w:rsid w:val="320F6728"/>
    <w:rsid w:val="320F7076"/>
    <w:rsid w:val="32107BE9"/>
    <w:rsid w:val="321A161E"/>
    <w:rsid w:val="321F31EA"/>
    <w:rsid w:val="323937BD"/>
    <w:rsid w:val="3252026A"/>
    <w:rsid w:val="32611285"/>
    <w:rsid w:val="32676BB1"/>
    <w:rsid w:val="326F0CD6"/>
    <w:rsid w:val="328637D1"/>
    <w:rsid w:val="328F17B3"/>
    <w:rsid w:val="329E2ED1"/>
    <w:rsid w:val="32B13578"/>
    <w:rsid w:val="32B9395E"/>
    <w:rsid w:val="32BC293E"/>
    <w:rsid w:val="32C26C64"/>
    <w:rsid w:val="32CC476D"/>
    <w:rsid w:val="32D95B97"/>
    <w:rsid w:val="32DE7D34"/>
    <w:rsid w:val="32F54F6A"/>
    <w:rsid w:val="32FE5284"/>
    <w:rsid w:val="33416056"/>
    <w:rsid w:val="335522D5"/>
    <w:rsid w:val="33964C8E"/>
    <w:rsid w:val="33D97D78"/>
    <w:rsid w:val="33E20D78"/>
    <w:rsid w:val="33F1057F"/>
    <w:rsid w:val="33F9219D"/>
    <w:rsid w:val="340E1AD6"/>
    <w:rsid w:val="341D0924"/>
    <w:rsid w:val="3425591B"/>
    <w:rsid w:val="34360E2F"/>
    <w:rsid w:val="344A0264"/>
    <w:rsid w:val="34554992"/>
    <w:rsid w:val="34555C2F"/>
    <w:rsid w:val="34645D53"/>
    <w:rsid w:val="346F150C"/>
    <w:rsid w:val="349756B2"/>
    <w:rsid w:val="34B351E6"/>
    <w:rsid w:val="34B45191"/>
    <w:rsid w:val="34C02EE7"/>
    <w:rsid w:val="34D60F21"/>
    <w:rsid w:val="34E5448B"/>
    <w:rsid w:val="34EE4679"/>
    <w:rsid w:val="34FC5AF0"/>
    <w:rsid w:val="3503388B"/>
    <w:rsid w:val="35177B69"/>
    <w:rsid w:val="3527157F"/>
    <w:rsid w:val="353038E2"/>
    <w:rsid w:val="353D6B38"/>
    <w:rsid w:val="353F75B6"/>
    <w:rsid w:val="354B3557"/>
    <w:rsid w:val="35611A4B"/>
    <w:rsid w:val="35661CF9"/>
    <w:rsid w:val="35704BDC"/>
    <w:rsid w:val="357B01B0"/>
    <w:rsid w:val="358D4FCA"/>
    <w:rsid w:val="359A4FB4"/>
    <w:rsid w:val="35A60EA0"/>
    <w:rsid w:val="35B43776"/>
    <w:rsid w:val="35DA5665"/>
    <w:rsid w:val="35F35B56"/>
    <w:rsid w:val="36151456"/>
    <w:rsid w:val="362D2C1F"/>
    <w:rsid w:val="363173E5"/>
    <w:rsid w:val="363733A4"/>
    <w:rsid w:val="363A6C19"/>
    <w:rsid w:val="36403F9B"/>
    <w:rsid w:val="36447410"/>
    <w:rsid w:val="364C47F4"/>
    <w:rsid w:val="364F4706"/>
    <w:rsid w:val="365E4D18"/>
    <w:rsid w:val="366D6773"/>
    <w:rsid w:val="36740080"/>
    <w:rsid w:val="368E49CE"/>
    <w:rsid w:val="369223D8"/>
    <w:rsid w:val="369D483B"/>
    <w:rsid w:val="36D7246F"/>
    <w:rsid w:val="36E45CE9"/>
    <w:rsid w:val="36E918A6"/>
    <w:rsid w:val="36E922E3"/>
    <w:rsid w:val="36EA6AE8"/>
    <w:rsid w:val="371249F0"/>
    <w:rsid w:val="371E116F"/>
    <w:rsid w:val="373257C0"/>
    <w:rsid w:val="37383003"/>
    <w:rsid w:val="373A2CCA"/>
    <w:rsid w:val="373E523B"/>
    <w:rsid w:val="376A0BCB"/>
    <w:rsid w:val="376C32C3"/>
    <w:rsid w:val="378B6554"/>
    <w:rsid w:val="37B164E7"/>
    <w:rsid w:val="37B66811"/>
    <w:rsid w:val="37B832C3"/>
    <w:rsid w:val="37E01DA0"/>
    <w:rsid w:val="37E42874"/>
    <w:rsid w:val="37F474ED"/>
    <w:rsid w:val="37FB260A"/>
    <w:rsid w:val="380B15F0"/>
    <w:rsid w:val="383C679C"/>
    <w:rsid w:val="383F1233"/>
    <w:rsid w:val="384F1D06"/>
    <w:rsid w:val="385B303C"/>
    <w:rsid w:val="38601BE8"/>
    <w:rsid w:val="387B7697"/>
    <w:rsid w:val="38987043"/>
    <w:rsid w:val="389C7848"/>
    <w:rsid w:val="389F2DF8"/>
    <w:rsid w:val="38A03BE5"/>
    <w:rsid w:val="38A11D8A"/>
    <w:rsid w:val="38C20999"/>
    <w:rsid w:val="38D06FAA"/>
    <w:rsid w:val="38FD2C33"/>
    <w:rsid w:val="38FF622F"/>
    <w:rsid w:val="390013DD"/>
    <w:rsid w:val="390531B2"/>
    <w:rsid w:val="390926C6"/>
    <w:rsid w:val="390A4962"/>
    <w:rsid w:val="390E529D"/>
    <w:rsid w:val="39113F43"/>
    <w:rsid w:val="3925502E"/>
    <w:rsid w:val="392746E2"/>
    <w:rsid w:val="393A5D47"/>
    <w:rsid w:val="39564EE8"/>
    <w:rsid w:val="395847F6"/>
    <w:rsid w:val="39817240"/>
    <w:rsid w:val="398633D1"/>
    <w:rsid w:val="398C1313"/>
    <w:rsid w:val="398D16D9"/>
    <w:rsid w:val="399B03CE"/>
    <w:rsid w:val="399C0E16"/>
    <w:rsid w:val="39AC50F1"/>
    <w:rsid w:val="39AF2D9D"/>
    <w:rsid w:val="39C95AED"/>
    <w:rsid w:val="39EA5977"/>
    <w:rsid w:val="39F171EC"/>
    <w:rsid w:val="39F5376A"/>
    <w:rsid w:val="39FB61DD"/>
    <w:rsid w:val="3A0545DC"/>
    <w:rsid w:val="3A0A570F"/>
    <w:rsid w:val="3A0B18C2"/>
    <w:rsid w:val="3A0C7A53"/>
    <w:rsid w:val="3A1C17C7"/>
    <w:rsid w:val="3A1E5D0C"/>
    <w:rsid w:val="3A2754E1"/>
    <w:rsid w:val="3A2F1EC2"/>
    <w:rsid w:val="3A373BC8"/>
    <w:rsid w:val="3A3C7965"/>
    <w:rsid w:val="3A424A32"/>
    <w:rsid w:val="3A4F0307"/>
    <w:rsid w:val="3A563423"/>
    <w:rsid w:val="3A662CD6"/>
    <w:rsid w:val="3A7067D8"/>
    <w:rsid w:val="3A7D42AC"/>
    <w:rsid w:val="3A8442FD"/>
    <w:rsid w:val="3A8B262F"/>
    <w:rsid w:val="3A983984"/>
    <w:rsid w:val="3A995E43"/>
    <w:rsid w:val="3A9A762B"/>
    <w:rsid w:val="3ADB0183"/>
    <w:rsid w:val="3B1A2BF7"/>
    <w:rsid w:val="3B3B3A14"/>
    <w:rsid w:val="3B4F0068"/>
    <w:rsid w:val="3B583F4A"/>
    <w:rsid w:val="3B624387"/>
    <w:rsid w:val="3B640157"/>
    <w:rsid w:val="3B7B0C22"/>
    <w:rsid w:val="3B8C5F5E"/>
    <w:rsid w:val="3BC94505"/>
    <w:rsid w:val="3BD91FDD"/>
    <w:rsid w:val="3BE81387"/>
    <w:rsid w:val="3C075208"/>
    <w:rsid w:val="3C1666E8"/>
    <w:rsid w:val="3C2F557D"/>
    <w:rsid w:val="3C3A1ABD"/>
    <w:rsid w:val="3C3B0C32"/>
    <w:rsid w:val="3C3D2237"/>
    <w:rsid w:val="3C587A6B"/>
    <w:rsid w:val="3C6C1783"/>
    <w:rsid w:val="3C721399"/>
    <w:rsid w:val="3C8776D3"/>
    <w:rsid w:val="3CA240BF"/>
    <w:rsid w:val="3CAF5C0A"/>
    <w:rsid w:val="3CB6435F"/>
    <w:rsid w:val="3CB65AD5"/>
    <w:rsid w:val="3CBE241B"/>
    <w:rsid w:val="3CD3123B"/>
    <w:rsid w:val="3CDF2308"/>
    <w:rsid w:val="3CEB23F1"/>
    <w:rsid w:val="3CF24B8F"/>
    <w:rsid w:val="3CF64218"/>
    <w:rsid w:val="3D077511"/>
    <w:rsid w:val="3D0F27CA"/>
    <w:rsid w:val="3D127526"/>
    <w:rsid w:val="3D147A31"/>
    <w:rsid w:val="3D2754D2"/>
    <w:rsid w:val="3D352C09"/>
    <w:rsid w:val="3D3826AE"/>
    <w:rsid w:val="3D4771E1"/>
    <w:rsid w:val="3D590B36"/>
    <w:rsid w:val="3D7F524F"/>
    <w:rsid w:val="3DAE38C7"/>
    <w:rsid w:val="3DB25971"/>
    <w:rsid w:val="3DC10487"/>
    <w:rsid w:val="3DD17168"/>
    <w:rsid w:val="3DD8285A"/>
    <w:rsid w:val="3DD95828"/>
    <w:rsid w:val="3DDA473E"/>
    <w:rsid w:val="3DDC0A8A"/>
    <w:rsid w:val="3DE104DC"/>
    <w:rsid w:val="3DF6074E"/>
    <w:rsid w:val="3E150B56"/>
    <w:rsid w:val="3E2A1F61"/>
    <w:rsid w:val="3E3A4902"/>
    <w:rsid w:val="3E3B5AB5"/>
    <w:rsid w:val="3E567F65"/>
    <w:rsid w:val="3E587933"/>
    <w:rsid w:val="3E7D6C8D"/>
    <w:rsid w:val="3E970BA7"/>
    <w:rsid w:val="3EA548B8"/>
    <w:rsid w:val="3EA70E17"/>
    <w:rsid w:val="3EA85CFE"/>
    <w:rsid w:val="3EAB3053"/>
    <w:rsid w:val="3EE416E7"/>
    <w:rsid w:val="3EF7366D"/>
    <w:rsid w:val="3F021828"/>
    <w:rsid w:val="3F096D2E"/>
    <w:rsid w:val="3F126A98"/>
    <w:rsid w:val="3F24404C"/>
    <w:rsid w:val="3F3A4983"/>
    <w:rsid w:val="3F400B64"/>
    <w:rsid w:val="3F45426E"/>
    <w:rsid w:val="3F635D18"/>
    <w:rsid w:val="3F7011A2"/>
    <w:rsid w:val="3F7F33A2"/>
    <w:rsid w:val="3F862DA9"/>
    <w:rsid w:val="3FB46EBD"/>
    <w:rsid w:val="3FE23153"/>
    <w:rsid w:val="3FE40FE6"/>
    <w:rsid w:val="4012712F"/>
    <w:rsid w:val="40162D8A"/>
    <w:rsid w:val="401E5094"/>
    <w:rsid w:val="40223BA2"/>
    <w:rsid w:val="402F708A"/>
    <w:rsid w:val="403C7BCB"/>
    <w:rsid w:val="405055EE"/>
    <w:rsid w:val="406A2663"/>
    <w:rsid w:val="406C4D3F"/>
    <w:rsid w:val="406F3804"/>
    <w:rsid w:val="40772763"/>
    <w:rsid w:val="40806492"/>
    <w:rsid w:val="409A0B55"/>
    <w:rsid w:val="409E5FD2"/>
    <w:rsid w:val="40B56279"/>
    <w:rsid w:val="40C9743B"/>
    <w:rsid w:val="40CB5554"/>
    <w:rsid w:val="40CE406C"/>
    <w:rsid w:val="410A642B"/>
    <w:rsid w:val="41171FBA"/>
    <w:rsid w:val="41317576"/>
    <w:rsid w:val="41324CC5"/>
    <w:rsid w:val="413A5C28"/>
    <w:rsid w:val="413C285B"/>
    <w:rsid w:val="413C3F03"/>
    <w:rsid w:val="4155299B"/>
    <w:rsid w:val="415639AC"/>
    <w:rsid w:val="41571CFE"/>
    <w:rsid w:val="415A0117"/>
    <w:rsid w:val="415E0B4F"/>
    <w:rsid w:val="41792252"/>
    <w:rsid w:val="41840841"/>
    <w:rsid w:val="418823F7"/>
    <w:rsid w:val="418E42EB"/>
    <w:rsid w:val="41A0204C"/>
    <w:rsid w:val="41B811D3"/>
    <w:rsid w:val="41C77A51"/>
    <w:rsid w:val="41D42A3F"/>
    <w:rsid w:val="41D45EDB"/>
    <w:rsid w:val="41EF51C7"/>
    <w:rsid w:val="42024385"/>
    <w:rsid w:val="420A1308"/>
    <w:rsid w:val="420B2E84"/>
    <w:rsid w:val="42115674"/>
    <w:rsid w:val="422146BC"/>
    <w:rsid w:val="42272751"/>
    <w:rsid w:val="425A3BE9"/>
    <w:rsid w:val="42877215"/>
    <w:rsid w:val="42B5350C"/>
    <w:rsid w:val="42B90A2A"/>
    <w:rsid w:val="42BC0642"/>
    <w:rsid w:val="42C60F86"/>
    <w:rsid w:val="42F51419"/>
    <w:rsid w:val="43192DB5"/>
    <w:rsid w:val="433D04B3"/>
    <w:rsid w:val="435E2F04"/>
    <w:rsid w:val="436D4BBC"/>
    <w:rsid w:val="43725E04"/>
    <w:rsid w:val="43A130AD"/>
    <w:rsid w:val="43B431A2"/>
    <w:rsid w:val="43BC22C5"/>
    <w:rsid w:val="43CD73B7"/>
    <w:rsid w:val="43D4622E"/>
    <w:rsid w:val="43DB0415"/>
    <w:rsid w:val="43E4253B"/>
    <w:rsid w:val="43EF1FA8"/>
    <w:rsid w:val="43F422FD"/>
    <w:rsid w:val="440C6F47"/>
    <w:rsid w:val="440E4380"/>
    <w:rsid w:val="440F1DC4"/>
    <w:rsid w:val="441E1653"/>
    <w:rsid w:val="44322E68"/>
    <w:rsid w:val="443400C8"/>
    <w:rsid w:val="444B2EEB"/>
    <w:rsid w:val="444E2AAA"/>
    <w:rsid w:val="44553541"/>
    <w:rsid w:val="44562811"/>
    <w:rsid w:val="448B11F1"/>
    <w:rsid w:val="44A17160"/>
    <w:rsid w:val="44A30CDD"/>
    <w:rsid w:val="44A863EB"/>
    <w:rsid w:val="44C75DD4"/>
    <w:rsid w:val="44CA4578"/>
    <w:rsid w:val="44CB71D3"/>
    <w:rsid w:val="44F45F92"/>
    <w:rsid w:val="44F560C6"/>
    <w:rsid w:val="450772C9"/>
    <w:rsid w:val="45081926"/>
    <w:rsid w:val="451323C2"/>
    <w:rsid w:val="451D1AF6"/>
    <w:rsid w:val="45357FD6"/>
    <w:rsid w:val="454371DA"/>
    <w:rsid w:val="454F3179"/>
    <w:rsid w:val="455728D4"/>
    <w:rsid w:val="45614668"/>
    <w:rsid w:val="45770EEB"/>
    <w:rsid w:val="45812E3F"/>
    <w:rsid w:val="458537AE"/>
    <w:rsid w:val="459C6F06"/>
    <w:rsid w:val="45AE2484"/>
    <w:rsid w:val="45BE6187"/>
    <w:rsid w:val="45E13DC1"/>
    <w:rsid w:val="45EA28EC"/>
    <w:rsid w:val="45F175D7"/>
    <w:rsid w:val="46282B75"/>
    <w:rsid w:val="46326F64"/>
    <w:rsid w:val="46385E9D"/>
    <w:rsid w:val="463B6E8B"/>
    <w:rsid w:val="4640669E"/>
    <w:rsid w:val="46486EA9"/>
    <w:rsid w:val="4650235F"/>
    <w:rsid w:val="46527F6D"/>
    <w:rsid w:val="46553D62"/>
    <w:rsid w:val="466D0F04"/>
    <w:rsid w:val="467A7A38"/>
    <w:rsid w:val="467F6D3A"/>
    <w:rsid w:val="468949BF"/>
    <w:rsid w:val="46B13236"/>
    <w:rsid w:val="46BF0ABF"/>
    <w:rsid w:val="46D44968"/>
    <w:rsid w:val="46D832F7"/>
    <w:rsid w:val="46F60516"/>
    <w:rsid w:val="4704652A"/>
    <w:rsid w:val="4712184B"/>
    <w:rsid w:val="471F0CCD"/>
    <w:rsid w:val="47436442"/>
    <w:rsid w:val="47482401"/>
    <w:rsid w:val="474C644B"/>
    <w:rsid w:val="47566913"/>
    <w:rsid w:val="475F7131"/>
    <w:rsid w:val="47641ACF"/>
    <w:rsid w:val="47740552"/>
    <w:rsid w:val="477E0D04"/>
    <w:rsid w:val="47841297"/>
    <w:rsid w:val="478B40AD"/>
    <w:rsid w:val="47BA6420"/>
    <w:rsid w:val="47BE5FA4"/>
    <w:rsid w:val="47D92616"/>
    <w:rsid w:val="47E33207"/>
    <w:rsid w:val="47ED0C6B"/>
    <w:rsid w:val="481B26EC"/>
    <w:rsid w:val="481E0C43"/>
    <w:rsid w:val="48362D3C"/>
    <w:rsid w:val="484D6077"/>
    <w:rsid w:val="485B0CFD"/>
    <w:rsid w:val="487B44CF"/>
    <w:rsid w:val="488F7ECD"/>
    <w:rsid w:val="48AD0BCC"/>
    <w:rsid w:val="48CC161B"/>
    <w:rsid w:val="48F30D52"/>
    <w:rsid w:val="490C2ECB"/>
    <w:rsid w:val="490D22AD"/>
    <w:rsid w:val="490D42B4"/>
    <w:rsid w:val="49161233"/>
    <w:rsid w:val="491D3303"/>
    <w:rsid w:val="491D6CC3"/>
    <w:rsid w:val="491E1F13"/>
    <w:rsid w:val="493E5315"/>
    <w:rsid w:val="4947086A"/>
    <w:rsid w:val="494C576D"/>
    <w:rsid w:val="494F45FD"/>
    <w:rsid w:val="494F5C06"/>
    <w:rsid w:val="49556BFE"/>
    <w:rsid w:val="495C389F"/>
    <w:rsid w:val="495D19EE"/>
    <w:rsid w:val="496835F1"/>
    <w:rsid w:val="49A222F2"/>
    <w:rsid w:val="49B367C6"/>
    <w:rsid w:val="49B615C4"/>
    <w:rsid w:val="49C8641D"/>
    <w:rsid w:val="49CC15E5"/>
    <w:rsid w:val="49CF54BD"/>
    <w:rsid w:val="49D945BC"/>
    <w:rsid w:val="49DD1434"/>
    <w:rsid w:val="49DE53CF"/>
    <w:rsid w:val="49F524A7"/>
    <w:rsid w:val="49F84BCC"/>
    <w:rsid w:val="4A075300"/>
    <w:rsid w:val="4A0E6FBD"/>
    <w:rsid w:val="4A1D7DF0"/>
    <w:rsid w:val="4A241188"/>
    <w:rsid w:val="4A6F37F8"/>
    <w:rsid w:val="4A8868CC"/>
    <w:rsid w:val="4A893A41"/>
    <w:rsid w:val="4A924A3C"/>
    <w:rsid w:val="4A943543"/>
    <w:rsid w:val="4A95425F"/>
    <w:rsid w:val="4A992DC7"/>
    <w:rsid w:val="4A9F69E9"/>
    <w:rsid w:val="4AC65387"/>
    <w:rsid w:val="4ADC44DC"/>
    <w:rsid w:val="4ADE2DA7"/>
    <w:rsid w:val="4AE46C5A"/>
    <w:rsid w:val="4AE96B8D"/>
    <w:rsid w:val="4AE97F15"/>
    <w:rsid w:val="4B176221"/>
    <w:rsid w:val="4B4C7475"/>
    <w:rsid w:val="4B6155F3"/>
    <w:rsid w:val="4B852CF3"/>
    <w:rsid w:val="4B9333F5"/>
    <w:rsid w:val="4B9F2547"/>
    <w:rsid w:val="4BB953F6"/>
    <w:rsid w:val="4BC20F5C"/>
    <w:rsid w:val="4BCA7A16"/>
    <w:rsid w:val="4BEF2676"/>
    <w:rsid w:val="4BF051B3"/>
    <w:rsid w:val="4BF43A4A"/>
    <w:rsid w:val="4C0F3CD0"/>
    <w:rsid w:val="4C232A24"/>
    <w:rsid w:val="4C252768"/>
    <w:rsid w:val="4C260D26"/>
    <w:rsid w:val="4C29446F"/>
    <w:rsid w:val="4C3645C0"/>
    <w:rsid w:val="4C397865"/>
    <w:rsid w:val="4C551FD4"/>
    <w:rsid w:val="4C5E77EC"/>
    <w:rsid w:val="4C751158"/>
    <w:rsid w:val="4C7673D3"/>
    <w:rsid w:val="4C781675"/>
    <w:rsid w:val="4C8A718F"/>
    <w:rsid w:val="4CB05FD3"/>
    <w:rsid w:val="4CB065C4"/>
    <w:rsid w:val="4CBE4A79"/>
    <w:rsid w:val="4CD46A11"/>
    <w:rsid w:val="4CEF73DD"/>
    <w:rsid w:val="4CFB2FE0"/>
    <w:rsid w:val="4CFC7BA8"/>
    <w:rsid w:val="4CFD053D"/>
    <w:rsid w:val="4D044012"/>
    <w:rsid w:val="4D1F6D9A"/>
    <w:rsid w:val="4D2F0F39"/>
    <w:rsid w:val="4D516444"/>
    <w:rsid w:val="4D676171"/>
    <w:rsid w:val="4D701457"/>
    <w:rsid w:val="4D726971"/>
    <w:rsid w:val="4DAE40C8"/>
    <w:rsid w:val="4DB70AC3"/>
    <w:rsid w:val="4DCE3816"/>
    <w:rsid w:val="4DD04F48"/>
    <w:rsid w:val="4DF01FC1"/>
    <w:rsid w:val="4DF550F9"/>
    <w:rsid w:val="4DF61B7B"/>
    <w:rsid w:val="4E074F89"/>
    <w:rsid w:val="4E090240"/>
    <w:rsid w:val="4E0E7BA8"/>
    <w:rsid w:val="4E1577DE"/>
    <w:rsid w:val="4E1663F8"/>
    <w:rsid w:val="4E3D36A0"/>
    <w:rsid w:val="4E4421DF"/>
    <w:rsid w:val="4E471B5B"/>
    <w:rsid w:val="4E4A551E"/>
    <w:rsid w:val="4E4C358D"/>
    <w:rsid w:val="4E4F3A41"/>
    <w:rsid w:val="4E51063B"/>
    <w:rsid w:val="4E561686"/>
    <w:rsid w:val="4E5E164C"/>
    <w:rsid w:val="4E5F498F"/>
    <w:rsid w:val="4E673A4D"/>
    <w:rsid w:val="4E7F7FD3"/>
    <w:rsid w:val="4E927C97"/>
    <w:rsid w:val="4EB1275E"/>
    <w:rsid w:val="4EB25D56"/>
    <w:rsid w:val="4EC266DA"/>
    <w:rsid w:val="4ED82B0C"/>
    <w:rsid w:val="4EE52401"/>
    <w:rsid w:val="4EE62B04"/>
    <w:rsid w:val="4EF37BE8"/>
    <w:rsid w:val="4F193428"/>
    <w:rsid w:val="4F202DB1"/>
    <w:rsid w:val="4F3177AA"/>
    <w:rsid w:val="4F3943BA"/>
    <w:rsid w:val="4F4714A9"/>
    <w:rsid w:val="4F4E5592"/>
    <w:rsid w:val="4F667C02"/>
    <w:rsid w:val="4F6B28C5"/>
    <w:rsid w:val="4F782EF8"/>
    <w:rsid w:val="4F7F0BD5"/>
    <w:rsid w:val="4F82323F"/>
    <w:rsid w:val="4F8D5D1B"/>
    <w:rsid w:val="4F960253"/>
    <w:rsid w:val="4F9D0C41"/>
    <w:rsid w:val="4FB742F5"/>
    <w:rsid w:val="4FBE6A03"/>
    <w:rsid w:val="4FCA00F7"/>
    <w:rsid w:val="4FD60DBC"/>
    <w:rsid w:val="4FEA33EC"/>
    <w:rsid w:val="4FEC2234"/>
    <w:rsid w:val="4FFE1F73"/>
    <w:rsid w:val="500176DF"/>
    <w:rsid w:val="501818E5"/>
    <w:rsid w:val="504C73FE"/>
    <w:rsid w:val="504E5420"/>
    <w:rsid w:val="50506302"/>
    <w:rsid w:val="50527BBF"/>
    <w:rsid w:val="505B01BA"/>
    <w:rsid w:val="506B6A18"/>
    <w:rsid w:val="50854911"/>
    <w:rsid w:val="50875277"/>
    <w:rsid w:val="509E2C84"/>
    <w:rsid w:val="509E61CF"/>
    <w:rsid w:val="50A84875"/>
    <w:rsid w:val="50B63897"/>
    <w:rsid w:val="50BC3515"/>
    <w:rsid w:val="50C06DF0"/>
    <w:rsid w:val="50D92B6A"/>
    <w:rsid w:val="50DC209F"/>
    <w:rsid w:val="50DE2EA1"/>
    <w:rsid w:val="50EE6B70"/>
    <w:rsid w:val="50F775DF"/>
    <w:rsid w:val="51067A02"/>
    <w:rsid w:val="510F197C"/>
    <w:rsid w:val="51136FD6"/>
    <w:rsid w:val="51284EB8"/>
    <w:rsid w:val="513416E5"/>
    <w:rsid w:val="513F5B07"/>
    <w:rsid w:val="5156247F"/>
    <w:rsid w:val="515D2CE3"/>
    <w:rsid w:val="515F5D22"/>
    <w:rsid w:val="51771FF6"/>
    <w:rsid w:val="517B1E80"/>
    <w:rsid w:val="51813224"/>
    <w:rsid w:val="518456DD"/>
    <w:rsid w:val="51907D84"/>
    <w:rsid w:val="51AD73BA"/>
    <w:rsid w:val="51FE5FF0"/>
    <w:rsid w:val="52021EE1"/>
    <w:rsid w:val="520F5EBD"/>
    <w:rsid w:val="52284FC1"/>
    <w:rsid w:val="5229674D"/>
    <w:rsid w:val="522B48E6"/>
    <w:rsid w:val="523B60E2"/>
    <w:rsid w:val="523C3CD5"/>
    <w:rsid w:val="52410571"/>
    <w:rsid w:val="52531F02"/>
    <w:rsid w:val="52594802"/>
    <w:rsid w:val="52613C02"/>
    <w:rsid w:val="52624524"/>
    <w:rsid w:val="526B3FB3"/>
    <w:rsid w:val="527F4847"/>
    <w:rsid w:val="52913817"/>
    <w:rsid w:val="52921524"/>
    <w:rsid w:val="52931CE8"/>
    <w:rsid w:val="52967844"/>
    <w:rsid w:val="52B821B1"/>
    <w:rsid w:val="52BC79D2"/>
    <w:rsid w:val="52BE244B"/>
    <w:rsid w:val="52C33D0F"/>
    <w:rsid w:val="52C53D0F"/>
    <w:rsid w:val="52D006E6"/>
    <w:rsid w:val="52FF4D74"/>
    <w:rsid w:val="530F4785"/>
    <w:rsid w:val="532937AF"/>
    <w:rsid w:val="532E3C6A"/>
    <w:rsid w:val="533356E3"/>
    <w:rsid w:val="533376C7"/>
    <w:rsid w:val="53396DA2"/>
    <w:rsid w:val="536075D8"/>
    <w:rsid w:val="53664718"/>
    <w:rsid w:val="53793B16"/>
    <w:rsid w:val="537C6BA3"/>
    <w:rsid w:val="538D23A7"/>
    <w:rsid w:val="53961EE8"/>
    <w:rsid w:val="53AE216A"/>
    <w:rsid w:val="53B263A6"/>
    <w:rsid w:val="53B76AA5"/>
    <w:rsid w:val="53B80A61"/>
    <w:rsid w:val="53BA4291"/>
    <w:rsid w:val="53BE7293"/>
    <w:rsid w:val="53C24D89"/>
    <w:rsid w:val="53CC2ADA"/>
    <w:rsid w:val="53FA5E50"/>
    <w:rsid w:val="53FA6B73"/>
    <w:rsid w:val="54297BCA"/>
    <w:rsid w:val="545B5843"/>
    <w:rsid w:val="545D461D"/>
    <w:rsid w:val="545F0621"/>
    <w:rsid w:val="54621621"/>
    <w:rsid w:val="54710373"/>
    <w:rsid w:val="54764773"/>
    <w:rsid w:val="54860A51"/>
    <w:rsid w:val="54880B12"/>
    <w:rsid w:val="54C14211"/>
    <w:rsid w:val="54C363F4"/>
    <w:rsid w:val="54DC4814"/>
    <w:rsid w:val="54E23ACC"/>
    <w:rsid w:val="54EA10B9"/>
    <w:rsid w:val="54EA4657"/>
    <w:rsid w:val="54F16B72"/>
    <w:rsid w:val="54F71391"/>
    <w:rsid w:val="54FC7528"/>
    <w:rsid w:val="55077081"/>
    <w:rsid w:val="55093668"/>
    <w:rsid w:val="550A3794"/>
    <w:rsid w:val="5513322E"/>
    <w:rsid w:val="55153A87"/>
    <w:rsid w:val="551C6A7C"/>
    <w:rsid w:val="55206181"/>
    <w:rsid w:val="55254C19"/>
    <w:rsid w:val="552C36CD"/>
    <w:rsid w:val="55380734"/>
    <w:rsid w:val="553F288A"/>
    <w:rsid w:val="55442F26"/>
    <w:rsid w:val="555D2C3B"/>
    <w:rsid w:val="556973AC"/>
    <w:rsid w:val="557F21C6"/>
    <w:rsid w:val="55925EF4"/>
    <w:rsid w:val="55AD7CB6"/>
    <w:rsid w:val="55BA620A"/>
    <w:rsid w:val="55D9387B"/>
    <w:rsid w:val="55E82BBA"/>
    <w:rsid w:val="55F14AE9"/>
    <w:rsid w:val="55F40AAB"/>
    <w:rsid w:val="563C3852"/>
    <w:rsid w:val="563D30CA"/>
    <w:rsid w:val="564922F5"/>
    <w:rsid w:val="56507627"/>
    <w:rsid w:val="565264C6"/>
    <w:rsid w:val="56560671"/>
    <w:rsid w:val="565E53CD"/>
    <w:rsid w:val="567E16F3"/>
    <w:rsid w:val="56AB6723"/>
    <w:rsid w:val="56B47C0B"/>
    <w:rsid w:val="56C54527"/>
    <w:rsid w:val="56FD4977"/>
    <w:rsid w:val="57131FF2"/>
    <w:rsid w:val="571E1D5C"/>
    <w:rsid w:val="5724039D"/>
    <w:rsid w:val="57240715"/>
    <w:rsid w:val="572F5E53"/>
    <w:rsid w:val="573C6588"/>
    <w:rsid w:val="5755366A"/>
    <w:rsid w:val="57746D94"/>
    <w:rsid w:val="577B4C33"/>
    <w:rsid w:val="57872EAB"/>
    <w:rsid w:val="579760C1"/>
    <w:rsid w:val="57AB5BF2"/>
    <w:rsid w:val="57B464FE"/>
    <w:rsid w:val="57CB36DE"/>
    <w:rsid w:val="57D86FBE"/>
    <w:rsid w:val="57F10274"/>
    <w:rsid w:val="58043EFD"/>
    <w:rsid w:val="58097277"/>
    <w:rsid w:val="58396385"/>
    <w:rsid w:val="58440B09"/>
    <w:rsid w:val="58602CD9"/>
    <w:rsid w:val="58651C48"/>
    <w:rsid w:val="58900737"/>
    <w:rsid w:val="58904DA8"/>
    <w:rsid w:val="58943221"/>
    <w:rsid w:val="58A226F8"/>
    <w:rsid w:val="58A821B0"/>
    <w:rsid w:val="58B1727E"/>
    <w:rsid w:val="58BB1BB8"/>
    <w:rsid w:val="58E76CD0"/>
    <w:rsid w:val="58EB5DFB"/>
    <w:rsid w:val="58ED7780"/>
    <w:rsid w:val="58FD345F"/>
    <w:rsid w:val="59020DFB"/>
    <w:rsid w:val="590A371D"/>
    <w:rsid w:val="591D055D"/>
    <w:rsid w:val="592170A4"/>
    <w:rsid w:val="59457AB0"/>
    <w:rsid w:val="594648A0"/>
    <w:rsid w:val="5948535F"/>
    <w:rsid w:val="594F4434"/>
    <w:rsid w:val="5972007E"/>
    <w:rsid w:val="59852906"/>
    <w:rsid w:val="59AE4E2A"/>
    <w:rsid w:val="59AF7035"/>
    <w:rsid w:val="59B767F2"/>
    <w:rsid w:val="59CA5346"/>
    <w:rsid w:val="59D21740"/>
    <w:rsid w:val="5A134EC1"/>
    <w:rsid w:val="5A1A0380"/>
    <w:rsid w:val="5A1D37DE"/>
    <w:rsid w:val="5A484E7F"/>
    <w:rsid w:val="5A4A06DC"/>
    <w:rsid w:val="5A5F0D32"/>
    <w:rsid w:val="5A667960"/>
    <w:rsid w:val="5A6F1D8F"/>
    <w:rsid w:val="5A785390"/>
    <w:rsid w:val="5AC927ED"/>
    <w:rsid w:val="5AF10CDF"/>
    <w:rsid w:val="5AF86372"/>
    <w:rsid w:val="5AFE41C2"/>
    <w:rsid w:val="5B0C2CBF"/>
    <w:rsid w:val="5B1508D3"/>
    <w:rsid w:val="5B1A1EE1"/>
    <w:rsid w:val="5B1C2446"/>
    <w:rsid w:val="5B1E2CD6"/>
    <w:rsid w:val="5B242551"/>
    <w:rsid w:val="5B3B2630"/>
    <w:rsid w:val="5B3C46B5"/>
    <w:rsid w:val="5B6657B9"/>
    <w:rsid w:val="5B8F053D"/>
    <w:rsid w:val="5B9B2936"/>
    <w:rsid w:val="5BAE3F5E"/>
    <w:rsid w:val="5BC92310"/>
    <w:rsid w:val="5BD748EE"/>
    <w:rsid w:val="5BED6000"/>
    <w:rsid w:val="5BF64833"/>
    <w:rsid w:val="5BF84A80"/>
    <w:rsid w:val="5C0E0902"/>
    <w:rsid w:val="5C20168B"/>
    <w:rsid w:val="5C240A41"/>
    <w:rsid w:val="5C391376"/>
    <w:rsid w:val="5C3B7647"/>
    <w:rsid w:val="5C4372CC"/>
    <w:rsid w:val="5C592611"/>
    <w:rsid w:val="5C6D5740"/>
    <w:rsid w:val="5C6F14CA"/>
    <w:rsid w:val="5C7D6628"/>
    <w:rsid w:val="5C864B7A"/>
    <w:rsid w:val="5C9E5AE4"/>
    <w:rsid w:val="5CC61B48"/>
    <w:rsid w:val="5CD00B01"/>
    <w:rsid w:val="5CD543F7"/>
    <w:rsid w:val="5CD7059E"/>
    <w:rsid w:val="5CDE1EEC"/>
    <w:rsid w:val="5CE81BA8"/>
    <w:rsid w:val="5CEF20F8"/>
    <w:rsid w:val="5CF0489E"/>
    <w:rsid w:val="5CFE2821"/>
    <w:rsid w:val="5D1A523D"/>
    <w:rsid w:val="5D622807"/>
    <w:rsid w:val="5D750942"/>
    <w:rsid w:val="5D77452D"/>
    <w:rsid w:val="5D7A4517"/>
    <w:rsid w:val="5D833899"/>
    <w:rsid w:val="5D901255"/>
    <w:rsid w:val="5D99769A"/>
    <w:rsid w:val="5DAD6F81"/>
    <w:rsid w:val="5DAE3EC7"/>
    <w:rsid w:val="5DB332D8"/>
    <w:rsid w:val="5DD457FC"/>
    <w:rsid w:val="5DD507E8"/>
    <w:rsid w:val="5DD52865"/>
    <w:rsid w:val="5DE600A2"/>
    <w:rsid w:val="5DED7C78"/>
    <w:rsid w:val="5E013674"/>
    <w:rsid w:val="5E176FE8"/>
    <w:rsid w:val="5E181A56"/>
    <w:rsid w:val="5E244C39"/>
    <w:rsid w:val="5E371A22"/>
    <w:rsid w:val="5E426116"/>
    <w:rsid w:val="5E4975C0"/>
    <w:rsid w:val="5E613B68"/>
    <w:rsid w:val="5E62539B"/>
    <w:rsid w:val="5EA467FA"/>
    <w:rsid w:val="5ED61AA8"/>
    <w:rsid w:val="5EDF373F"/>
    <w:rsid w:val="5EE338A6"/>
    <w:rsid w:val="5EE84F06"/>
    <w:rsid w:val="5EF339D1"/>
    <w:rsid w:val="5EFE1505"/>
    <w:rsid w:val="5F0C2CDA"/>
    <w:rsid w:val="5F187AD1"/>
    <w:rsid w:val="5F295057"/>
    <w:rsid w:val="5F4D34F5"/>
    <w:rsid w:val="5F547D0D"/>
    <w:rsid w:val="5F5B34C7"/>
    <w:rsid w:val="5F6B3285"/>
    <w:rsid w:val="5F722745"/>
    <w:rsid w:val="5F724EFD"/>
    <w:rsid w:val="5F866CDF"/>
    <w:rsid w:val="5F8F3EEA"/>
    <w:rsid w:val="5F9F2499"/>
    <w:rsid w:val="5FB16955"/>
    <w:rsid w:val="5FBB27F7"/>
    <w:rsid w:val="5FC866C5"/>
    <w:rsid w:val="5FFD266E"/>
    <w:rsid w:val="601009C9"/>
    <w:rsid w:val="60236800"/>
    <w:rsid w:val="604204CD"/>
    <w:rsid w:val="604638DA"/>
    <w:rsid w:val="604A3C4A"/>
    <w:rsid w:val="604E114C"/>
    <w:rsid w:val="604E3EA7"/>
    <w:rsid w:val="607D4384"/>
    <w:rsid w:val="607E1C9D"/>
    <w:rsid w:val="609615BD"/>
    <w:rsid w:val="60A45D28"/>
    <w:rsid w:val="60C66458"/>
    <w:rsid w:val="60E57D8A"/>
    <w:rsid w:val="60F93315"/>
    <w:rsid w:val="610048EA"/>
    <w:rsid w:val="6106186D"/>
    <w:rsid w:val="610E317F"/>
    <w:rsid w:val="610E76D3"/>
    <w:rsid w:val="6115117B"/>
    <w:rsid w:val="61211FF9"/>
    <w:rsid w:val="61392ACB"/>
    <w:rsid w:val="613A5E6A"/>
    <w:rsid w:val="615232E6"/>
    <w:rsid w:val="61542D82"/>
    <w:rsid w:val="615A3045"/>
    <w:rsid w:val="61725C08"/>
    <w:rsid w:val="61837261"/>
    <w:rsid w:val="61A26156"/>
    <w:rsid w:val="61BE347D"/>
    <w:rsid w:val="61CF1120"/>
    <w:rsid w:val="61E664C3"/>
    <w:rsid w:val="61EA023A"/>
    <w:rsid w:val="61F56EB0"/>
    <w:rsid w:val="61FC4A92"/>
    <w:rsid w:val="61FE78A8"/>
    <w:rsid w:val="620A5923"/>
    <w:rsid w:val="622F39E3"/>
    <w:rsid w:val="623E5455"/>
    <w:rsid w:val="625626B8"/>
    <w:rsid w:val="625F41E2"/>
    <w:rsid w:val="62621273"/>
    <w:rsid w:val="627F61E5"/>
    <w:rsid w:val="62A44AC0"/>
    <w:rsid w:val="62B12F76"/>
    <w:rsid w:val="62B97E0A"/>
    <w:rsid w:val="62D11B54"/>
    <w:rsid w:val="62E01F1D"/>
    <w:rsid w:val="62F2635D"/>
    <w:rsid w:val="630366C0"/>
    <w:rsid w:val="630C7B04"/>
    <w:rsid w:val="63164DBA"/>
    <w:rsid w:val="631C30A1"/>
    <w:rsid w:val="63243CF9"/>
    <w:rsid w:val="632A27CC"/>
    <w:rsid w:val="63342E20"/>
    <w:rsid w:val="63372B0F"/>
    <w:rsid w:val="633E6DFB"/>
    <w:rsid w:val="63584C13"/>
    <w:rsid w:val="635D30CD"/>
    <w:rsid w:val="6368084A"/>
    <w:rsid w:val="63763810"/>
    <w:rsid w:val="637E66F2"/>
    <w:rsid w:val="638B7F5B"/>
    <w:rsid w:val="63913D56"/>
    <w:rsid w:val="63B63762"/>
    <w:rsid w:val="63C2699A"/>
    <w:rsid w:val="63EE3550"/>
    <w:rsid w:val="63EE496F"/>
    <w:rsid w:val="63F348CE"/>
    <w:rsid w:val="6411254E"/>
    <w:rsid w:val="64170D7C"/>
    <w:rsid w:val="64324DDE"/>
    <w:rsid w:val="643C44A3"/>
    <w:rsid w:val="645F4C8A"/>
    <w:rsid w:val="647715B5"/>
    <w:rsid w:val="647A185C"/>
    <w:rsid w:val="64912F9B"/>
    <w:rsid w:val="64B346CB"/>
    <w:rsid w:val="64B93731"/>
    <w:rsid w:val="64B96A0B"/>
    <w:rsid w:val="64C928A8"/>
    <w:rsid w:val="64C93C4D"/>
    <w:rsid w:val="64D03A4E"/>
    <w:rsid w:val="65103158"/>
    <w:rsid w:val="6517738D"/>
    <w:rsid w:val="65187059"/>
    <w:rsid w:val="65243D07"/>
    <w:rsid w:val="65265D4B"/>
    <w:rsid w:val="652A3842"/>
    <w:rsid w:val="653722FB"/>
    <w:rsid w:val="656214F4"/>
    <w:rsid w:val="656A5FF5"/>
    <w:rsid w:val="65942876"/>
    <w:rsid w:val="6596700B"/>
    <w:rsid w:val="65A1325D"/>
    <w:rsid w:val="65AE1C35"/>
    <w:rsid w:val="65BC657B"/>
    <w:rsid w:val="65DE4864"/>
    <w:rsid w:val="65E16D99"/>
    <w:rsid w:val="65E4133F"/>
    <w:rsid w:val="65E507FD"/>
    <w:rsid w:val="65F9460A"/>
    <w:rsid w:val="660142B0"/>
    <w:rsid w:val="660C0C06"/>
    <w:rsid w:val="662D42CF"/>
    <w:rsid w:val="664C643D"/>
    <w:rsid w:val="665715A5"/>
    <w:rsid w:val="665A59DA"/>
    <w:rsid w:val="66746C97"/>
    <w:rsid w:val="667E0297"/>
    <w:rsid w:val="66815801"/>
    <w:rsid w:val="668D2844"/>
    <w:rsid w:val="669F5308"/>
    <w:rsid w:val="66A77561"/>
    <w:rsid w:val="66AA7142"/>
    <w:rsid w:val="66B9103D"/>
    <w:rsid w:val="66C74734"/>
    <w:rsid w:val="66CE327C"/>
    <w:rsid w:val="66D06787"/>
    <w:rsid w:val="66DA0CD7"/>
    <w:rsid w:val="66F43D50"/>
    <w:rsid w:val="67167EED"/>
    <w:rsid w:val="6731230C"/>
    <w:rsid w:val="67427C3B"/>
    <w:rsid w:val="67553099"/>
    <w:rsid w:val="67733156"/>
    <w:rsid w:val="67951207"/>
    <w:rsid w:val="679844C2"/>
    <w:rsid w:val="679F0299"/>
    <w:rsid w:val="67AE3A97"/>
    <w:rsid w:val="67B00053"/>
    <w:rsid w:val="67B3484C"/>
    <w:rsid w:val="67B662D8"/>
    <w:rsid w:val="67C35F66"/>
    <w:rsid w:val="67C83BE9"/>
    <w:rsid w:val="67F328B7"/>
    <w:rsid w:val="67F46E12"/>
    <w:rsid w:val="6800761F"/>
    <w:rsid w:val="680705B0"/>
    <w:rsid w:val="680870BF"/>
    <w:rsid w:val="682B0CA1"/>
    <w:rsid w:val="68310E30"/>
    <w:rsid w:val="683369A1"/>
    <w:rsid w:val="68377FCB"/>
    <w:rsid w:val="684321C2"/>
    <w:rsid w:val="686A35DD"/>
    <w:rsid w:val="68700BA8"/>
    <w:rsid w:val="687702C6"/>
    <w:rsid w:val="687A3EAB"/>
    <w:rsid w:val="68854F90"/>
    <w:rsid w:val="68973C2B"/>
    <w:rsid w:val="689A2A1B"/>
    <w:rsid w:val="689C1A8D"/>
    <w:rsid w:val="68A12CA9"/>
    <w:rsid w:val="68A51164"/>
    <w:rsid w:val="68AC79CB"/>
    <w:rsid w:val="68B1496B"/>
    <w:rsid w:val="68B577B7"/>
    <w:rsid w:val="68BC02C4"/>
    <w:rsid w:val="68C06ADD"/>
    <w:rsid w:val="68C80C1B"/>
    <w:rsid w:val="68C87D7F"/>
    <w:rsid w:val="68D73D4E"/>
    <w:rsid w:val="68DC7194"/>
    <w:rsid w:val="68E7023D"/>
    <w:rsid w:val="68F54CCF"/>
    <w:rsid w:val="69051896"/>
    <w:rsid w:val="690B69D1"/>
    <w:rsid w:val="692124ED"/>
    <w:rsid w:val="692209E7"/>
    <w:rsid w:val="692D4B57"/>
    <w:rsid w:val="693C2047"/>
    <w:rsid w:val="693F39CA"/>
    <w:rsid w:val="697246BD"/>
    <w:rsid w:val="69947928"/>
    <w:rsid w:val="69C3550E"/>
    <w:rsid w:val="69D46287"/>
    <w:rsid w:val="69E642E6"/>
    <w:rsid w:val="69EA27FA"/>
    <w:rsid w:val="69F45197"/>
    <w:rsid w:val="69FE4EC0"/>
    <w:rsid w:val="6A202FD8"/>
    <w:rsid w:val="6A245087"/>
    <w:rsid w:val="6A327588"/>
    <w:rsid w:val="6A4D2430"/>
    <w:rsid w:val="6A5D5DCB"/>
    <w:rsid w:val="6A697F89"/>
    <w:rsid w:val="6A6C70CC"/>
    <w:rsid w:val="6A702A01"/>
    <w:rsid w:val="6A780F56"/>
    <w:rsid w:val="6A941E18"/>
    <w:rsid w:val="6A9724DD"/>
    <w:rsid w:val="6AD354A8"/>
    <w:rsid w:val="6ADD7E37"/>
    <w:rsid w:val="6AFF3617"/>
    <w:rsid w:val="6B0E78C8"/>
    <w:rsid w:val="6B153247"/>
    <w:rsid w:val="6B2635C6"/>
    <w:rsid w:val="6B2D0755"/>
    <w:rsid w:val="6B451030"/>
    <w:rsid w:val="6B4C57AB"/>
    <w:rsid w:val="6B7A3DD5"/>
    <w:rsid w:val="6B94230E"/>
    <w:rsid w:val="6B983BCD"/>
    <w:rsid w:val="6BA33E05"/>
    <w:rsid w:val="6BAB0601"/>
    <w:rsid w:val="6BB94238"/>
    <w:rsid w:val="6BBF3A0A"/>
    <w:rsid w:val="6BC377C1"/>
    <w:rsid w:val="6BE75787"/>
    <w:rsid w:val="6C03491C"/>
    <w:rsid w:val="6C0A6AFE"/>
    <w:rsid w:val="6C2814C5"/>
    <w:rsid w:val="6C2B749D"/>
    <w:rsid w:val="6C2C22AA"/>
    <w:rsid w:val="6C3B0B34"/>
    <w:rsid w:val="6CD90118"/>
    <w:rsid w:val="6CDB49E8"/>
    <w:rsid w:val="6CEB5188"/>
    <w:rsid w:val="6CFE7B0C"/>
    <w:rsid w:val="6D010962"/>
    <w:rsid w:val="6D0221EC"/>
    <w:rsid w:val="6D080D6B"/>
    <w:rsid w:val="6D157E29"/>
    <w:rsid w:val="6D1A34E3"/>
    <w:rsid w:val="6D286921"/>
    <w:rsid w:val="6D381AC7"/>
    <w:rsid w:val="6D41442A"/>
    <w:rsid w:val="6D4B66E9"/>
    <w:rsid w:val="6D533BA8"/>
    <w:rsid w:val="6D535020"/>
    <w:rsid w:val="6D5F0D9A"/>
    <w:rsid w:val="6D653AFA"/>
    <w:rsid w:val="6D6D22A2"/>
    <w:rsid w:val="6D787242"/>
    <w:rsid w:val="6D7B70A3"/>
    <w:rsid w:val="6D9B08BF"/>
    <w:rsid w:val="6D9D37A0"/>
    <w:rsid w:val="6D9D6450"/>
    <w:rsid w:val="6DAE1B57"/>
    <w:rsid w:val="6DC264F5"/>
    <w:rsid w:val="6DC94E41"/>
    <w:rsid w:val="6DCD2C2F"/>
    <w:rsid w:val="6DF52647"/>
    <w:rsid w:val="6DFB341C"/>
    <w:rsid w:val="6E0931EF"/>
    <w:rsid w:val="6E262525"/>
    <w:rsid w:val="6E307042"/>
    <w:rsid w:val="6E3909FB"/>
    <w:rsid w:val="6E3936A4"/>
    <w:rsid w:val="6E4D57E2"/>
    <w:rsid w:val="6E5D07BF"/>
    <w:rsid w:val="6E8E1F69"/>
    <w:rsid w:val="6EC76BE2"/>
    <w:rsid w:val="6EC85511"/>
    <w:rsid w:val="6EC85699"/>
    <w:rsid w:val="6F046123"/>
    <w:rsid w:val="6F070699"/>
    <w:rsid w:val="6F2130C2"/>
    <w:rsid w:val="6F4A2AEA"/>
    <w:rsid w:val="6F4C17D5"/>
    <w:rsid w:val="6F4D0AB3"/>
    <w:rsid w:val="6F543647"/>
    <w:rsid w:val="6F5F58F4"/>
    <w:rsid w:val="6F6071BB"/>
    <w:rsid w:val="6F6D5714"/>
    <w:rsid w:val="6F713A64"/>
    <w:rsid w:val="6F7547AB"/>
    <w:rsid w:val="6F81227B"/>
    <w:rsid w:val="6F884CC1"/>
    <w:rsid w:val="6F9540C0"/>
    <w:rsid w:val="6F9A1145"/>
    <w:rsid w:val="6FB157BB"/>
    <w:rsid w:val="6FC23E97"/>
    <w:rsid w:val="6FC51422"/>
    <w:rsid w:val="6FD35939"/>
    <w:rsid w:val="6FDB09AA"/>
    <w:rsid w:val="6FE54CA8"/>
    <w:rsid w:val="70037ACF"/>
    <w:rsid w:val="70047B44"/>
    <w:rsid w:val="70473CC2"/>
    <w:rsid w:val="70490335"/>
    <w:rsid w:val="704E6904"/>
    <w:rsid w:val="70652B5B"/>
    <w:rsid w:val="706646ED"/>
    <w:rsid w:val="70732E2C"/>
    <w:rsid w:val="70865DED"/>
    <w:rsid w:val="708707BC"/>
    <w:rsid w:val="708824B5"/>
    <w:rsid w:val="708866A9"/>
    <w:rsid w:val="708A2FD0"/>
    <w:rsid w:val="70AA4DD4"/>
    <w:rsid w:val="70B14980"/>
    <w:rsid w:val="70B70558"/>
    <w:rsid w:val="70C02797"/>
    <w:rsid w:val="70EA4557"/>
    <w:rsid w:val="70EC0D34"/>
    <w:rsid w:val="710406EF"/>
    <w:rsid w:val="71106B01"/>
    <w:rsid w:val="71193413"/>
    <w:rsid w:val="71411371"/>
    <w:rsid w:val="717B6C20"/>
    <w:rsid w:val="717E4E8D"/>
    <w:rsid w:val="719E220C"/>
    <w:rsid w:val="71A42D87"/>
    <w:rsid w:val="71AB35AD"/>
    <w:rsid w:val="71B15200"/>
    <w:rsid w:val="71C44DAD"/>
    <w:rsid w:val="71C7129B"/>
    <w:rsid w:val="71D233A0"/>
    <w:rsid w:val="71E10EE9"/>
    <w:rsid w:val="71ED5B87"/>
    <w:rsid w:val="71F27C84"/>
    <w:rsid w:val="71F55880"/>
    <w:rsid w:val="720507AF"/>
    <w:rsid w:val="72131A85"/>
    <w:rsid w:val="72203303"/>
    <w:rsid w:val="72222A91"/>
    <w:rsid w:val="722D2EFC"/>
    <w:rsid w:val="72377484"/>
    <w:rsid w:val="723A4EB6"/>
    <w:rsid w:val="72472765"/>
    <w:rsid w:val="724B2D4D"/>
    <w:rsid w:val="726A1CFB"/>
    <w:rsid w:val="726B089A"/>
    <w:rsid w:val="727A0B9D"/>
    <w:rsid w:val="727D4593"/>
    <w:rsid w:val="728E2304"/>
    <w:rsid w:val="72927508"/>
    <w:rsid w:val="72A63C4D"/>
    <w:rsid w:val="72E2705D"/>
    <w:rsid w:val="73027D57"/>
    <w:rsid w:val="730F2101"/>
    <w:rsid w:val="73245181"/>
    <w:rsid w:val="733603EA"/>
    <w:rsid w:val="7336563C"/>
    <w:rsid w:val="734C1FA3"/>
    <w:rsid w:val="73786B89"/>
    <w:rsid w:val="739D451F"/>
    <w:rsid w:val="73A41F09"/>
    <w:rsid w:val="73B75289"/>
    <w:rsid w:val="73C53E14"/>
    <w:rsid w:val="73D73E35"/>
    <w:rsid w:val="73DA07AA"/>
    <w:rsid w:val="73E125D2"/>
    <w:rsid w:val="74133412"/>
    <w:rsid w:val="741A2A6B"/>
    <w:rsid w:val="74294F19"/>
    <w:rsid w:val="74397D32"/>
    <w:rsid w:val="74413502"/>
    <w:rsid w:val="74452F75"/>
    <w:rsid w:val="746862A7"/>
    <w:rsid w:val="74697013"/>
    <w:rsid w:val="748B1E9E"/>
    <w:rsid w:val="74905199"/>
    <w:rsid w:val="749F0BCF"/>
    <w:rsid w:val="74A02813"/>
    <w:rsid w:val="74AA3FB2"/>
    <w:rsid w:val="74AE13F3"/>
    <w:rsid w:val="74C60B26"/>
    <w:rsid w:val="74D268C1"/>
    <w:rsid w:val="74E220C3"/>
    <w:rsid w:val="74E60887"/>
    <w:rsid w:val="74F30B7A"/>
    <w:rsid w:val="74F9148C"/>
    <w:rsid w:val="7503222B"/>
    <w:rsid w:val="751A6CD5"/>
    <w:rsid w:val="75234C87"/>
    <w:rsid w:val="75264630"/>
    <w:rsid w:val="753D57FE"/>
    <w:rsid w:val="754247B5"/>
    <w:rsid w:val="754A33EC"/>
    <w:rsid w:val="757662A7"/>
    <w:rsid w:val="75833FFC"/>
    <w:rsid w:val="75934B9F"/>
    <w:rsid w:val="759D0D09"/>
    <w:rsid w:val="759E0063"/>
    <w:rsid w:val="75A34DF8"/>
    <w:rsid w:val="75A500A0"/>
    <w:rsid w:val="75B82724"/>
    <w:rsid w:val="75C456B5"/>
    <w:rsid w:val="75E60D36"/>
    <w:rsid w:val="75F00530"/>
    <w:rsid w:val="75F466CB"/>
    <w:rsid w:val="75F85664"/>
    <w:rsid w:val="762030EA"/>
    <w:rsid w:val="76247598"/>
    <w:rsid w:val="7625103F"/>
    <w:rsid w:val="762F25CF"/>
    <w:rsid w:val="765B370F"/>
    <w:rsid w:val="767662FE"/>
    <w:rsid w:val="76785B77"/>
    <w:rsid w:val="768C2E5D"/>
    <w:rsid w:val="7691437D"/>
    <w:rsid w:val="76941547"/>
    <w:rsid w:val="76996A39"/>
    <w:rsid w:val="769E4DB9"/>
    <w:rsid w:val="76AB1F74"/>
    <w:rsid w:val="76AC7961"/>
    <w:rsid w:val="76B22003"/>
    <w:rsid w:val="76B82101"/>
    <w:rsid w:val="76D10AB1"/>
    <w:rsid w:val="76E14FAF"/>
    <w:rsid w:val="76F268FC"/>
    <w:rsid w:val="76F424EC"/>
    <w:rsid w:val="76F672DE"/>
    <w:rsid w:val="76F82787"/>
    <w:rsid w:val="76F95325"/>
    <w:rsid w:val="7711693E"/>
    <w:rsid w:val="77205C11"/>
    <w:rsid w:val="773512F9"/>
    <w:rsid w:val="7747672A"/>
    <w:rsid w:val="776D52F0"/>
    <w:rsid w:val="777930EC"/>
    <w:rsid w:val="777A64C9"/>
    <w:rsid w:val="777E4696"/>
    <w:rsid w:val="778257F5"/>
    <w:rsid w:val="77841060"/>
    <w:rsid w:val="77843CBB"/>
    <w:rsid w:val="778A50E4"/>
    <w:rsid w:val="778C4D05"/>
    <w:rsid w:val="778E7D1B"/>
    <w:rsid w:val="779D506F"/>
    <w:rsid w:val="77C16FFE"/>
    <w:rsid w:val="77CA2F0E"/>
    <w:rsid w:val="77CC1C11"/>
    <w:rsid w:val="7809284D"/>
    <w:rsid w:val="78241382"/>
    <w:rsid w:val="78291CB2"/>
    <w:rsid w:val="78411C02"/>
    <w:rsid w:val="7842078F"/>
    <w:rsid w:val="78442BCE"/>
    <w:rsid w:val="78475F8E"/>
    <w:rsid w:val="784A7300"/>
    <w:rsid w:val="785006BC"/>
    <w:rsid w:val="78556D9D"/>
    <w:rsid w:val="785A0D1E"/>
    <w:rsid w:val="787016F2"/>
    <w:rsid w:val="787D72EF"/>
    <w:rsid w:val="789C4816"/>
    <w:rsid w:val="78A80570"/>
    <w:rsid w:val="78C4045F"/>
    <w:rsid w:val="78CF2A6F"/>
    <w:rsid w:val="78D71DB8"/>
    <w:rsid w:val="78D81AA0"/>
    <w:rsid w:val="78DA571F"/>
    <w:rsid w:val="78FD68E2"/>
    <w:rsid w:val="78FF3DF0"/>
    <w:rsid w:val="790A5219"/>
    <w:rsid w:val="791561B1"/>
    <w:rsid w:val="79297CDA"/>
    <w:rsid w:val="79302C7E"/>
    <w:rsid w:val="793B4FED"/>
    <w:rsid w:val="79541DC9"/>
    <w:rsid w:val="79937355"/>
    <w:rsid w:val="79970E6B"/>
    <w:rsid w:val="7999193E"/>
    <w:rsid w:val="79C17310"/>
    <w:rsid w:val="79D00FC1"/>
    <w:rsid w:val="79D52E98"/>
    <w:rsid w:val="79D77582"/>
    <w:rsid w:val="7A122EB7"/>
    <w:rsid w:val="7A1243D6"/>
    <w:rsid w:val="7A132EBE"/>
    <w:rsid w:val="7A2F51AD"/>
    <w:rsid w:val="7A3253B2"/>
    <w:rsid w:val="7A3F1DDD"/>
    <w:rsid w:val="7A5766A4"/>
    <w:rsid w:val="7A6C5668"/>
    <w:rsid w:val="7A6E3E8B"/>
    <w:rsid w:val="7A8528EA"/>
    <w:rsid w:val="7A8621EC"/>
    <w:rsid w:val="7A985679"/>
    <w:rsid w:val="7A9F73B8"/>
    <w:rsid w:val="7AB01A76"/>
    <w:rsid w:val="7AB22FAD"/>
    <w:rsid w:val="7AB44B31"/>
    <w:rsid w:val="7AB836F9"/>
    <w:rsid w:val="7ABB5711"/>
    <w:rsid w:val="7ACB5FEA"/>
    <w:rsid w:val="7AD77D23"/>
    <w:rsid w:val="7AEA5421"/>
    <w:rsid w:val="7B13002D"/>
    <w:rsid w:val="7B1412D7"/>
    <w:rsid w:val="7B262A16"/>
    <w:rsid w:val="7B2C7C69"/>
    <w:rsid w:val="7B3471DE"/>
    <w:rsid w:val="7B4E2CF6"/>
    <w:rsid w:val="7B526027"/>
    <w:rsid w:val="7B6E45AA"/>
    <w:rsid w:val="7B971E0E"/>
    <w:rsid w:val="7BA36574"/>
    <w:rsid w:val="7BB53DBB"/>
    <w:rsid w:val="7BB72F6F"/>
    <w:rsid w:val="7BCD7EEC"/>
    <w:rsid w:val="7BE813BE"/>
    <w:rsid w:val="7BF421CA"/>
    <w:rsid w:val="7BFF1B8E"/>
    <w:rsid w:val="7C002219"/>
    <w:rsid w:val="7C1E7B05"/>
    <w:rsid w:val="7C2E7803"/>
    <w:rsid w:val="7C382239"/>
    <w:rsid w:val="7C4A5E03"/>
    <w:rsid w:val="7C661B00"/>
    <w:rsid w:val="7C9C611F"/>
    <w:rsid w:val="7CA253E1"/>
    <w:rsid w:val="7CB53BCA"/>
    <w:rsid w:val="7CB8001B"/>
    <w:rsid w:val="7CE162EA"/>
    <w:rsid w:val="7CFD017A"/>
    <w:rsid w:val="7CFD5F55"/>
    <w:rsid w:val="7D017F8B"/>
    <w:rsid w:val="7D353D0F"/>
    <w:rsid w:val="7D40114B"/>
    <w:rsid w:val="7D647C26"/>
    <w:rsid w:val="7D6524B6"/>
    <w:rsid w:val="7D6532F7"/>
    <w:rsid w:val="7D715668"/>
    <w:rsid w:val="7D752BAA"/>
    <w:rsid w:val="7D8164A5"/>
    <w:rsid w:val="7D921AD7"/>
    <w:rsid w:val="7DBF735E"/>
    <w:rsid w:val="7DC41EBD"/>
    <w:rsid w:val="7DC44A33"/>
    <w:rsid w:val="7DCB2EC6"/>
    <w:rsid w:val="7DD03A3D"/>
    <w:rsid w:val="7DD13940"/>
    <w:rsid w:val="7DD33E65"/>
    <w:rsid w:val="7DD80854"/>
    <w:rsid w:val="7DDC4865"/>
    <w:rsid w:val="7DDE4B49"/>
    <w:rsid w:val="7DE357BC"/>
    <w:rsid w:val="7DF276DF"/>
    <w:rsid w:val="7E22459D"/>
    <w:rsid w:val="7E3405C3"/>
    <w:rsid w:val="7E4411CC"/>
    <w:rsid w:val="7E4E2A01"/>
    <w:rsid w:val="7E694F12"/>
    <w:rsid w:val="7E7309D5"/>
    <w:rsid w:val="7E744A25"/>
    <w:rsid w:val="7E752CC5"/>
    <w:rsid w:val="7E8C36AE"/>
    <w:rsid w:val="7E8F7E0F"/>
    <w:rsid w:val="7E9D5B11"/>
    <w:rsid w:val="7EAB516C"/>
    <w:rsid w:val="7EAF48D0"/>
    <w:rsid w:val="7EB32624"/>
    <w:rsid w:val="7EC325C3"/>
    <w:rsid w:val="7EC37796"/>
    <w:rsid w:val="7EC4533B"/>
    <w:rsid w:val="7ED31755"/>
    <w:rsid w:val="7F1836A4"/>
    <w:rsid w:val="7F190866"/>
    <w:rsid w:val="7F1A12A4"/>
    <w:rsid w:val="7F53396F"/>
    <w:rsid w:val="7F5D6FDA"/>
    <w:rsid w:val="7F6364AC"/>
    <w:rsid w:val="7F7517B4"/>
    <w:rsid w:val="7F9031B1"/>
    <w:rsid w:val="7FA80B72"/>
    <w:rsid w:val="7FAC2BC9"/>
    <w:rsid w:val="7FD6168F"/>
    <w:rsid w:val="7FEB5E25"/>
    <w:rsid w:val="7FF742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outlineLvl w:val="0"/>
    </w:pPr>
    <w:rPr>
      <w:rFonts w:eastAsia="宋体" w:asciiTheme="minorAscii" w:hAnsiTheme="minorAscii"/>
      <w:b/>
      <w:kern w:val="0"/>
      <w:sz w:val="28"/>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Times New Roman" w:hAnsi="Times New Roman" w:eastAsia="宋体"/>
      <w:b/>
      <w:kern w:val="0"/>
      <w:sz w:val="24"/>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unhideWhenUsed/>
    <w:qFormat/>
    <w:uiPriority w:val="9"/>
    <w:pPr>
      <w:keepNext/>
      <w:keepLines/>
      <w:spacing w:before="280" w:beforeLines="0" w:after="290" w:afterLines="0" w:line="376" w:lineRule="auto"/>
      <w:outlineLvl w:val="3"/>
    </w:pPr>
    <w:rPr>
      <w:rFonts w:ascii="Cambria" w:hAnsi="Cambria"/>
      <w:b/>
      <w:bCs/>
      <w:sz w:val="28"/>
      <w:szCs w:val="28"/>
    </w:rPr>
  </w:style>
  <w:style w:type="character" w:default="1" w:styleId="24">
    <w:name w:val="Default Paragraph Font"/>
    <w:link w:val="25"/>
    <w:semiHidden/>
    <w:qFormat/>
    <w:uiPriority w:val="0"/>
    <w:rPr>
      <w:spacing w:val="-2"/>
      <w:kern w:val="0"/>
      <w:sz w:val="20"/>
      <w:szCs w:val="20"/>
    </w:rPr>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afterLines="0"/>
    </w:pPr>
    <w:rPr>
      <w:rFonts w:ascii="Times New Roman"/>
      <w:kern w:val="2"/>
      <w:sz w:val="24"/>
      <w:szCs w:val="24"/>
      <w:lang w:val="zh-CN"/>
    </w:rPr>
  </w:style>
  <w:style w:type="paragraph" w:styleId="7">
    <w:name w:val="annotation text"/>
    <w:basedOn w:val="1"/>
    <w:qFormat/>
    <w:uiPriority w:val="0"/>
    <w:pPr>
      <w:jc w:val="left"/>
    </w:pPr>
  </w:style>
  <w:style w:type="paragraph" w:styleId="8">
    <w:name w:val="Salutation"/>
    <w:basedOn w:val="1"/>
    <w:next w:val="1"/>
    <w:unhideWhenUsed/>
    <w:qFormat/>
    <w:uiPriority w:val="99"/>
  </w:style>
  <w:style w:type="paragraph" w:styleId="9">
    <w:name w:val="Body Text Indent"/>
    <w:basedOn w:val="1"/>
    <w:next w:val="10"/>
    <w:qFormat/>
    <w:uiPriority w:val="0"/>
    <w:pPr>
      <w:spacing w:line="480" w:lineRule="exact"/>
      <w:ind w:firstLine="570"/>
    </w:pPr>
    <w:rPr>
      <w:b/>
      <w:sz w:val="28"/>
    </w:rPr>
  </w:style>
  <w:style w:type="paragraph" w:styleId="10">
    <w:name w:val="Body Text Indent 2"/>
    <w:basedOn w:val="1"/>
    <w:next w:val="11"/>
    <w:qFormat/>
    <w:uiPriority w:val="0"/>
    <w:pPr>
      <w:spacing w:beforeLines="50" w:line="500" w:lineRule="exact"/>
      <w:ind w:firstLine="560" w:firstLineChars="200"/>
      <w:jc w:val="left"/>
    </w:pPr>
    <w:rPr>
      <w:sz w:val="28"/>
    </w:rPr>
  </w:style>
  <w:style w:type="paragraph" w:styleId="11">
    <w:name w:val="Body Text First Indent 2"/>
    <w:basedOn w:val="1"/>
    <w:next w:val="1"/>
    <w:unhideWhenUsed/>
    <w:qFormat/>
    <w:uiPriority w:val="99"/>
    <w:pPr>
      <w:ind w:firstLine="420" w:firstLineChars="200"/>
    </w:pPr>
  </w:style>
  <w:style w:type="paragraph" w:styleId="12">
    <w:name w:val="Plain Text"/>
    <w:basedOn w:val="1"/>
    <w:qFormat/>
    <w:uiPriority w:val="0"/>
    <w:rPr>
      <w:rFonts w:ascii="宋体" w:hAnsi="Courier New"/>
    </w:rPr>
  </w:style>
  <w:style w:type="paragraph" w:styleId="13">
    <w:name w:val="footer"/>
    <w:basedOn w:val="1"/>
    <w:qFormat/>
    <w:uiPriority w:val="0"/>
    <w:pPr>
      <w:tabs>
        <w:tab w:val="center" w:pos="4153"/>
        <w:tab w:val="right" w:pos="8306"/>
      </w:tabs>
      <w:snapToGrid w:val="0"/>
      <w:jc w:val="left"/>
    </w:pPr>
    <w:rPr>
      <w:sz w:val="18"/>
    </w:rPr>
  </w:style>
  <w:style w:type="paragraph" w:styleId="14">
    <w:name w:val="envelope return"/>
    <w:basedOn w:val="1"/>
    <w:unhideWhenUsed/>
    <w:qFormat/>
    <w:uiPriority w:val="99"/>
    <w:pPr>
      <w:snapToGrid w:val="0"/>
    </w:pPr>
    <w:rPr>
      <w:rFonts w:ascii="Arial" w:hAnsi="Arial"/>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rPr>
      <w:rFonts w:ascii="Times New Roman" w:hAnsi="Times New Roman" w:eastAsia="仿宋"/>
      <w:b/>
      <w:sz w:val="28"/>
    </w:rPr>
  </w:style>
  <w:style w:type="paragraph" w:styleId="17">
    <w:name w:val="List"/>
    <w:basedOn w:val="1"/>
    <w:qFormat/>
    <w:uiPriority w:val="0"/>
    <w:pPr>
      <w:spacing w:before="100" w:beforeAutospacing="1" w:after="100" w:afterAutospacing="1"/>
      <w:ind w:left="200" w:hanging="200" w:hangingChars="200"/>
    </w:pPr>
    <w:rPr>
      <w:szCs w:val="21"/>
    </w:rPr>
  </w:style>
  <w:style w:type="paragraph" w:styleId="18">
    <w:name w:val="Body Text Indent 3"/>
    <w:basedOn w:val="1"/>
    <w:qFormat/>
    <w:uiPriority w:val="0"/>
    <w:pPr>
      <w:spacing w:before="120" w:line="460" w:lineRule="atLeast"/>
      <w:ind w:firstLine="480" w:firstLineChars="200"/>
    </w:pPr>
    <w:rPr>
      <w:sz w:val="24"/>
    </w:rPr>
  </w:style>
  <w:style w:type="paragraph" w:styleId="19">
    <w:name w:val="toc 2"/>
    <w:basedOn w:val="1"/>
    <w:next w:val="1"/>
    <w:qFormat/>
    <w:uiPriority w:val="0"/>
    <w:pPr>
      <w:ind w:left="420" w:leftChars="200"/>
    </w:pPr>
  </w:style>
  <w:style w:type="paragraph" w:styleId="20">
    <w:name w:val="Body Text 2"/>
    <w:basedOn w:val="1"/>
    <w:qFormat/>
    <w:uiPriority w:val="0"/>
    <w:pPr>
      <w:spacing w:line="420" w:lineRule="exact"/>
    </w:pPr>
    <w:rPr>
      <w:sz w:val="28"/>
    </w:rPr>
  </w:style>
  <w:style w:type="paragraph" w:styleId="21">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table" w:styleId="23">
    <w:name w:val="Table Grid"/>
    <w:basedOn w:val="2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1 Char Char Char Char Char Char Char Char Char Char Char Char Char"/>
    <w:basedOn w:val="1"/>
    <w:link w:val="24"/>
    <w:qFormat/>
    <w:uiPriority w:val="0"/>
    <w:rPr>
      <w:spacing w:val="-2"/>
      <w:kern w:val="0"/>
      <w:sz w:val="20"/>
      <w:szCs w:val="20"/>
    </w:rPr>
  </w:style>
  <w:style w:type="character" w:styleId="26">
    <w:name w:val="Strong"/>
    <w:basedOn w:val="24"/>
    <w:qFormat/>
    <w:uiPriority w:val="0"/>
    <w:rPr>
      <w:b/>
    </w:rPr>
  </w:style>
  <w:style w:type="character" w:styleId="27">
    <w:name w:val="Emphasis"/>
    <w:basedOn w:val="24"/>
    <w:qFormat/>
    <w:uiPriority w:val="0"/>
    <w:rPr>
      <w:color w:val="CC0000"/>
    </w:rPr>
  </w:style>
  <w:style w:type="character" w:styleId="28">
    <w:name w:val="Hyperlink"/>
    <w:basedOn w:val="24"/>
    <w:qFormat/>
    <w:uiPriority w:val="0"/>
    <w:rPr>
      <w:color w:val="0000FF"/>
      <w:u w:val="single"/>
    </w:rPr>
  </w:style>
  <w:style w:type="character" w:styleId="29">
    <w:name w:val="annotation reference"/>
    <w:basedOn w:val="24"/>
    <w:qFormat/>
    <w:uiPriority w:val="0"/>
    <w:rPr>
      <w:sz w:val="21"/>
      <w:szCs w:val="21"/>
    </w:rPr>
  </w:style>
  <w:style w:type="paragraph" w:customStyle="1" w:styleId="30">
    <w:name w:val="表头"/>
    <w:basedOn w:val="1"/>
    <w:qFormat/>
    <w:uiPriority w:val="0"/>
    <w:pPr>
      <w:spacing w:beforeLines="50" w:afterLines="50" w:line="240" w:lineRule="atLeast"/>
      <w:jc w:val="center"/>
    </w:pPr>
    <w:rPr>
      <w:rFonts w:cs="宋体"/>
      <w:bCs/>
      <w:sz w:val="24"/>
      <w:szCs w:val="24"/>
      <w:lang w:val="en-CA"/>
    </w:rPr>
  </w:style>
  <w:style w:type="paragraph" w:customStyle="1" w:styleId="31">
    <w:name w:val="Default"/>
    <w:basedOn w:val="32"/>
    <w:next w:val="13"/>
    <w:qFormat/>
    <w:uiPriority w:val="0"/>
    <w:pPr>
      <w:widowControl w:val="0"/>
      <w:autoSpaceDE w:val="0"/>
      <w:autoSpaceDN w:val="0"/>
      <w:adjustRightInd w:val="0"/>
      <w:spacing w:line="360" w:lineRule="auto"/>
    </w:pPr>
    <w:rPr>
      <w:rFonts w:ascii="Times New Roman" w:hAnsi="Times New Roman" w:eastAsia="宋体" w:cs="Times New Roman"/>
      <w:color w:val="000000"/>
      <w:sz w:val="24"/>
      <w:szCs w:val="24"/>
      <w:lang w:val="en-US" w:eastAsia="zh-CN" w:bidi="ar-SA"/>
    </w:rPr>
  </w:style>
  <w:style w:type="paragraph" w:customStyle="1" w:styleId="32">
    <w:name w:val="文本"/>
    <w:basedOn w:val="1"/>
    <w:next w:val="1"/>
    <w:qFormat/>
    <w:uiPriority w:val="0"/>
    <w:pPr>
      <w:autoSpaceDE w:val="0"/>
      <w:autoSpaceDN w:val="0"/>
      <w:ind w:firstLine="480"/>
    </w:pPr>
    <w:rPr>
      <w:szCs w:val="24"/>
      <w:lang w:val="zh-CN"/>
    </w:rPr>
  </w:style>
  <w:style w:type="paragraph" w:customStyle="1" w:styleId="33">
    <w:name w:val="正文 首行缩进:  2 字符"/>
    <w:basedOn w:val="1"/>
    <w:qFormat/>
    <w:uiPriority w:val="99"/>
    <w:pPr>
      <w:ind w:firstLine="579" w:firstLineChars="200"/>
    </w:pPr>
    <w:rPr>
      <w:rFonts w:cs="宋体"/>
      <w:szCs w:val="20"/>
    </w:rPr>
  </w:style>
  <w:style w:type="paragraph" w:customStyle="1" w:styleId="34">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styleId="35">
    <w:name w:val="List Paragraph"/>
    <w:basedOn w:val="1"/>
    <w:qFormat/>
    <w:uiPriority w:val="0"/>
    <w:pPr>
      <w:ind w:firstLine="420" w:firstLineChars="200"/>
    </w:pPr>
    <w:rPr>
      <w:szCs w:val="24"/>
    </w:rPr>
  </w:style>
  <w:style w:type="paragraph" w:customStyle="1" w:styleId="36">
    <w:name w:val="_Style 1"/>
    <w:basedOn w:val="1"/>
    <w:qFormat/>
    <w:uiPriority w:val="0"/>
    <w:pPr>
      <w:ind w:firstLine="420" w:firstLineChars="200"/>
    </w:pPr>
    <w:rPr>
      <w:szCs w:val="24"/>
    </w:rPr>
  </w:style>
  <w:style w:type="paragraph" w:customStyle="1" w:styleId="37">
    <w:name w:val="段"/>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customStyle="1" w:styleId="38">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9">
    <w:name w:val=" Char1 Char Char Char"/>
    <w:basedOn w:val="1"/>
    <w:qFormat/>
    <w:uiPriority w:val="0"/>
    <w:rPr>
      <w:szCs w:val="24"/>
    </w:rPr>
  </w:style>
  <w:style w:type="paragraph" w:customStyle="1" w:styleId="40">
    <w:name w:val="表格文字2"/>
    <w:basedOn w:val="1"/>
    <w:qFormat/>
    <w:uiPriority w:val="0"/>
    <w:pPr>
      <w:adjustRightInd w:val="0"/>
      <w:spacing w:before="60" w:beforeLines="0"/>
      <w:jc w:val="center"/>
      <w:textAlignment w:val="baseline"/>
    </w:pPr>
    <w:rPr>
      <w:rFonts w:ascii="宋体"/>
      <w:kern w:val="0"/>
      <w:sz w:val="24"/>
    </w:rPr>
  </w:style>
  <w:style w:type="paragraph" w:customStyle="1" w:styleId="41">
    <w:name w:val="中文报告书样式"/>
    <w:basedOn w:val="1"/>
    <w:qFormat/>
    <w:uiPriority w:val="0"/>
    <w:pPr>
      <w:adjustRightInd w:val="0"/>
      <w:spacing w:line="480" w:lineRule="atLeast"/>
      <w:ind w:firstLine="482"/>
      <w:textAlignment w:val="baseline"/>
    </w:pPr>
    <w:rPr>
      <w:kern w:val="24"/>
      <w:sz w:val="24"/>
    </w:rPr>
  </w:style>
  <w:style w:type="paragraph" w:customStyle="1" w:styleId="42">
    <w:name w:val="表格内容"/>
    <w:basedOn w:val="43"/>
    <w:qFormat/>
    <w:uiPriority w:val="0"/>
    <w:pPr>
      <w:keepNext w:val="0"/>
      <w:widowControl w:val="0"/>
      <w:overflowPunct/>
      <w:adjustRightInd/>
      <w:snapToGrid/>
      <w:spacing w:before="0" w:after="0" w:line="240" w:lineRule="atLeast"/>
      <w:textAlignment w:val="auto"/>
    </w:pPr>
    <w:rPr>
      <w:rFonts w:ascii="Times New Roman" w:hAnsi="Times New Roman" w:eastAsia="宋体"/>
      <w:b/>
      <w:kern w:val="2"/>
      <w:sz w:val="21"/>
      <w:szCs w:val="24"/>
      <w:lang w:val="en-US" w:eastAsia="zh-CN"/>
    </w:rPr>
  </w:style>
  <w:style w:type="paragraph" w:customStyle="1" w:styleId="43">
    <w:name w:val="表格标题"/>
    <w:basedOn w:val="1"/>
    <w:next w:val="1"/>
    <w:qFormat/>
    <w:uiPriority w:val="0"/>
    <w:pPr>
      <w:keepNext/>
      <w:widowControl/>
      <w:overflowPunct w:val="0"/>
      <w:adjustRightInd w:val="0"/>
      <w:snapToGrid w:val="0"/>
      <w:spacing w:before="360" w:beforeLines="0" w:after="120" w:afterLines="0" w:line="480" w:lineRule="exact"/>
      <w:jc w:val="center"/>
      <w:textAlignment w:val="baseline"/>
    </w:pPr>
    <w:rPr>
      <w:rFonts w:ascii="Arial" w:hAnsi="Arial" w:eastAsia="黑体"/>
      <w:kern w:val="0"/>
      <w:sz w:val="24"/>
    </w:rPr>
  </w:style>
  <w:style w:type="paragraph" w:customStyle="1" w:styleId="44">
    <w:name w:val="正文文本－5号字"/>
    <w:basedOn w:val="2"/>
    <w:qFormat/>
    <w:uiPriority w:val="0"/>
    <w:pPr>
      <w:spacing w:before="78"/>
      <w:ind w:firstLine="480" w:firstLineChars="200"/>
    </w:pPr>
    <w:rPr>
      <w:rFonts w:ascii="Times New Roman" w:hAnsi="Times New Roman"/>
      <w:sz w:val="24"/>
    </w:rPr>
  </w:style>
  <w:style w:type="paragraph" w:customStyle="1" w:styleId="45">
    <w:name w:val="Table Paragraph"/>
    <w:basedOn w:val="1"/>
    <w:qFormat/>
    <w:uiPriority w:val="1"/>
    <w:pPr>
      <w:jc w:val="center"/>
    </w:pPr>
    <w:rPr>
      <w:rFonts w:ascii="宋体" w:hAnsi="宋体" w:eastAsia="宋体" w:cs="宋体"/>
      <w:lang w:val="zh-CN" w:eastAsia="zh-CN" w:bidi="zh-CN"/>
    </w:rPr>
  </w:style>
  <w:style w:type="paragraph" w:customStyle="1" w:styleId="46">
    <w:name w:val="正文 + 仿宋_GB2312"/>
    <w:basedOn w:val="1"/>
    <w:qFormat/>
    <w:uiPriority w:val="99"/>
    <w:pPr>
      <w:ind w:firstLine="480" w:firstLineChars="200"/>
    </w:pPr>
    <w:rPr>
      <w:rFonts w:ascii="仿宋_GB2312" w:hAnsi="Calibri" w:eastAsia="仿宋_GB2312" w:cs="Times New Roman"/>
      <w:sz w:val="24"/>
    </w:rPr>
  </w:style>
  <w:style w:type="paragraph" w:customStyle="1" w:styleId="47">
    <w:name w:val="样式35"/>
    <w:basedOn w:val="1"/>
    <w:qFormat/>
    <w:uiPriority w:val="0"/>
    <w:pPr>
      <w:adjustRightInd w:val="0"/>
      <w:spacing w:line="312" w:lineRule="auto"/>
      <w:ind w:firstLine="567"/>
    </w:pPr>
    <w:rPr>
      <w:rFonts w:ascii="宋体"/>
      <w:kern w:val="0"/>
      <w:sz w:val="28"/>
    </w:rPr>
  </w:style>
  <w:style w:type="paragraph" w:customStyle="1" w:styleId="48">
    <w:name w:val="报告"/>
    <w:basedOn w:val="1"/>
    <w:qFormat/>
    <w:uiPriority w:val="0"/>
    <w:pPr>
      <w:adjustRightInd w:val="0"/>
      <w:spacing w:line="360" w:lineRule="auto"/>
      <w:ind w:firstLine="505"/>
      <w:jc w:val="left"/>
      <w:textAlignment w:val="baseline"/>
    </w:pPr>
    <w:rPr>
      <w:kern w:val="0"/>
      <w:sz w:val="24"/>
    </w:rPr>
  </w:style>
  <w:style w:type="paragraph" w:customStyle="1" w:styleId="49">
    <w:name w:val="表格"/>
    <w:basedOn w:val="1"/>
    <w:next w:val="1"/>
    <w:qFormat/>
    <w:uiPriority w:val="0"/>
    <w:pPr>
      <w:spacing w:before="50" w:beforeLines="0" w:after="50" w:afterLines="0"/>
      <w:jc w:val="center"/>
    </w:pPr>
    <w:rPr>
      <w:rFonts w:ascii="宋体"/>
      <w:szCs w:val="20"/>
    </w:rPr>
  </w:style>
  <w:style w:type="paragraph" w:customStyle="1" w:styleId="50">
    <w:name w:val="bg"/>
    <w:basedOn w:val="1"/>
    <w:qFormat/>
    <w:uiPriority w:val="0"/>
    <w:pPr>
      <w:widowControl/>
    </w:pPr>
    <w:rPr>
      <w:kern w:val="0"/>
      <w:sz w:val="24"/>
      <w:szCs w:val="20"/>
    </w:rPr>
  </w:style>
  <w:style w:type="paragraph" w:customStyle="1" w:styleId="51">
    <w:name w:val="表格内文字"/>
    <w:basedOn w:val="1"/>
    <w:qFormat/>
    <w:uiPriority w:val="0"/>
    <w:pPr>
      <w:adjustRightInd w:val="0"/>
      <w:snapToGrid w:val="0"/>
      <w:spacing w:before="40" w:beforeLines="0" w:line="320" w:lineRule="exact"/>
      <w:jc w:val="center"/>
    </w:pPr>
    <w:rPr>
      <w:snapToGrid w:val="0"/>
      <w:kern w:val="0"/>
      <w:sz w:val="24"/>
    </w:rPr>
  </w:style>
  <w:style w:type="paragraph" w:customStyle="1" w:styleId="52">
    <w:name w:val="正文修改"/>
    <w:basedOn w:val="1"/>
    <w:qFormat/>
    <w:uiPriority w:val="0"/>
    <w:pPr>
      <w:spacing w:line="360" w:lineRule="auto"/>
      <w:ind w:firstLine="480" w:firstLineChars="200"/>
    </w:pPr>
    <w:rPr>
      <w:rFonts w:cs="宋体"/>
      <w:kern w:val="0"/>
      <w:sz w:val="24"/>
      <w:szCs w:val="20"/>
    </w:rPr>
  </w:style>
  <w:style w:type="paragraph" w:customStyle="1" w:styleId="53">
    <w:name w:val="p0"/>
    <w:basedOn w:val="1"/>
    <w:qFormat/>
    <w:uiPriority w:val="0"/>
    <w:pPr>
      <w:widowControl/>
    </w:pPr>
    <w:rPr>
      <w:rFonts w:ascii="Calibri" w:hAnsi="Calibri" w:cs="宋体"/>
      <w:kern w:val="0"/>
      <w:szCs w:val="21"/>
    </w:rPr>
  </w:style>
  <w:style w:type="character" w:customStyle="1" w:styleId="54">
    <w:name w:val="font21"/>
    <w:basedOn w:val="24"/>
    <w:qFormat/>
    <w:uiPriority w:val="0"/>
    <w:rPr>
      <w:rFonts w:hint="default" w:ascii="Times New Roman" w:hAnsi="Times New Roman" w:cs="Times New Roman"/>
      <w:color w:val="000000"/>
      <w:sz w:val="23"/>
      <w:szCs w:val="23"/>
      <w:u w:val="none"/>
    </w:rPr>
  </w:style>
  <w:style w:type="character" w:customStyle="1" w:styleId="55">
    <w:name w:val="font11"/>
    <w:basedOn w:val="24"/>
    <w:qFormat/>
    <w:uiPriority w:val="0"/>
    <w:rPr>
      <w:rFonts w:hint="default" w:ascii="Times New Roman" w:hAnsi="Times New Roman" w:cs="Times New Roman"/>
      <w:color w:val="000000"/>
      <w:sz w:val="23"/>
      <w:szCs w:val="23"/>
      <w:u w:val="none"/>
      <w:vertAlign w:val="superscript"/>
    </w:rPr>
  </w:style>
  <w:style w:type="character" w:customStyle="1" w:styleId="56">
    <w:name w:val="font01"/>
    <w:basedOn w:val="24"/>
    <w:qFormat/>
    <w:uiPriority w:val="0"/>
    <w:rPr>
      <w:rFonts w:hint="eastAsia" w:ascii="宋体" w:hAnsi="宋体" w:eastAsia="宋体" w:cs="宋体"/>
      <w:color w:val="000000"/>
      <w:sz w:val="23"/>
      <w:szCs w:val="23"/>
      <w:u w:val="none"/>
      <w:vertAlign w:val="superscript"/>
    </w:rPr>
  </w:style>
  <w:style w:type="paragraph" w:customStyle="1" w:styleId="57">
    <w:name w:val="样式3"/>
    <w:basedOn w:val="58"/>
    <w:qFormat/>
    <w:uiPriority w:val="0"/>
    <w:pPr>
      <w:adjustRightInd/>
      <w:spacing w:line="500" w:lineRule="exact"/>
      <w:ind w:left="0" w:firstLine="200" w:firstLineChars="200"/>
      <w:jc w:val="both"/>
      <w:textAlignment w:val="auto"/>
      <w:outlineLvl w:val="1"/>
    </w:pPr>
    <w:rPr>
      <w:kern w:val="2"/>
    </w:rPr>
  </w:style>
  <w:style w:type="paragraph" w:customStyle="1" w:styleId="58">
    <w:name w:val="样式2"/>
    <w:basedOn w:val="1"/>
    <w:qFormat/>
    <w:uiPriority w:val="0"/>
    <w:pPr>
      <w:adjustRightInd w:val="0"/>
      <w:ind w:left="170"/>
      <w:jc w:val="left"/>
      <w:textAlignment w:val="baseline"/>
    </w:pPr>
    <w:rPr>
      <w:b/>
      <w:kern w:val="0"/>
      <w:sz w:val="24"/>
      <w:szCs w:val="20"/>
    </w:rPr>
  </w:style>
  <w:style w:type="paragraph" w:customStyle="1" w:styleId="59">
    <w:name w:val="表格hks"/>
    <w:next w:val="1"/>
    <w:qFormat/>
    <w:uiPriority w:val="0"/>
    <w:pPr>
      <w:jc w:val="center"/>
    </w:pPr>
    <w:rPr>
      <w:rFonts w:ascii="Times New Roman" w:hAnsi="Times New Roman" w:eastAsia="宋体" w:cs="Times New Roman"/>
      <w:kern w:val="2"/>
      <w:sz w:val="21"/>
      <w:szCs w:val="22"/>
      <w:lang w:val="en-US" w:eastAsia="zh-CN" w:bidi="ar-SA"/>
    </w:rPr>
  </w:style>
  <w:style w:type="paragraph" w:customStyle="1" w:styleId="60">
    <w:name w:val="1"/>
    <w:basedOn w:val="1"/>
    <w:next w:val="9"/>
    <w:qFormat/>
    <w:uiPriority w:val="0"/>
    <w:pPr>
      <w:spacing w:line="360" w:lineRule="auto"/>
      <w:ind w:firstLine="480" w:firstLineChars="200"/>
    </w:pPr>
    <w:rPr>
      <w:rFonts w:ascii="仿宋_GB2312" w:eastAsia="仿宋_GB2312"/>
      <w:sz w:val="24"/>
    </w:rPr>
  </w:style>
  <w:style w:type="paragraph" w:customStyle="1" w:styleId="61">
    <w:name w:val="表格内正文"/>
    <w:basedOn w:val="1"/>
    <w:qFormat/>
    <w:uiPriority w:val="0"/>
    <w:pPr>
      <w:spacing w:line="360" w:lineRule="auto"/>
      <w:ind w:firstLine="493"/>
    </w:pPr>
    <w:rPr>
      <w:rFonts w:ascii="宋体" w:hAnsi="宋体"/>
      <w:spacing w:val="4"/>
      <w:kern w:val="18"/>
      <w:sz w:val="24"/>
    </w:rPr>
  </w:style>
  <w:style w:type="paragraph" w:customStyle="1" w:styleId="62">
    <w:name w:val="环评正文"/>
    <w:basedOn w:val="1"/>
    <w:qFormat/>
    <w:uiPriority w:val="0"/>
    <w:pPr>
      <w:spacing w:line="360" w:lineRule="auto"/>
      <w:ind w:firstLine="200" w:firstLineChars="200"/>
    </w:pPr>
    <w:rPr>
      <w:sz w:val="24"/>
      <w:szCs w:val="24"/>
    </w:rPr>
  </w:style>
  <w:style w:type="paragraph" w:customStyle="1" w:styleId="63">
    <w:name w:val="样式1"/>
    <w:basedOn w:val="1"/>
    <w:qFormat/>
    <w:uiPriority w:val="0"/>
    <w:pPr>
      <w:spacing w:line="500" w:lineRule="exact"/>
      <w:ind w:firstLine="540" w:firstLineChars="225"/>
    </w:pPr>
    <w:rPr>
      <w:color w:val="000000"/>
    </w:rPr>
  </w:style>
  <w:style w:type="paragraph" w:customStyle="1" w:styleId="64">
    <w:name w:val="表"/>
    <w:basedOn w:val="17"/>
    <w:qFormat/>
    <w:uiPriority w:val="0"/>
    <w:pPr>
      <w:adjustRightInd w:val="0"/>
      <w:snapToGrid w:val="0"/>
    </w:pPr>
    <w:rPr>
      <w:szCs w:val="21"/>
    </w:rPr>
  </w:style>
  <w:style w:type="paragraph" w:customStyle="1" w:styleId="65">
    <w:name w:val="正文文本，表格"/>
    <w:basedOn w:val="1"/>
    <w:qFormat/>
    <w:uiPriority w:val="0"/>
    <w:pPr>
      <w:jc w:val="center"/>
    </w:pPr>
    <w:rPr>
      <w:rFonts w:cs="宋体"/>
      <w:szCs w:val="21"/>
    </w:rPr>
  </w:style>
  <w:style w:type="paragraph" w:customStyle="1" w:styleId="66">
    <w:name w:val="正文000000000"/>
    <w:basedOn w:val="1"/>
    <w:next w:val="1"/>
    <w:qFormat/>
    <w:uiPriority w:val="0"/>
    <w:pPr>
      <w:spacing w:line="360" w:lineRule="auto"/>
      <w:ind w:firstLine="480" w:firstLineChars="200"/>
    </w:pPr>
    <w:rPr>
      <w:rFonts w:ascii="宋体" w:hAnsi="宋体"/>
      <w:sz w:val="24"/>
      <w:szCs w:val="24"/>
    </w:rPr>
  </w:style>
  <w:style w:type="paragraph" w:customStyle="1" w:styleId="67">
    <w:name w:val="应急预案正文"/>
    <w:basedOn w:val="1"/>
    <w:qFormat/>
    <w:uiPriority w:val="99"/>
    <w:pPr>
      <w:spacing w:line="520" w:lineRule="exact"/>
      <w:ind w:firstLine="560" w:firstLineChars="200"/>
    </w:pPr>
    <w:rPr>
      <w:rFonts w:ascii="Times New Roman" w:hAnsi="Times New Roman" w:eastAsia="宋体"/>
      <w:kern w:val="0"/>
      <w:sz w:val="24"/>
      <w:szCs w:val="28"/>
    </w:rPr>
  </w:style>
  <w:style w:type="paragraph" w:customStyle="1" w:styleId="68">
    <w:name w:val="WPSOffice手动目录 1"/>
    <w:qFormat/>
    <w:uiPriority w:val="0"/>
    <w:pPr>
      <w:ind w:leftChars="0"/>
    </w:pPr>
    <w:rPr>
      <w:rFonts w:ascii="Times New Roman" w:hAnsi="Times New Roman" w:eastAsia="宋体" w:cs="Times New Roman"/>
      <w:sz w:val="20"/>
      <w:szCs w:val="20"/>
    </w:rPr>
  </w:style>
  <w:style w:type="paragraph" w:customStyle="1" w:styleId="69">
    <w:name w:val="WPSOffice手动目录 2"/>
    <w:qFormat/>
    <w:uiPriority w:val="0"/>
    <w:pPr>
      <w:ind w:leftChars="200"/>
    </w:pPr>
    <w:rPr>
      <w:rFonts w:ascii="Times New Roman" w:hAnsi="Times New Roman" w:eastAsia="宋体" w:cs="Times New Roman"/>
      <w:sz w:val="20"/>
      <w:szCs w:val="20"/>
    </w:rPr>
  </w:style>
  <w:style w:type="paragraph" w:customStyle="1" w:styleId="70">
    <w:name w:val="表内格式"/>
    <w:basedOn w:val="1"/>
    <w:qFormat/>
    <w:uiPriority w:val="0"/>
    <w:pPr>
      <w:jc w:val="center"/>
    </w:pPr>
    <w:rPr>
      <w:rFonts w:ascii="宋体" w:hAnsi="宋体" w:cs="宋体"/>
      <w:b/>
      <w:bCs/>
      <w:szCs w:val="44"/>
    </w:rPr>
  </w:style>
  <w:style w:type="paragraph" w:customStyle="1" w:styleId="71">
    <w:name w:val="公文正文"/>
    <w:basedOn w:val="1"/>
    <w:qFormat/>
    <w:uiPriority w:val="0"/>
    <w:pPr>
      <w:spacing w:line="592" w:lineRule="exact"/>
      <w:ind w:firstLine="640" w:firstLineChars="200"/>
    </w:pPr>
    <w:rPr>
      <w:rFonts w:ascii="方正仿宋简体" w:hAnsi="楷体" w:eastAsia="方正仿宋简体" w:cs="宋体"/>
      <w:sz w:val="32"/>
      <w:szCs w:val="32"/>
    </w:rPr>
  </w:style>
  <w:style w:type="paragraph" w:customStyle="1" w:styleId="72">
    <w:name w:val="Pa2"/>
    <w:basedOn w:val="31"/>
    <w:next w:val="31"/>
    <w:unhideWhenUsed/>
    <w:qFormat/>
    <w:uiPriority w:val="99"/>
    <w:pPr>
      <w:spacing w:line="241" w:lineRule="atLeast"/>
    </w:pPr>
  </w:style>
  <w:style w:type="character" w:customStyle="1" w:styleId="73">
    <w:name w:val="font71"/>
    <w:qFormat/>
    <w:uiPriority w:val="0"/>
    <w:rPr>
      <w:rFonts w:hint="eastAsia" w:ascii="Times New Roman" w:hAnsi="Times New Roman" w:cs="Times New Roman"/>
      <w:b/>
      <w:bCs/>
      <w:color w:val="000000"/>
      <w:kern w:val="44"/>
      <w:sz w:val="21"/>
      <w:szCs w:val="21"/>
      <w:u w:val="none"/>
      <w:vertAlign w:val="superscript"/>
    </w:rPr>
  </w:style>
  <w:style w:type="paragraph" w:customStyle="1" w:styleId="74">
    <w:name w:val="标题2"/>
    <w:basedOn w:val="4"/>
    <w:qFormat/>
    <w:uiPriority w:val="0"/>
    <w:pPr>
      <w:numPr>
        <w:ilvl w:val="1"/>
        <w:numId w:val="1"/>
      </w:numPr>
      <w:spacing w:before="0" w:after="0" w:line="440" w:lineRule="exact"/>
    </w:pPr>
    <w:rPr>
      <w:sz w:val="28"/>
    </w:rPr>
  </w:style>
  <w:style w:type="paragraph" w:customStyle="1" w:styleId="75">
    <w:name w:val="1正文段落"/>
    <w:basedOn w:val="1"/>
    <w:qFormat/>
    <w:uiPriority w:val="0"/>
    <w:pPr>
      <w:ind w:firstLine="480" w:firstLineChars="200"/>
      <w:jc w:val="left"/>
    </w:pPr>
    <w:rPr>
      <w:snapToGrid w:val="0"/>
      <w:kern w:val="0"/>
    </w:rPr>
  </w:style>
  <w:style w:type="paragraph" w:customStyle="1" w:styleId="76">
    <w:name w:val="五号表格"/>
    <w:qFormat/>
    <w:uiPriority w:val="0"/>
    <w:pPr>
      <w:widowControl w:val="0"/>
      <w:jc w:val="center"/>
    </w:pPr>
    <w:rPr>
      <w:rFonts w:ascii="Calibri" w:hAnsi="Calibri" w:eastAsia="宋体" w:cs="Times New Roman"/>
      <w:color w:val="000000"/>
      <w:kern w:val="2"/>
      <w:sz w:val="21"/>
      <w:szCs w:val="21"/>
      <w:lang w:val="en-GB" w:eastAsia="zh-CN" w:bidi="ar-SA"/>
    </w:rPr>
  </w:style>
  <w:style w:type="paragraph" w:customStyle="1" w:styleId="77">
    <w:name w:val="Other|1"/>
    <w:basedOn w:val="1"/>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paragraph" w:customStyle="1" w:styleId="78">
    <w:name w:val="Body text|1"/>
    <w:basedOn w:val="1"/>
    <w:qFormat/>
    <w:uiPriority w:val="0"/>
    <w:pPr>
      <w:widowControl w:val="0"/>
      <w:shd w:val="clear" w:color="auto" w:fill="auto"/>
      <w:spacing w:line="377"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35</Pages>
  <Words>12111</Words>
  <Characters>14398</Characters>
  <Lines>0</Lines>
  <Paragraphs>0</Paragraphs>
  <TotalTime>177</TotalTime>
  <ScaleCrop>false</ScaleCrop>
  <LinksUpToDate>false</LinksUpToDate>
  <CharactersWithSpaces>14511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2018-05-31T02:32:00Z</dcterms:created>
  <dc:creator>花里胡哨的</dc:creator>
  <cp:lastModifiedBy>当幸福来敲门</cp:lastModifiedBy>
  <dcterms:modified xsi:type="dcterms:W3CDTF">2022-12-29T08:26:13Z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2E583A2E4A1246FE95EA1847EC65C1EC</vt:lpwstr>
  </property>
</Properties>
</file>