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outlineLvl w:val="9"/>
        <w:rPr>
          <w:rFonts w:hint="default" w:ascii="Times New Roman" w:hAnsi="Times New Roman" w:cs="Times New Roman"/>
          <w:b/>
          <w:bCs/>
          <w:color w:val="auto"/>
          <w:sz w:val="40"/>
          <w:szCs w:val="40"/>
          <w:highlight w:val="red"/>
          <w:lang w:val="en-US" w:eastAsia="zh-CN"/>
        </w:rPr>
      </w:pPr>
    </w:p>
    <w:p>
      <w:pPr>
        <w:pStyle w:val="8"/>
        <w:rPr>
          <w:rFonts w:hint="default"/>
          <w:highlight w:val="red"/>
          <w:lang w:val="en-US" w:eastAsia="zh-CN"/>
        </w:rPr>
      </w:pP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outlineLvl w:val="9"/>
        <w:rPr>
          <w:rFonts w:hint="default" w:ascii="Times New Roman" w:hAnsi="Times New Roman" w:cs="Times New Roman"/>
          <w:b/>
          <w:bCs/>
          <w:color w:val="auto"/>
          <w:sz w:val="44"/>
          <w:szCs w:val="44"/>
          <w:highlight w:val="none"/>
          <w:lang w:val="en-US" w:eastAsia="zh-CN"/>
        </w:rPr>
      </w:pPr>
      <w:r>
        <w:rPr>
          <w:rFonts w:hint="default" w:ascii="Times New Roman" w:hAnsi="Times New Roman" w:cs="Times New Roman"/>
          <w:b/>
          <w:bCs/>
          <w:color w:val="auto"/>
          <w:sz w:val="44"/>
          <w:szCs w:val="44"/>
          <w:highlight w:val="none"/>
          <w:lang w:val="en-US" w:eastAsia="zh-CN"/>
        </w:rPr>
        <w:t>申能安徽平山电厂二期工程项目</w:t>
      </w:r>
    </w:p>
    <w:p>
      <w:pPr>
        <w:keepNext w:val="0"/>
        <w:keepLines w:val="0"/>
        <w:pageBreakBefore w:val="0"/>
        <w:widowControl w:val="0"/>
        <w:kinsoku/>
        <w:wordWrap/>
        <w:overflowPunct/>
        <w:topLinePunct w:val="0"/>
        <w:autoSpaceDE/>
        <w:autoSpaceDN/>
        <w:bidi w:val="0"/>
        <w:adjustRightInd/>
        <w:snapToGrid w:val="0"/>
        <w:spacing w:line="360" w:lineRule="auto"/>
        <w:ind w:firstLine="0" w:firstLineChars="0"/>
        <w:jc w:val="center"/>
        <w:textAlignment w:val="auto"/>
        <w:outlineLvl w:val="9"/>
        <w:rPr>
          <w:rFonts w:hint="default" w:ascii="Times New Roman" w:hAnsi="Times New Roman" w:eastAsia="宋体" w:cs="Times New Roman"/>
          <w:smallCaps w:val="0"/>
          <w:color w:val="auto"/>
          <w:sz w:val="40"/>
          <w:szCs w:val="40"/>
          <w:highlight w:val="none"/>
          <w:lang w:eastAsia="zh-CN"/>
        </w:rPr>
      </w:pPr>
      <w:r>
        <w:rPr>
          <w:rFonts w:hint="default" w:ascii="Times New Roman" w:hAnsi="Times New Roman" w:eastAsia="宋体" w:cs="Times New Roman"/>
          <w:b/>
          <w:bCs/>
          <w:smallCaps w:val="0"/>
          <w:color w:val="auto"/>
          <w:sz w:val="44"/>
          <w:szCs w:val="44"/>
          <w:highlight w:val="none"/>
          <w:lang w:eastAsia="zh-CN"/>
        </w:rPr>
        <w:t>竣工环境保护</w:t>
      </w:r>
      <w:r>
        <w:rPr>
          <w:rFonts w:hint="default" w:ascii="Times New Roman" w:hAnsi="Times New Roman" w:eastAsia="宋体" w:cs="Times New Roman"/>
          <w:b/>
          <w:bCs/>
          <w:smallCaps w:val="0"/>
          <w:color w:val="auto"/>
          <w:sz w:val="44"/>
          <w:szCs w:val="44"/>
          <w:highlight w:val="none"/>
        </w:rPr>
        <w:t>验收报告</w:t>
      </w:r>
    </w:p>
    <w:p>
      <w:pPr>
        <w:pStyle w:val="8"/>
        <w:spacing w:line="360" w:lineRule="auto"/>
        <w:rPr>
          <w:rFonts w:hint="default" w:ascii="Times New Roman" w:hAnsi="Times New Roman" w:eastAsia="宋体" w:cs="Times New Roman"/>
          <w:smallCaps w:val="0"/>
          <w:color w:val="auto"/>
          <w:sz w:val="30"/>
          <w:szCs w:val="48"/>
          <w:highlight w:val="none"/>
        </w:rPr>
      </w:pPr>
    </w:p>
    <w:p>
      <w:pPr>
        <w:pStyle w:val="8"/>
        <w:spacing w:line="360" w:lineRule="auto"/>
        <w:rPr>
          <w:rFonts w:hint="default" w:ascii="Times New Roman" w:hAnsi="Times New Roman" w:eastAsia="宋体" w:cs="Times New Roman"/>
          <w:smallCaps w:val="0"/>
          <w:color w:val="auto"/>
          <w:sz w:val="30"/>
          <w:szCs w:val="48"/>
          <w:highlight w:val="none"/>
        </w:rPr>
      </w:pPr>
    </w:p>
    <w:p>
      <w:pPr>
        <w:pStyle w:val="8"/>
        <w:spacing w:line="360" w:lineRule="auto"/>
        <w:rPr>
          <w:rFonts w:hint="default" w:ascii="Times New Roman" w:hAnsi="Times New Roman" w:eastAsia="宋体" w:cs="Times New Roman"/>
          <w:smallCaps w:val="0"/>
          <w:color w:val="auto"/>
          <w:sz w:val="30"/>
          <w:szCs w:val="48"/>
          <w:highlight w:val="none"/>
        </w:rPr>
      </w:pPr>
    </w:p>
    <w:p>
      <w:pPr>
        <w:pStyle w:val="8"/>
        <w:spacing w:line="360" w:lineRule="auto"/>
        <w:rPr>
          <w:rFonts w:hint="default" w:ascii="Times New Roman" w:hAnsi="Times New Roman" w:eastAsia="宋体" w:cs="Times New Roman"/>
          <w:smallCaps w:val="0"/>
          <w:color w:val="auto"/>
          <w:sz w:val="30"/>
          <w:szCs w:val="48"/>
          <w:highlight w:val="none"/>
        </w:rPr>
      </w:pPr>
    </w:p>
    <w:p>
      <w:pPr>
        <w:pStyle w:val="8"/>
        <w:spacing w:line="360" w:lineRule="auto"/>
        <w:rPr>
          <w:rFonts w:hint="default" w:ascii="Times New Roman" w:hAnsi="Times New Roman" w:eastAsia="宋体" w:cs="Times New Roman"/>
          <w:smallCaps w:val="0"/>
          <w:color w:val="auto"/>
          <w:sz w:val="30"/>
          <w:szCs w:val="48"/>
          <w:highlight w:val="none"/>
        </w:rPr>
      </w:pPr>
    </w:p>
    <w:p>
      <w:pPr>
        <w:pStyle w:val="8"/>
        <w:spacing w:line="360" w:lineRule="auto"/>
        <w:rPr>
          <w:rFonts w:hint="default" w:ascii="Times New Roman" w:hAnsi="Times New Roman" w:eastAsia="宋体" w:cs="Times New Roman"/>
          <w:smallCaps w:val="0"/>
          <w:color w:val="auto"/>
          <w:sz w:val="30"/>
          <w:szCs w:val="48"/>
          <w:highlight w:val="none"/>
        </w:rPr>
      </w:pPr>
    </w:p>
    <w:p>
      <w:pPr>
        <w:spacing w:line="360" w:lineRule="auto"/>
        <w:jc w:val="both"/>
        <w:rPr>
          <w:rFonts w:hint="default" w:ascii="Times New Roman" w:hAnsi="Times New Roman" w:eastAsia="宋体" w:cs="Times New Roman"/>
          <w:smallCaps w:val="0"/>
          <w:color w:val="auto"/>
          <w:sz w:val="30"/>
          <w:szCs w:val="30"/>
          <w:highlight w:val="none"/>
        </w:rPr>
      </w:pPr>
    </w:p>
    <w:p>
      <w:pPr>
        <w:spacing w:line="360" w:lineRule="auto"/>
        <w:jc w:val="center"/>
        <w:rPr>
          <w:rFonts w:hint="default" w:ascii="Times New Roman" w:hAnsi="Times New Roman" w:eastAsia="宋体" w:cs="Times New Roman"/>
          <w:smallCaps w:val="0"/>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360" w:lineRule="auto"/>
        <w:ind w:left="0" w:leftChars="0" w:firstLine="1280" w:firstLineChars="400"/>
        <w:jc w:val="both"/>
        <w:textAlignment w:val="auto"/>
        <w:rPr>
          <w:rFonts w:hint="default" w:ascii="Times New Roman" w:hAnsi="Times New Roman" w:eastAsia="宋体" w:cs="Times New Roman"/>
          <w:smallCaps w:val="0"/>
          <w:color w:val="auto"/>
          <w:sz w:val="32"/>
          <w:szCs w:val="32"/>
          <w:highlight w:val="none"/>
        </w:rPr>
      </w:pPr>
      <w:r>
        <w:rPr>
          <w:rFonts w:hint="default" w:ascii="Times New Roman" w:hAnsi="Times New Roman" w:eastAsia="宋体" w:cs="Times New Roman"/>
          <w:smallCaps w:val="0"/>
          <w:color w:val="auto"/>
          <w:sz w:val="32"/>
          <w:szCs w:val="32"/>
          <w:highlight w:val="none"/>
        </w:rPr>
        <w:t>建设单位：</w:t>
      </w:r>
      <w:r>
        <w:rPr>
          <w:rFonts w:hint="default" w:ascii="Times New Roman" w:hAnsi="Times New Roman" w:eastAsia="宋体" w:cs="Times New Roman"/>
          <w:smallCaps w:val="0"/>
          <w:color w:val="auto"/>
          <w:sz w:val="32"/>
          <w:szCs w:val="32"/>
          <w:highlight w:val="none"/>
          <w:lang w:val="en-US" w:eastAsia="zh-CN"/>
        </w:rPr>
        <w:t>淮北申能发电有限公司</w:t>
      </w:r>
    </w:p>
    <w:p>
      <w:pPr>
        <w:keepNext w:val="0"/>
        <w:keepLines w:val="0"/>
        <w:pageBreakBefore w:val="0"/>
        <w:widowControl w:val="0"/>
        <w:kinsoku/>
        <w:wordWrap/>
        <w:overflowPunct/>
        <w:topLinePunct w:val="0"/>
        <w:autoSpaceDE/>
        <w:autoSpaceDN/>
        <w:bidi w:val="0"/>
        <w:adjustRightInd/>
        <w:snapToGrid/>
        <w:spacing w:line="360" w:lineRule="auto"/>
        <w:ind w:left="0" w:leftChars="0" w:firstLine="1280" w:firstLineChars="400"/>
        <w:jc w:val="both"/>
        <w:textAlignment w:val="auto"/>
        <w:rPr>
          <w:rFonts w:hint="default" w:ascii="Times New Roman" w:hAnsi="Times New Roman" w:eastAsia="宋体" w:cs="Times New Roman"/>
          <w:color w:val="auto"/>
          <w:sz w:val="32"/>
          <w:szCs w:val="32"/>
          <w:highlight w:val="none"/>
          <w:lang w:val="en-US" w:eastAsia="zh-CN"/>
        </w:rPr>
      </w:pPr>
      <w:r>
        <w:rPr>
          <w:rFonts w:hint="default" w:ascii="Times New Roman" w:hAnsi="Times New Roman" w:eastAsia="宋体" w:cs="Times New Roman"/>
          <w:smallCaps w:val="0"/>
          <w:color w:val="auto"/>
          <w:sz w:val="32"/>
          <w:szCs w:val="32"/>
          <w:highlight w:val="none"/>
          <w:lang w:val="en-US" w:eastAsia="zh-CN"/>
        </w:rPr>
        <w:t>编制单位：</w:t>
      </w:r>
      <w:r>
        <w:rPr>
          <w:rFonts w:hint="eastAsia" w:cs="Times New Roman"/>
          <w:color w:val="auto"/>
          <w:sz w:val="32"/>
          <w:szCs w:val="32"/>
          <w:highlight w:val="none"/>
          <w:lang w:val="en-US" w:eastAsia="zh-CN"/>
        </w:rPr>
        <w:t>安徽工和环境监测有限责任公司</w:t>
      </w: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default" w:ascii="Times New Roman" w:hAnsi="Times New Roman" w:eastAsia="宋体" w:cs="Times New Roman"/>
          <w:bCs/>
          <w:smallCaps w:val="0"/>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outlineLvl w:val="9"/>
        <w:rPr>
          <w:rFonts w:hint="default" w:ascii="Times New Roman" w:hAnsi="Times New Roman" w:eastAsia="宋体" w:cs="Times New Roman"/>
          <w:bCs/>
          <w:smallCaps w:val="0"/>
          <w:color w:val="auto"/>
          <w:sz w:val="32"/>
          <w:szCs w:val="32"/>
          <w:highlight w:val="none"/>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0" w:firstLineChars="0"/>
        <w:jc w:val="center"/>
        <w:textAlignment w:val="auto"/>
        <w:outlineLvl w:val="9"/>
        <w:rPr>
          <w:rFonts w:hint="default"/>
          <w:highlight w:val="red"/>
        </w:rPr>
        <w:sectPr>
          <w:pgSz w:w="11906" w:h="16838"/>
          <w:pgMar w:top="1440" w:right="1800" w:bottom="1440" w:left="1800" w:header="851" w:footer="992" w:gutter="0"/>
          <w:pgBorders>
            <w:top w:val="none" w:sz="0" w:space="0"/>
            <w:left w:val="none" w:sz="0" w:space="0"/>
            <w:bottom w:val="none" w:sz="0" w:space="0"/>
            <w:right w:val="none" w:sz="0" w:space="0"/>
          </w:pgBorders>
          <w:cols w:space="720" w:num="1"/>
          <w:docGrid w:type="lines" w:linePitch="312" w:charSpace="0"/>
        </w:sectPr>
      </w:pPr>
      <w:r>
        <w:rPr>
          <w:rFonts w:hint="default" w:ascii="Times New Roman" w:hAnsi="Times New Roman" w:eastAsia="宋体" w:cs="Times New Roman"/>
          <w:bCs/>
          <w:smallCaps w:val="0"/>
          <w:color w:val="auto"/>
          <w:sz w:val="32"/>
          <w:szCs w:val="32"/>
          <w:highlight w:val="none"/>
        </w:rPr>
        <w:t>编制日期：二</w:t>
      </w:r>
      <w:r>
        <w:rPr>
          <w:rFonts w:hint="eastAsia" w:cs="Times New Roman"/>
          <w:bCs/>
          <w:smallCaps w:val="0"/>
          <w:color w:val="auto"/>
          <w:sz w:val="32"/>
          <w:szCs w:val="32"/>
          <w:highlight w:val="none"/>
          <w:lang w:val="en-US" w:eastAsia="zh-CN"/>
        </w:rPr>
        <w:t>O二二</w:t>
      </w:r>
      <w:r>
        <w:rPr>
          <w:rFonts w:hint="default" w:ascii="Times New Roman" w:hAnsi="Times New Roman" w:eastAsia="宋体" w:cs="Times New Roman"/>
          <w:bCs/>
          <w:smallCaps w:val="0"/>
          <w:color w:val="auto"/>
          <w:sz w:val="32"/>
          <w:szCs w:val="32"/>
          <w:highlight w:val="none"/>
        </w:rPr>
        <w:t>年</w:t>
      </w:r>
      <w:r>
        <w:rPr>
          <w:rFonts w:hint="eastAsia" w:cs="Times New Roman"/>
          <w:bCs/>
          <w:smallCaps w:val="0"/>
          <w:color w:val="auto"/>
          <w:sz w:val="32"/>
          <w:szCs w:val="32"/>
          <w:highlight w:val="none"/>
          <w:lang w:val="en-US" w:eastAsia="zh-CN"/>
        </w:rPr>
        <w:t>十一</w:t>
      </w:r>
      <w:r>
        <w:rPr>
          <w:rFonts w:hint="default" w:ascii="Times New Roman" w:hAnsi="Times New Roman" w:eastAsia="宋体" w:cs="Times New Roman"/>
          <w:bCs/>
          <w:smallCaps w:val="0"/>
          <w:color w:val="auto"/>
          <w:sz w:val="32"/>
          <w:szCs w:val="32"/>
          <w:highlight w:val="none"/>
        </w:rPr>
        <w:t>月</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建设单位</w:t>
      </w:r>
      <w:r>
        <w:rPr>
          <w:rFonts w:hint="eastAsia" w:ascii="Times New Roman" w:hAnsi="Times New Roman" w:eastAsia="宋体" w:cs="Times New Roman"/>
          <w:color w:val="auto"/>
          <w:sz w:val="30"/>
          <w:szCs w:val="30"/>
          <w:highlight w:val="none"/>
          <w:lang w:val="en-US" w:eastAsia="zh-CN"/>
        </w:rPr>
        <w:t>法人代表</w:t>
      </w:r>
      <w:r>
        <w:rPr>
          <w:rFonts w:hint="default" w:ascii="Times New Roman" w:hAnsi="Times New Roman" w:eastAsia="宋体" w:cs="Times New Roman"/>
          <w:color w:val="auto"/>
          <w:sz w:val="30"/>
          <w:szCs w:val="30"/>
          <w:highlight w:val="none"/>
        </w:rPr>
        <w:t>：张岭</w:t>
      </w:r>
    </w:p>
    <w:p>
      <w:pPr>
        <w:widowControl/>
        <w:spacing w:line="360" w:lineRule="auto"/>
        <w:ind w:left="0" w:leftChars="0" w:firstLine="0" w:firstLineChars="0"/>
        <w:jc w:val="left"/>
        <w:rPr>
          <w:rFonts w:hint="eastAsia" w:ascii="Times New Roman" w:hAnsi="Times New Roman" w:eastAsia="宋体" w:cs="Times New Roman"/>
          <w:color w:val="auto"/>
          <w:sz w:val="30"/>
          <w:szCs w:val="30"/>
          <w:highlight w:val="none"/>
          <w:lang w:val="en-US" w:eastAsia="zh-CN"/>
        </w:rPr>
      </w:pPr>
      <w:r>
        <w:rPr>
          <w:rFonts w:hint="eastAsia" w:ascii="Times New Roman" w:hAnsi="Times New Roman" w:eastAsia="宋体" w:cs="Times New Roman"/>
          <w:color w:val="auto"/>
          <w:sz w:val="30"/>
          <w:szCs w:val="30"/>
          <w:highlight w:val="none"/>
          <w:lang w:val="en-US" w:eastAsia="zh-CN"/>
        </w:rPr>
        <w:t>编制</w:t>
      </w:r>
      <w:r>
        <w:rPr>
          <w:rFonts w:hint="default" w:ascii="Times New Roman" w:hAnsi="Times New Roman" w:eastAsia="宋体" w:cs="Times New Roman"/>
          <w:color w:val="auto"/>
          <w:sz w:val="30"/>
          <w:szCs w:val="30"/>
          <w:highlight w:val="none"/>
        </w:rPr>
        <w:t>单位</w:t>
      </w:r>
      <w:r>
        <w:rPr>
          <w:rFonts w:hint="eastAsia" w:ascii="Times New Roman" w:hAnsi="Times New Roman" w:eastAsia="宋体" w:cs="Times New Roman"/>
          <w:color w:val="auto"/>
          <w:sz w:val="30"/>
          <w:szCs w:val="30"/>
          <w:highlight w:val="none"/>
          <w:lang w:val="en-US" w:eastAsia="zh-CN"/>
        </w:rPr>
        <w:t>法人代表</w:t>
      </w:r>
      <w:r>
        <w:rPr>
          <w:rFonts w:hint="default" w:ascii="Times New Roman" w:hAnsi="Times New Roman" w:eastAsia="宋体" w:cs="Times New Roman"/>
          <w:color w:val="auto"/>
          <w:sz w:val="30"/>
          <w:szCs w:val="30"/>
          <w:highlight w:val="none"/>
        </w:rPr>
        <w:t>：</w:t>
      </w:r>
      <w:r>
        <w:rPr>
          <w:rFonts w:hint="eastAsia" w:cs="Times New Roman"/>
          <w:color w:val="auto"/>
          <w:sz w:val="30"/>
          <w:szCs w:val="30"/>
          <w:highlight w:val="none"/>
          <w:lang w:val="en-US" w:eastAsia="zh-CN"/>
        </w:rPr>
        <w:t>王柯</w:t>
      </w:r>
    </w:p>
    <w:p>
      <w:pPr>
        <w:widowControl/>
        <w:spacing w:line="360" w:lineRule="auto"/>
        <w:ind w:left="0" w:leftChars="0" w:firstLine="0" w:firstLineChars="0"/>
        <w:jc w:val="left"/>
        <w:rPr>
          <w:rFonts w:hint="eastAsia" w:ascii="Times New Roman" w:hAnsi="Times New Roman" w:eastAsia="宋体" w:cs="Times New Roman"/>
          <w:color w:val="auto"/>
          <w:sz w:val="30"/>
          <w:szCs w:val="30"/>
          <w:highlight w:val="none"/>
          <w:lang w:val="en-US" w:eastAsia="zh-CN"/>
        </w:rPr>
      </w:pPr>
    </w:p>
    <w:p>
      <w:pPr>
        <w:widowControl/>
        <w:spacing w:line="360" w:lineRule="auto"/>
        <w:jc w:val="left"/>
        <w:rPr>
          <w:rFonts w:hint="default" w:ascii="Times New Roman" w:hAnsi="Times New Roman" w:eastAsia="宋体" w:cs="Times New Roman"/>
          <w:color w:val="FF0000"/>
          <w:sz w:val="30"/>
          <w:szCs w:val="30"/>
          <w:highlight w:val="none"/>
        </w:rPr>
      </w:pPr>
    </w:p>
    <w:p>
      <w:pPr>
        <w:pStyle w:val="8"/>
        <w:rPr>
          <w:rFonts w:hint="default"/>
          <w:highlight w:val="none"/>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default" w:ascii="Times New Roman" w:hAnsi="Times New Roman" w:eastAsia="宋体" w:cs="Times New Roman"/>
          <w:color w:val="auto"/>
          <w:sz w:val="30"/>
          <w:szCs w:val="30"/>
          <w:highlight w:val="none"/>
        </w:rPr>
        <w:t>建设单位</w:t>
      </w:r>
      <w:r>
        <w:rPr>
          <w:rFonts w:hint="default"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lang w:val="en-US" w:eastAsia="zh-CN"/>
        </w:rPr>
        <w:t>淮北申能发电有限公司</w:t>
      </w:r>
      <w:r>
        <w:rPr>
          <w:rFonts w:hint="default" w:ascii="Times New Roman" w:hAnsi="Times New Roman" w:eastAsia="宋体" w:cs="Times New Roman"/>
          <w:color w:val="auto"/>
          <w:sz w:val="30"/>
          <w:szCs w:val="30"/>
          <w:highlight w:val="none"/>
        </w:rPr>
        <w:t>（盖章）</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电话</w:t>
      </w:r>
      <w:r>
        <w:rPr>
          <w:rFonts w:hint="default" w:ascii="Times New Roman" w:hAnsi="Times New Roman" w:eastAsia="宋体" w:cs="Times New Roman"/>
          <w:color w:val="auto"/>
          <w:sz w:val="30"/>
          <w:szCs w:val="30"/>
          <w:highlight w:val="none"/>
          <w:lang w:eastAsia="zh-CN"/>
        </w:rPr>
        <w:t>：</w:t>
      </w:r>
      <w:r>
        <w:rPr>
          <w:rFonts w:hint="eastAsia" w:cs="Times New Roman"/>
          <w:color w:val="auto"/>
          <w:sz w:val="30"/>
          <w:szCs w:val="30"/>
          <w:highlight w:val="none"/>
          <w:lang w:val="en-US" w:eastAsia="zh-CN"/>
        </w:rPr>
        <w:t>18105618061</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邮编</w:t>
      </w:r>
      <w:r>
        <w:rPr>
          <w:rFonts w:hint="default" w:ascii="Times New Roman" w:hAnsi="Times New Roman" w:eastAsia="宋体" w:cs="Times New Roman"/>
          <w:color w:val="auto"/>
          <w:sz w:val="30"/>
          <w:szCs w:val="30"/>
          <w:highlight w:val="none"/>
          <w:lang w:eastAsia="zh-CN"/>
        </w:rPr>
        <w:t>：</w:t>
      </w:r>
      <w:r>
        <w:rPr>
          <w:rFonts w:hint="eastAsia" w:cs="Times New Roman"/>
          <w:color w:val="auto"/>
          <w:sz w:val="30"/>
          <w:szCs w:val="30"/>
          <w:highlight w:val="none"/>
          <w:lang w:val="en-US" w:eastAsia="zh-CN"/>
        </w:rPr>
        <w:t>235000</w:t>
      </w:r>
    </w:p>
    <w:p>
      <w:pPr>
        <w:ind w:left="0" w:leftChars="0" w:firstLine="0" w:firstLineChars="0"/>
        <w:rPr>
          <w:rFonts w:hint="default" w:ascii="Times New Roman" w:hAnsi="Times New Roman" w:eastAsia="宋体" w:cs="Times New Roman"/>
          <w:color w:val="auto"/>
          <w:sz w:val="30"/>
          <w:szCs w:val="30"/>
          <w:highlight w:val="none"/>
          <w:lang w:val="en-US" w:eastAsia="zh-CN"/>
        </w:rPr>
      </w:pPr>
      <w:r>
        <w:rPr>
          <w:rFonts w:hint="default" w:ascii="Times New Roman" w:hAnsi="Times New Roman" w:eastAsia="宋体" w:cs="Times New Roman"/>
          <w:color w:val="auto"/>
          <w:sz w:val="30"/>
          <w:szCs w:val="30"/>
          <w:highlight w:val="none"/>
        </w:rPr>
        <w:t>地址</w:t>
      </w:r>
      <w:r>
        <w:rPr>
          <w:rFonts w:hint="default"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lang w:val="en-US" w:eastAsia="zh-CN"/>
        </w:rPr>
        <w:t>安徽省淮北市烈山区古饶镇的平山村和况楼村</w:t>
      </w:r>
    </w:p>
    <w:p>
      <w:pPr>
        <w:pStyle w:val="8"/>
        <w:rPr>
          <w:rFonts w:hint="default" w:ascii="Times New Roman" w:hAnsi="Times New Roman" w:eastAsia="宋体" w:cs="Times New Roman"/>
          <w:color w:val="auto"/>
          <w:sz w:val="30"/>
          <w:szCs w:val="30"/>
          <w:highlight w:val="none"/>
          <w:lang w:val="en-US" w:eastAsia="zh-CN"/>
        </w:rPr>
      </w:pPr>
    </w:p>
    <w:p>
      <w:pPr>
        <w:pStyle w:val="8"/>
        <w:rPr>
          <w:rFonts w:hint="default" w:ascii="Times New Roman" w:hAnsi="Times New Roman" w:eastAsia="宋体" w:cs="Times New Roman"/>
          <w:color w:val="auto"/>
          <w:sz w:val="30"/>
          <w:szCs w:val="30"/>
          <w:highlight w:val="none"/>
          <w:lang w:val="en-US" w:eastAsia="zh-CN"/>
        </w:rPr>
      </w:pP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cs="Times New Roman"/>
          <w:color w:val="auto"/>
          <w:sz w:val="30"/>
          <w:szCs w:val="30"/>
          <w:highlight w:val="none"/>
          <w:lang w:val="en-US" w:eastAsia="zh-CN"/>
        </w:rPr>
        <w:t>编制</w:t>
      </w:r>
      <w:r>
        <w:rPr>
          <w:rFonts w:hint="eastAsia" w:ascii="Times New Roman" w:hAnsi="Times New Roman" w:eastAsia="宋体" w:cs="Times New Roman"/>
          <w:color w:val="auto"/>
          <w:sz w:val="30"/>
          <w:szCs w:val="30"/>
          <w:highlight w:val="none"/>
        </w:rPr>
        <w:t>单位</w:t>
      </w:r>
      <w:r>
        <w:rPr>
          <w:rFonts w:hint="eastAsia"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rPr>
        <w:t>安徽工和环境监测有限责任公司（盖章）</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ascii="Times New Roman" w:hAnsi="Times New Roman" w:eastAsia="宋体" w:cs="Times New Roman"/>
          <w:color w:val="auto"/>
          <w:sz w:val="30"/>
          <w:szCs w:val="30"/>
          <w:highlight w:val="none"/>
        </w:rPr>
        <w:t>电话</w:t>
      </w:r>
      <w:r>
        <w:rPr>
          <w:rFonts w:hint="eastAsia"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rPr>
        <w:t>0551-67891265</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none"/>
        </w:rPr>
      </w:pPr>
      <w:r>
        <w:rPr>
          <w:rFonts w:hint="eastAsia" w:ascii="Times New Roman" w:hAnsi="Times New Roman" w:eastAsia="宋体" w:cs="Times New Roman"/>
          <w:color w:val="auto"/>
          <w:sz w:val="30"/>
          <w:szCs w:val="30"/>
          <w:highlight w:val="none"/>
        </w:rPr>
        <w:t>邮编</w:t>
      </w:r>
      <w:r>
        <w:rPr>
          <w:rFonts w:hint="eastAsia"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rPr>
        <w:t>230000</w:t>
      </w:r>
    </w:p>
    <w:p>
      <w:pPr>
        <w:widowControl/>
        <w:spacing w:line="360" w:lineRule="auto"/>
        <w:ind w:left="0" w:leftChars="0" w:firstLine="0" w:firstLineChars="0"/>
        <w:jc w:val="left"/>
        <w:rPr>
          <w:rFonts w:hint="default" w:ascii="Times New Roman" w:hAnsi="Times New Roman" w:eastAsia="宋体" w:cs="Times New Roman"/>
          <w:color w:val="auto"/>
          <w:sz w:val="30"/>
          <w:szCs w:val="30"/>
          <w:highlight w:val="red"/>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hint="eastAsia" w:ascii="Times New Roman" w:hAnsi="Times New Roman" w:eastAsia="宋体" w:cs="Times New Roman"/>
          <w:color w:val="auto"/>
          <w:sz w:val="30"/>
          <w:szCs w:val="30"/>
          <w:highlight w:val="none"/>
        </w:rPr>
        <w:t>地址</w:t>
      </w:r>
      <w:r>
        <w:rPr>
          <w:rFonts w:hint="eastAsia" w:ascii="Times New Roman" w:hAnsi="Times New Roman" w:eastAsia="宋体" w:cs="Times New Roman"/>
          <w:color w:val="auto"/>
          <w:sz w:val="30"/>
          <w:szCs w:val="30"/>
          <w:highlight w:val="none"/>
          <w:lang w:eastAsia="zh-CN"/>
        </w:rPr>
        <w:t>：</w:t>
      </w:r>
      <w:r>
        <w:rPr>
          <w:rFonts w:hint="default" w:ascii="Times New Roman" w:hAnsi="Times New Roman" w:eastAsia="宋体" w:cs="Times New Roman"/>
          <w:color w:val="auto"/>
          <w:sz w:val="30"/>
          <w:szCs w:val="30"/>
          <w:highlight w:val="none"/>
        </w:rPr>
        <w:t>合肥市高新区香樟大道168号柏堰科技实业园D19栋</w:t>
      </w:r>
    </w:p>
    <w:sdt>
      <w:sdtPr>
        <w:rPr>
          <w:rFonts w:ascii="宋体" w:hAnsi="宋体" w:eastAsia="宋体" w:cs="Times New Roman"/>
          <w:kern w:val="2"/>
          <w:sz w:val="21"/>
          <w:szCs w:val="24"/>
          <w:highlight w:val="red"/>
          <w:lang w:val="en-US" w:eastAsia="zh-CN" w:bidi="ar-SA"/>
        </w:rPr>
        <w:id w:val="147479946"/>
        <w15:color w:val="DBDBDB"/>
        <w:docPartObj>
          <w:docPartGallery w:val="Table of Contents"/>
          <w:docPartUnique/>
        </w:docPartObj>
      </w:sdtPr>
      <w:sdtEndPr>
        <w:rPr>
          <w:rFonts w:hint="eastAsia" w:ascii="Times New Roman" w:hAnsi="Times New Roman" w:eastAsia="宋体" w:cs="Times New Roman"/>
          <w:b/>
          <w:kern w:val="2"/>
          <w:sz w:val="24"/>
          <w:szCs w:val="24"/>
          <w:highlight w:val="red"/>
          <w:lang w:val="en-US" w:eastAsia="zh-CN" w:bidi="ar-SA"/>
        </w:rPr>
      </w:sdtEndPr>
      <w:sdtContent>
        <w:p>
          <w:pPr>
            <w:spacing w:before="0" w:beforeLines="0" w:after="0" w:afterLines="0" w:line="240" w:lineRule="auto"/>
            <w:ind w:left="0" w:leftChars="0" w:right="0" w:rightChars="0" w:firstLine="0" w:firstLineChars="0"/>
            <w:jc w:val="center"/>
            <w:rPr>
              <w:highlight w:val="none"/>
            </w:rPr>
          </w:pPr>
          <w:r>
            <w:rPr>
              <w:rFonts w:ascii="宋体" w:hAnsi="宋体" w:eastAsia="宋体"/>
              <w:sz w:val="21"/>
              <w:highlight w:val="none"/>
            </w:rPr>
            <w:t>目录</w:t>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TOC \o "1-2" \h \u </w:instrText>
          </w:r>
          <w:r>
            <w:rPr>
              <w:rFonts w:hint="eastAsia"/>
              <w:highlight w:val="none"/>
              <w:lang w:val="en-US" w:eastAsia="zh-CN"/>
            </w:rPr>
            <w:fldChar w:fldCharType="separate"/>
          </w:r>
          <w:r>
            <w:rPr>
              <w:rFonts w:hint="eastAsia"/>
              <w:highlight w:val="none"/>
              <w:lang w:val="en-US" w:eastAsia="zh-CN"/>
            </w:rPr>
            <w:fldChar w:fldCharType="begin"/>
          </w:r>
          <w:r>
            <w:rPr>
              <w:rFonts w:hint="eastAsia"/>
              <w:highlight w:val="none"/>
              <w:lang w:val="en-US" w:eastAsia="zh-CN"/>
            </w:rPr>
            <w:instrText xml:space="preserve"> HYPERLINK \l _Toc23270 </w:instrText>
          </w:r>
          <w:r>
            <w:rPr>
              <w:rFonts w:hint="eastAsia"/>
              <w:highlight w:val="none"/>
              <w:lang w:val="en-US" w:eastAsia="zh-CN"/>
            </w:rPr>
            <w:fldChar w:fldCharType="separate"/>
          </w:r>
          <w:r>
            <w:rPr>
              <w:rFonts w:hint="default" w:ascii="Times New Roman" w:hAnsi="Times New Roman" w:cs="Times New Roman"/>
              <w:szCs w:val="36"/>
              <w:highlight w:val="none"/>
              <w:lang w:eastAsia="zh-CN"/>
            </w:rPr>
            <w:t>一、项目概况</w:t>
          </w:r>
          <w:r>
            <w:tab/>
          </w:r>
          <w:r>
            <w:fldChar w:fldCharType="begin"/>
          </w:r>
          <w:r>
            <w:instrText xml:space="preserve"> PAGEREF _Toc23270 \h </w:instrText>
          </w:r>
          <w:r>
            <w:fldChar w:fldCharType="separate"/>
          </w:r>
          <w:r>
            <w:t>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_Toc18331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1.1项目由来</w:t>
          </w:r>
          <w:r>
            <w:tab/>
          </w:r>
          <w:r>
            <w:fldChar w:fldCharType="begin"/>
          </w:r>
          <w:r>
            <w:instrText xml:space="preserve"> PAGEREF _Toc18331 \h </w:instrText>
          </w:r>
          <w:r>
            <w:fldChar w:fldCharType="separate"/>
          </w:r>
          <w:r>
            <w:t>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_Toc9050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1.2验收监测的目的</w:t>
          </w:r>
          <w:r>
            <w:tab/>
          </w:r>
          <w:r>
            <w:fldChar w:fldCharType="begin"/>
          </w:r>
          <w:r>
            <w:instrText xml:space="preserve"> PAGEREF _Toc9050 \h </w:instrText>
          </w:r>
          <w:r>
            <w:fldChar w:fldCharType="separate"/>
          </w:r>
          <w:r>
            <w:t>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_Toc17525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1.3监测工作范围及内容</w:t>
          </w:r>
          <w:r>
            <w:tab/>
          </w:r>
          <w:r>
            <w:fldChar w:fldCharType="begin"/>
          </w:r>
          <w:r>
            <w:instrText xml:space="preserve"> PAGEREF _Toc17525 \h </w:instrText>
          </w:r>
          <w:r>
            <w:fldChar w:fldCharType="separate"/>
          </w:r>
          <w:r>
            <w:t>3</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_Toc13904 </w:instrText>
          </w:r>
          <w:r>
            <w:rPr>
              <w:rFonts w:hint="eastAsia"/>
              <w:highlight w:val="none"/>
              <w:lang w:val="en-US" w:eastAsia="zh-CN"/>
            </w:rPr>
            <w:fldChar w:fldCharType="separate"/>
          </w:r>
          <w:r>
            <w:rPr>
              <w:rFonts w:hint="default" w:ascii="Times New Roman" w:hAnsi="Times New Roman" w:eastAsia="宋体" w:cs="Times New Roman"/>
              <w:szCs w:val="36"/>
              <w:highlight w:val="none"/>
              <w:lang w:eastAsia="zh-CN"/>
            </w:rPr>
            <w:t>二、验收监测依据</w:t>
          </w:r>
          <w:r>
            <w:tab/>
          </w:r>
          <w:r>
            <w:fldChar w:fldCharType="begin"/>
          </w:r>
          <w:r>
            <w:instrText xml:space="preserve"> PAGEREF _Toc13904 \h </w:instrText>
          </w:r>
          <w:r>
            <w:fldChar w:fldCharType="separate"/>
          </w:r>
          <w:r>
            <w:t>4</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_Toc19115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2.1</w:t>
          </w:r>
          <w:r>
            <w:rPr>
              <w:rFonts w:hint="eastAsia" w:ascii="Times New Roman" w:hAnsi="Times New Roman" w:eastAsia="宋体" w:cs="Times New Roman"/>
              <w:highlight w:val="none"/>
              <w:lang w:val="en-US" w:eastAsia="zh-CN"/>
            </w:rPr>
            <w:t>建设项目环境保护相关法律、法规和规章制度</w:t>
          </w:r>
          <w:r>
            <w:tab/>
          </w:r>
          <w:r>
            <w:fldChar w:fldCharType="begin"/>
          </w:r>
          <w:r>
            <w:instrText xml:space="preserve"> PAGEREF _Toc19115 \h </w:instrText>
          </w:r>
          <w:r>
            <w:fldChar w:fldCharType="separate"/>
          </w:r>
          <w:r>
            <w:t>4</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_Toc21379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2.2建设项目竣工环境保护验收技术规范</w:t>
          </w:r>
          <w:r>
            <w:tab/>
          </w:r>
          <w:r>
            <w:fldChar w:fldCharType="begin"/>
          </w:r>
          <w:r>
            <w:instrText xml:space="preserve"> PAGEREF _Toc21379 \h </w:instrText>
          </w:r>
          <w:r>
            <w:fldChar w:fldCharType="separate"/>
          </w:r>
          <w:r>
            <w:t>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_Toc7219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2.3建设项目</w:t>
          </w:r>
          <w:r>
            <w:rPr>
              <w:rFonts w:hint="eastAsia" w:ascii="Times New Roman" w:hAnsi="Times New Roman" w:eastAsia="宋体" w:cs="Times New Roman"/>
              <w:highlight w:val="none"/>
              <w:lang w:val="en-US" w:eastAsia="zh-CN"/>
            </w:rPr>
            <w:t>环境影响报告书及其审批部门审批决定</w:t>
          </w:r>
          <w:r>
            <w:tab/>
          </w:r>
          <w:r>
            <w:fldChar w:fldCharType="begin"/>
          </w:r>
          <w:r>
            <w:instrText xml:space="preserve"> PAGEREF _Toc7219 \h </w:instrText>
          </w:r>
          <w:r>
            <w:fldChar w:fldCharType="separate"/>
          </w:r>
          <w:r>
            <w:t>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_Toc14766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2.</w:t>
          </w:r>
          <w:r>
            <w:rPr>
              <w:rFonts w:hint="eastAsia" w:ascii="Times New Roman" w:hAnsi="Times New Roman" w:eastAsia="宋体" w:cs="Times New Roman"/>
              <w:highlight w:val="none"/>
              <w:lang w:val="en-US" w:eastAsia="zh-CN"/>
            </w:rPr>
            <w:t>4其他相关文件</w:t>
          </w:r>
          <w:r>
            <w:tab/>
          </w:r>
          <w:r>
            <w:fldChar w:fldCharType="begin"/>
          </w:r>
          <w:r>
            <w:instrText xml:space="preserve"> PAGEREF _Toc14766 \h </w:instrText>
          </w:r>
          <w:r>
            <w:fldChar w:fldCharType="separate"/>
          </w:r>
          <w:r>
            <w:t>5</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_Toc22279 </w:instrText>
          </w:r>
          <w:r>
            <w:rPr>
              <w:rFonts w:hint="eastAsia"/>
              <w:highlight w:val="none"/>
              <w:lang w:val="en-US" w:eastAsia="zh-CN"/>
            </w:rPr>
            <w:fldChar w:fldCharType="separate"/>
          </w:r>
          <w:r>
            <w:rPr>
              <w:rFonts w:hint="default" w:ascii="Times New Roman" w:hAnsi="Times New Roman" w:eastAsia="宋体" w:cs="Times New Roman"/>
              <w:szCs w:val="36"/>
              <w:highlight w:val="none"/>
              <w:lang w:eastAsia="zh-CN"/>
            </w:rPr>
            <w:t>三、项目</w:t>
          </w:r>
          <w:r>
            <w:rPr>
              <w:rFonts w:hint="eastAsia" w:cs="Times New Roman"/>
              <w:szCs w:val="36"/>
              <w:highlight w:val="none"/>
              <w:lang w:val="en-US" w:eastAsia="zh-CN"/>
            </w:rPr>
            <w:t>情况</w:t>
          </w:r>
          <w:r>
            <w:tab/>
          </w:r>
          <w:r>
            <w:fldChar w:fldCharType="begin"/>
          </w:r>
          <w:r>
            <w:instrText xml:space="preserve"> PAGEREF _Toc22279 \h </w:instrText>
          </w:r>
          <w:r>
            <w:fldChar w:fldCharType="separate"/>
          </w:r>
          <w:r>
            <w:t>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_Toc18507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3.1地理位置及平面布置</w:t>
          </w:r>
          <w:r>
            <w:tab/>
          </w:r>
          <w:r>
            <w:fldChar w:fldCharType="begin"/>
          </w:r>
          <w:r>
            <w:instrText xml:space="preserve"> PAGEREF _Toc18507 \h </w:instrText>
          </w:r>
          <w:r>
            <w:fldChar w:fldCharType="separate"/>
          </w:r>
          <w:r>
            <w:t>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_Toc22658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3.</w:t>
          </w:r>
          <w:r>
            <w:rPr>
              <w:rFonts w:hint="eastAsia"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eastAsia="zh-CN"/>
            </w:rPr>
            <w:t>建设内容</w:t>
          </w:r>
          <w:r>
            <w:tab/>
          </w:r>
          <w:r>
            <w:fldChar w:fldCharType="begin"/>
          </w:r>
          <w:r>
            <w:instrText xml:space="preserve"> PAGEREF _Toc22658 \h </w:instrText>
          </w:r>
          <w:r>
            <w:fldChar w:fldCharType="separate"/>
          </w:r>
          <w:r>
            <w:t>7</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_Toc31749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3.</w:t>
          </w:r>
          <w:r>
            <w:rPr>
              <w:rFonts w:hint="eastAsia" w:ascii="Times New Roman" w:hAnsi="Times New Roman" w:eastAsia="宋体" w:cs="Times New Roman"/>
              <w:highlight w:val="none"/>
              <w:lang w:val="en-US" w:eastAsia="zh-CN"/>
            </w:rPr>
            <w:t>3主要原辅材料及燃料</w:t>
          </w:r>
          <w:r>
            <w:tab/>
          </w:r>
          <w:r>
            <w:fldChar w:fldCharType="begin"/>
          </w:r>
          <w:r>
            <w:instrText xml:space="preserve"> PAGEREF _Toc31749 \h </w:instrText>
          </w:r>
          <w:r>
            <w:fldChar w:fldCharType="separate"/>
          </w:r>
          <w:r>
            <w:t>13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_Toc21617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3.4水源及水平衡</w:t>
          </w:r>
          <w:r>
            <w:tab/>
          </w:r>
          <w:r>
            <w:fldChar w:fldCharType="begin"/>
          </w:r>
          <w:r>
            <w:instrText xml:space="preserve"> PAGEREF _Toc21617 \h </w:instrText>
          </w:r>
          <w:r>
            <w:fldChar w:fldCharType="separate"/>
          </w:r>
          <w:r>
            <w:t>14</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_Toc1024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3.</w:t>
          </w:r>
          <w:r>
            <w:rPr>
              <w:rFonts w:hint="eastAsia" w:cs="Times New Roman"/>
              <w:highlight w:val="none"/>
              <w:lang w:val="en-US" w:eastAsia="zh-CN"/>
            </w:rPr>
            <w:t>5</w:t>
          </w:r>
          <w:r>
            <w:rPr>
              <w:rFonts w:hint="eastAsia" w:ascii="Times New Roman" w:hAnsi="Times New Roman" w:eastAsia="宋体" w:cs="Times New Roman"/>
              <w:highlight w:val="none"/>
              <w:lang w:val="en-US" w:eastAsia="zh-CN"/>
            </w:rPr>
            <w:t>生产工艺</w:t>
          </w:r>
          <w:r>
            <w:tab/>
          </w:r>
          <w:r>
            <w:fldChar w:fldCharType="begin"/>
          </w:r>
          <w:r>
            <w:instrText xml:space="preserve"> PAGEREF _Toc1024 \h </w:instrText>
          </w:r>
          <w:r>
            <w:fldChar w:fldCharType="separate"/>
          </w:r>
          <w:r>
            <w:t>15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_Toc1485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3.</w:t>
          </w:r>
          <w:r>
            <w:rPr>
              <w:rFonts w:hint="eastAsia" w:cs="Times New Roman"/>
              <w:highlight w:val="none"/>
              <w:lang w:val="en-US" w:eastAsia="zh-CN"/>
            </w:rPr>
            <w:t>6</w:t>
          </w:r>
          <w:r>
            <w:rPr>
              <w:rFonts w:hint="eastAsia" w:ascii="Times New Roman" w:hAnsi="Times New Roman" w:eastAsia="宋体" w:cs="Times New Roman"/>
              <w:highlight w:val="none"/>
              <w:lang w:val="en-US" w:eastAsia="zh-CN"/>
            </w:rPr>
            <w:t>项目变动情况</w:t>
          </w:r>
          <w:r>
            <w:tab/>
          </w:r>
          <w:r>
            <w:fldChar w:fldCharType="begin"/>
          </w:r>
          <w:r>
            <w:instrText xml:space="preserve"> PAGEREF _Toc1485 \h </w:instrText>
          </w:r>
          <w:r>
            <w:fldChar w:fldCharType="separate"/>
          </w:r>
          <w:r>
            <w:t>17</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_Toc24103 </w:instrText>
          </w:r>
          <w:r>
            <w:rPr>
              <w:rFonts w:hint="eastAsia"/>
              <w:highlight w:val="none"/>
              <w:lang w:val="en-US" w:eastAsia="zh-CN"/>
            </w:rPr>
            <w:fldChar w:fldCharType="separate"/>
          </w:r>
          <w:r>
            <w:rPr>
              <w:rFonts w:hint="eastAsia" w:ascii="Times New Roman" w:hAnsi="Times New Roman" w:eastAsia="宋体" w:cs="Times New Roman"/>
              <w:szCs w:val="36"/>
              <w:highlight w:val="none"/>
              <w:lang w:val="en-US" w:eastAsia="zh-CN"/>
            </w:rPr>
            <w:t>四、环境保护设施</w:t>
          </w:r>
          <w:r>
            <w:tab/>
          </w:r>
          <w:r>
            <w:fldChar w:fldCharType="begin"/>
          </w:r>
          <w:r>
            <w:instrText xml:space="preserve"> PAGEREF _Toc24103 \h </w:instrText>
          </w:r>
          <w:r>
            <w:fldChar w:fldCharType="separate"/>
          </w:r>
          <w:r>
            <w:t>20</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_Toc20037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4.1污染物治理/处置设施</w:t>
          </w:r>
          <w:r>
            <w:tab/>
          </w:r>
          <w:r>
            <w:fldChar w:fldCharType="begin"/>
          </w:r>
          <w:r>
            <w:instrText xml:space="preserve"> PAGEREF _Toc20037 \h </w:instrText>
          </w:r>
          <w:r>
            <w:fldChar w:fldCharType="separate"/>
          </w:r>
          <w:r>
            <w:t>20</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_Toc6940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4.1.1废水</w:t>
          </w:r>
          <w:r>
            <w:tab/>
          </w:r>
          <w:r>
            <w:fldChar w:fldCharType="begin"/>
          </w:r>
          <w:r>
            <w:instrText xml:space="preserve"> PAGEREF _Toc6940 \h </w:instrText>
          </w:r>
          <w:r>
            <w:fldChar w:fldCharType="separate"/>
          </w:r>
          <w:r>
            <w:t>20</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_Toc755 </w:instrText>
          </w:r>
          <w:r>
            <w:rPr>
              <w:rFonts w:hint="eastAsia"/>
              <w:highlight w:val="none"/>
              <w:lang w:val="en-US" w:eastAsia="zh-CN"/>
            </w:rPr>
            <w:fldChar w:fldCharType="separate"/>
          </w:r>
          <w:r>
            <w:rPr>
              <w:rFonts w:hint="eastAsia" w:cs="Times New Roman"/>
              <w:highlight w:val="none"/>
              <w:lang w:val="en-US" w:eastAsia="zh-CN"/>
            </w:rPr>
            <w:t>4.1.2废气</w:t>
          </w:r>
          <w:r>
            <w:tab/>
          </w:r>
          <w:r>
            <w:fldChar w:fldCharType="begin"/>
          </w:r>
          <w:r>
            <w:instrText xml:space="preserve"> PAGEREF _Toc755 \h </w:instrText>
          </w:r>
          <w:r>
            <w:fldChar w:fldCharType="separate"/>
          </w:r>
          <w:r>
            <w:t>24</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_Toc11908 </w:instrText>
          </w:r>
          <w:r>
            <w:rPr>
              <w:rFonts w:hint="eastAsia"/>
              <w:highlight w:val="none"/>
              <w:lang w:val="en-US" w:eastAsia="zh-CN"/>
            </w:rPr>
            <w:fldChar w:fldCharType="separate"/>
          </w:r>
          <w:r>
            <w:rPr>
              <w:rFonts w:hint="eastAsia" w:cs="Times New Roman"/>
              <w:highlight w:val="none"/>
              <w:lang w:val="en-US" w:eastAsia="zh-CN"/>
            </w:rPr>
            <w:t>4.1.3噪声</w:t>
          </w:r>
          <w:r>
            <w:tab/>
          </w:r>
          <w:r>
            <w:fldChar w:fldCharType="begin"/>
          </w:r>
          <w:r>
            <w:instrText xml:space="preserve"> PAGEREF _Toc11908 \h </w:instrText>
          </w:r>
          <w:r>
            <w:fldChar w:fldCharType="separate"/>
          </w:r>
          <w:r>
            <w:t>42</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_Toc22526 </w:instrText>
          </w:r>
          <w:r>
            <w:rPr>
              <w:rFonts w:hint="eastAsia"/>
              <w:highlight w:val="none"/>
              <w:lang w:val="en-US" w:eastAsia="zh-CN"/>
            </w:rPr>
            <w:fldChar w:fldCharType="separate"/>
          </w:r>
          <w:r>
            <w:rPr>
              <w:rFonts w:hint="eastAsia" w:cs="Times New Roman"/>
              <w:highlight w:val="none"/>
              <w:lang w:val="en-US" w:eastAsia="zh-CN"/>
            </w:rPr>
            <w:t>4.1.4固废</w:t>
          </w:r>
          <w:r>
            <w:tab/>
          </w:r>
          <w:r>
            <w:fldChar w:fldCharType="begin"/>
          </w:r>
          <w:r>
            <w:instrText xml:space="preserve"> PAGEREF _Toc22526 \h </w:instrText>
          </w:r>
          <w:r>
            <w:fldChar w:fldCharType="separate"/>
          </w:r>
          <w:r>
            <w:t>42</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_Toc5821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4.</w:t>
          </w:r>
          <w:r>
            <w:rPr>
              <w:rFonts w:hint="eastAsia" w:ascii="Times New Roman" w:hAnsi="Times New Roman" w:cs="Times New Roman"/>
              <w:highlight w:val="none"/>
              <w:lang w:val="en-US" w:eastAsia="zh-CN"/>
            </w:rPr>
            <w:t>2其他环境保护设施</w:t>
          </w:r>
          <w:r>
            <w:tab/>
          </w:r>
          <w:r>
            <w:fldChar w:fldCharType="begin"/>
          </w:r>
          <w:r>
            <w:instrText xml:space="preserve"> PAGEREF _Toc5821 \h </w:instrText>
          </w:r>
          <w:r>
            <w:fldChar w:fldCharType="separate"/>
          </w:r>
          <w:r>
            <w:t>43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_Toc10733 </w:instrText>
          </w:r>
          <w:r>
            <w:rPr>
              <w:rFonts w:hint="eastAsia"/>
              <w:highlight w:val="none"/>
              <w:lang w:val="en-US" w:eastAsia="zh-CN"/>
            </w:rPr>
            <w:fldChar w:fldCharType="separate"/>
          </w:r>
          <w:r>
            <w:rPr>
              <w:rFonts w:hint="eastAsia" w:cs="Times New Roman"/>
              <w:highlight w:val="none"/>
              <w:lang w:val="en-US" w:eastAsia="zh-CN"/>
            </w:rPr>
            <w:t>4.2.1</w:t>
          </w:r>
          <w:r>
            <w:rPr>
              <w:rFonts w:hint="eastAsia" w:ascii="Times New Roman" w:hAnsi="Times New Roman" w:eastAsia="宋体" w:cs="Times New Roman"/>
              <w:highlight w:val="none"/>
              <w:lang w:val="en-US" w:eastAsia="zh-CN"/>
            </w:rPr>
            <w:t>厂区地下水保护措施要求</w:t>
          </w:r>
          <w:r>
            <w:tab/>
          </w:r>
          <w:r>
            <w:fldChar w:fldCharType="begin"/>
          </w:r>
          <w:r>
            <w:instrText xml:space="preserve"> PAGEREF _Toc10733 \h </w:instrText>
          </w:r>
          <w:r>
            <w:fldChar w:fldCharType="separate"/>
          </w:r>
          <w:r>
            <w:t>43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_Toc16195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4.</w:t>
          </w:r>
          <w:r>
            <w:rPr>
              <w:rFonts w:hint="eastAsia" w:ascii="Times New Roman" w:hAnsi="Times New Roman" w:eastAsia="宋体" w:cs="Times New Roman"/>
              <w:highlight w:val="none"/>
              <w:lang w:val="en-US" w:eastAsia="zh-CN"/>
            </w:rPr>
            <w:t>2</w:t>
          </w:r>
          <w:r>
            <w:rPr>
              <w:rFonts w:hint="default" w:ascii="Times New Roman" w:hAnsi="Times New Roman" w:eastAsia="宋体" w:cs="Times New Roman"/>
              <w:highlight w:val="none"/>
              <w:lang w:val="en-US" w:eastAsia="zh-CN"/>
            </w:rPr>
            <w:t>.</w:t>
          </w:r>
          <w:r>
            <w:rPr>
              <w:rFonts w:hint="eastAsia" w:ascii="Times New Roman" w:hAnsi="Times New Roman" w:eastAsia="宋体" w:cs="Times New Roman"/>
              <w:highlight w:val="none"/>
              <w:lang w:val="en-US" w:eastAsia="zh-CN"/>
            </w:rPr>
            <w:t>2规范化排污口、监测设施及在线监测装置</w:t>
          </w:r>
          <w:r>
            <w:tab/>
          </w:r>
          <w:r>
            <w:fldChar w:fldCharType="begin"/>
          </w:r>
          <w:r>
            <w:instrText xml:space="preserve"> PAGEREF _Toc16195 \h </w:instrText>
          </w:r>
          <w:r>
            <w:fldChar w:fldCharType="separate"/>
          </w:r>
          <w:r>
            <w:t>45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_Toc6907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4.2.</w:t>
          </w:r>
          <w:r>
            <w:rPr>
              <w:rFonts w:hint="eastAsia" w:cs="Times New Roman"/>
              <w:highlight w:val="none"/>
              <w:lang w:val="en-US" w:eastAsia="zh-CN"/>
            </w:rPr>
            <w:t>3自行</w:t>
          </w:r>
          <w:r>
            <w:rPr>
              <w:rFonts w:hint="eastAsia" w:ascii="Times New Roman" w:hAnsi="Times New Roman" w:eastAsia="宋体" w:cs="Times New Roman"/>
              <w:highlight w:val="none"/>
              <w:lang w:val="en-US" w:eastAsia="zh-CN"/>
            </w:rPr>
            <w:t>监测</w:t>
          </w:r>
          <w:r>
            <w:tab/>
          </w:r>
          <w:r>
            <w:fldChar w:fldCharType="begin"/>
          </w:r>
          <w:r>
            <w:instrText xml:space="preserve"> PAGEREF _Toc6907 \h </w:instrText>
          </w:r>
          <w:r>
            <w:fldChar w:fldCharType="separate"/>
          </w:r>
          <w:r>
            <w:t>46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_Toc23381 </w:instrText>
          </w:r>
          <w:r>
            <w:rPr>
              <w:rFonts w:hint="eastAsia"/>
              <w:highlight w:val="none"/>
              <w:lang w:val="en-US" w:eastAsia="zh-CN"/>
            </w:rPr>
            <w:fldChar w:fldCharType="separate"/>
          </w:r>
          <w:r>
            <w:rPr>
              <w:rFonts w:hint="eastAsia" w:ascii="Times New Roman" w:hAnsi="Times New Roman" w:eastAsia="宋体" w:cs="Times New Roman"/>
              <w:highlight w:val="none"/>
              <w:lang w:val="en-US" w:eastAsia="zh-CN"/>
            </w:rPr>
            <w:t>4.3环保设施投资及“三同时”落实情况</w:t>
          </w:r>
          <w:r>
            <w:tab/>
          </w:r>
          <w:r>
            <w:fldChar w:fldCharType="begin"/>
          </w:r>
          <w:r>
            <w:instrText xml:space="preserve"> PAGEREF _Toc23381 \h </w:instrText>
          </w:r>
          <w:r>
            <w:fldChar w:fldCharType="separate"/>
          </w:r>
          <w:r>
            <w:t>47</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_Toc27569 </w:instrText>
          </w:r>
          <w:r>
            <w:rPr>
              <w:rFonts w:hint="eastAsia"/>
              <w:highlight w:val="none"/>
              <w:lang w:val="en-US" w:eastAsia="zh-CN"/>
            </w:rPr>
            <w:fldChar w:fldCharType="separate"/>
          </w:r>
          <w:r>
            <w:rPr>
              <w:rFonts w:hint="eastAsia" w:ascii="Times New Roman" w:hAnsi="Times New Roman" w:eastAsia="宋体" w:cs="Times New Roman"/>
              <w:szCs w:val="36"/>
              <w:lang w:val="en-US" w:eastAsia="zh-CN"/>
            </w:rPr>
            <w:t xml:space="preserve">五、 </w:t>
          </w:r>
          <w:r>
            <w:rPr>
              <w:rFonts w:hint="eastAsia" w:ascii="Times New Roman" w:hAnsi="Times New Roman" w:eastAsia="宋体" w:cs="Times New Roman"/>
              <w:szCs w:val="36"/>
              <w:highlight w:val="none"/>
              <w:lang w:val="en-US" w:eastAsia="zh-CN"/>
            </w:rPr>
            <w:t>环境影响报告书（表）主要结论与建议及其审批部门审批决定</w:t>
          </w:r>
          <w:r>
            <w:tab/>
          </w:r>
          <w:r>
            <w:fldChar w:fldCharType="begin"/>
          </w:r>
          <w:r>
            <w:instrText xml:space="preserve"> PAGEREF _Toc27569 \h </w:instrText>
          </w:r>
          <w:r>
            <w:fldChar w:fldCharType="separate"/>
          </w:r>
          <w:r>
            <w:t>51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_Toc8850 </w:instrText>
          </w:r>
          <w:r>
            <w:rPr>
              <w:rFonts w:hint="eastAsia"/>
              <w:highlight w:val="none"/>
              <w:lang w:val="en-US" w:eastAsia="zh-CN"/>
            </w:rPr>
            <w:fldChar w:fldCharType="separate"/>
          </w:r>
          <w:r>
            <w:rPr>
              <w:rFonts w:hint="eastAsia" w:cs="Times New Roman"/>
              <w:highlight w:val="none"/>
              <w:lang w:val="en-US" w:eastAsia="zh-CN"/>
            </w:rPr>
            <w:t>5</w:t>
          </w:r>
          <w:r>
            <w:rPr>
              <w:rFonts w:hint="eastAsia" w:ascii="Times New Roman" w:hAnsi="Times New Roman" w:cs="Times New Roman"/>
              <w:highlight w:val="none"/>
              <w:lang w:val="en-US" w:eastAsia="zh-CN"/>
            </w:rPr>
            <w:t>.1环境影响报告书主要结论</w:t>
          </w:r>
          <w:r>
            <w:tab/>
          </w:r>
          <w:r>
            <w:fldChar w:fldCharType="begin"/>
          </w:r>
          <w:r>
            <w:instrText xml:space="preserve"> PAGEREF _Toc8850 \h </w:instrText>
          </w:r>
          <w:r>
            <w:fldChar w:fldCharType="separate"/>
          </w:r>
          <w:r>
            <w:t>51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_Toc29060 </w:instrText>
          </w:r>
          <w:r>
            <w:rPr>
              <w:rFonts w:hint="eastAsia"/>
              <w:highlight w:val="none"/>
              <w:lang w:val="en-US" w:eastAsia="zh-CN"/>
            </w:rPr>
            <w:fldChar w:fldCharType="separate"/>
          </w:r>
          <w:r>
            <w:rPr>
              <w:rFonts w:hint="eastAsia" w:cs="Times New Roman"/>
              <w:kern w:val="0"/>
              <w:szCs w:val="20"/>
              <w:highlight w:val="none"/>
              <w:lang w:val="en-US" w:eastAsia="zh-CN" w:bidi="ar-SA"/>
            </w:rPr>
            <w:t>5</w:t>
          </w:r>
          <w:r>
            <w:rPr>
              <w:rFonts w:hint="eastAsia" w:ascii="Times New Roman" w:hAnsi="Times New Roman" w:eastAsia="宋体" w:cs="Times New Roman"/>
              <w:kern w:val="0"/>
              <w:szCs w:val="20"/>
              <w:highlight w:val="none"/>
              <w:lang w:val="en-US" w:eastAsia="zh-CN" w:bidi="ar-SA"/>
            </w:rPr>
            <w:t>.2环境影响报告书批复意见</w:t>
          </w:r>
          <w:r>
            <w:tab/>
          </w:r>
          <w:r>
            <w:fldChar w:fldCharType="begin"/>
          </w:r>
          <w:r>
            <w:instrText xml:space="preserve"> PAGEREF _Toc29060 \h </w:instrText>
          </w:r>
          <w:r>
            <w:fldChar w:fldCharType="separate"/>
          </w:r>
          <w:r>
            <w:t>58</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_Toc26531 </w:instrText>
          </w:r>
          <w:r>
            <w:rPr>
              <w:rFonts w:hint="eastAsia"/>
              <w:highlight w:val="none"/>
              <w:lang w:val="en-US" w:eastAsia="zh-CN"/>
            </w:rPr>
            <w:fldChar w:fldCharType="separate"/>
          </w:r>
          <w:r>
            <w:rPr>
              <w:rFonts w:hint="eastAsia" w:cs="Times New Roman"/>
              <w:szCs w:val="36"/>
              <w:highlight w:val="none"/>
              <w:lang w:val="en-US" w:eastAsia="zh-CN"/>
            </w:rPr>
            <w:t>六</w:t>
          </w:r>
          <w:r>
            <w:rPr>
              <w:rFonts w:hint="eastAsia" w:ascii="Times New Roman" w:hAnsi="Times New Roman" w:eastAsia="宋体" w:cs="Times New Roman"/>
              <w:szCs w:val="36"/>
              <w:highlight w:val="none"/>
              <w:lang w:val="en-US" w:eastAsia="zh-CN"/>
            </w:rPr>
            <w:t>、验收监测评价标准</w:t>
          </w:r>
          <w:r>
            <w:tab/>
          </w:r>
          <w:r>
            <w:fldChar w:fldCharType="begin"/>
          </w:r>
          <w:r>
            <w:instrText xml:space="preserve"> PAGEREF _Toc26531 \h </w:instrText>
          </w:r>
          <w:r>
            <w:fldChar w:fldCharType="separate"/>
          </w:r>
          <w:r>
            <w:t>62</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_Toc25430 </w:instrText>
          </w:r>
          <w:r>
            <w:rPr>
              <w:rFonts w:hint="eastAsia"/>
              <w:highlight w:val="none"/>
              <w:lang w:val="en-US" w:eastAsia="zh-CN"/>
            </w:rPr>
            <w:fldChar w:fldCharType="separate"/>
          </w:r>
          <w:r>
            <w:rPr>
              <w:rFonts w:hint="eastAsia" w:ascii="Times New Roman" w:hAnsi="Times New Roman" w:cs="Times New Roman"/>
              <w:kern w:val="0"/>
              <w:szCs w:val="20"/>
              <w:highlight w:val="none"/>
              <w:lang w:val="en-US" w:eastAsia="zh-CN" w:bidi="ar-SA"/>
            </w:rPr>
            <w:t>6.1大气污染物</w:t>
          </w:r>
          <w:r>
            <w:tab/>
          </w:r>
          <w:r>
            <w:fldChar w:fldCharType="begin"/>
          </w:r>
          <w:r>
            <w:instrText xml:space="preserve"> PAGEREF _Toc25430 \h </w:instrText>
          </w:r>
          <w:r>
            <w:fldChar w:fldCharType="separate"/>
          </w:r>
          <w:r>
            <w:t>62</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_Toc314 </w:instrText>
          </w:r>
          <w:r>
            <w:rPr>
              <w:rFonts w:hint="eastAsia"/>
              <w:highlight w:val="none"/>
              <w:lang w:val="en-US" w:eastAsia="zh-CN"/>
            </w:rPr>
            <w:fldChar w:fldCharType="separate"/>
          </w:r>
          <w:r>
            <w:rPr>
              <w:rFonts w:hint="eastAsia" w:ascii="Times New Roman" w:hAnsi="Times New Roman" w:cs="Times New Roman"/>
              <w:kern w:val="0"/>
              <w:szCs w:val="20"/>
              <w:highlight w:val="none"/>
              <w:lang w:val="en-US" w:eastAsia="zh-CN" w:bidi="ar-SA"/>
            </w:rPr>
            <w:t>6.2废水</w:t>
          </w:r>
          <w:r>
            <w:tab/>
          </w:r>
          <w:r>
            <w:fldChar w:fldCharType="begin"/>
          </w:r>
          <w:r>
            <w:instrText xml:space="preserve"> PAGEREF _Toc314 \h </w:instrText>
          </w:r>
          <w:r>
            <w:fldChar w:fldCharType="separate"/>
          </w:r>
          <w:r>
            <w:t>63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_Toc13064 </w:instrText>
          </w:r>
          <w:r>
            <w:rPr>
              <w:rFonts w:hint="eastAsia"/>
              <w:highlight w:val="none"/>
              <w:lang w:val="en-US" w:eastAsia="zh-CN"/>
            </w:rPr>
            <w:fldChar w:fldCharType="separate"/>
          </w:r>
          <w:r>
            <w:rPr>
              <w:rFonts w:hint="eastAsia" w:ascii="Times New Roman" w:hAnsi="Times New Roman" w:cs="Times New Roman"/>
              <w:kern w:val="0"/>
              <w:szCs w:val="20"/>
              <w:highlight w:val="none"/>
              <w:lang w:val="en-US" w:eastAsia="zh-CN" w:bidi="ar-SA"/>
            </w:rPr>
            <w:t>6.3噪声</w:t>
          </w:r>
          <w:r>
            <w:tab/>
          </w:r>
          <w:r>
            <w:fldChar w:fldCharType="begin"/>
          </w:r>
          <w:r>
            <w:instrText xml:space="preserve"> PAGEREF _Toc13064 \h </w:instrText>
          </w:r>
          <w:r>
            <w:fldChar w:fldCharType="separate"/>
          </w:r>
          <w:r>
            <w:t>63</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_Toc32738 </w:instrText>
          </w:r>
          <w:r>
            <w:rPr>
              <w:rFonts w:hint="eastAsia"/>
              <w:highlight w:val="none"/>
              <w:lang w:val="en-US" w:eastAsia="zh-CN"/>
            </w:rPr>
            <w:fldChar w:fldCharType="separate"/>
          </w:r>
          <w:r>
            <w:rPr>
              <w:rFonts w:hint="eastAsia" w:ascii="Times New Roman" w:hAnsi="Times New Roman" w:cs="Times New Roman"/>
              <w:kern w:val="0"/>
              <w:szCs w:val="20"/>
              <w:highlight w:val="none"/>
              <w:lang w:val="en-US" w:eastAsia="zh-CN" w:bidi="ar-SA"/>
            </w:rPr>
            <w:t>6.4固体废弃物</w:t>
          </w:r>
          <w:r>
            <w:tab/>
          </w:r>
          <w:r>
            <w:fldChar w:fldCharType="begin"/>
          </w:r>
          <w:r>
            <w:instrText xml:space="preserve"> PAGEREF _Toc32738 \h </w:instrText>
          </w:r>
          <w:r>
            <w:fldChar w:fldCharType="separate"/>
          </w:r>
          <w:r>
            <w:t>64</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_Toc9336 </w:instrText>
          </w:r>
          <w:r>
            <w:rPr>
              <w:rFonts w:hint="eastAsia"/>
              <w:highlight w:val="none"/>
              <w:lang w:val="en-US" w:eastAsia="zh-CN"/>
            </w:rPr>
            <w:fldChar w:fldCharType="separate"/>
          </w:r>
          <w:r>
            <w:rPr>
              <w:rFonts w:hint="eastAsia" w:ascii="Times New Roman" w:hAnsi="Times New Roman" w:eastAsia="宋体" w:cs="Times New Roman"/>
              <w:kern w:val="0"/>
              <w:szCs w:val="20"/>
              <w:highlight w:val="none"/>
              <w:lang w:val="en-US" w:eastAsia="zh-CN" w:bidi="ar-SA"/>
            </w:rPr>
            <w:t>6.5土壤和地下水</w:t>
          </w:r>
          <w:r>
            <w:tab/>
          </w:r>
          <w:r>
            <w:fldChar w:fldCharType="begin"/>
          </w:r>
          <w:r>
            <w:instrText xml:space="preserve"> PAGEREF _Toc9336 \h </w:instrText>
          </w:r>
          <w:r>
            <w:fldChar w:fldCharType="separate"/>
          </w:r>
          <w:r>
            <w:t>64</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_Toc16246 </w:instrText>
          </w:r>
          <w:r>
            <w:rPr>
              <w:rFonts w:hint="eastAsia"/>
              <w:highlight w:val="none"/>
              <w:lang w:val="en-US" w:eastAsia="zh-CN"/>
            </w:rPr>
            <w:fldChar w:fldCharType="separate"/>
          </w:r>
          <w:r>
            <w:rPr>
              <w:rFonts w:hint="eastAsia" w:cs="Times New Roman"/>
              <w:szCs w:val="36"/>
              <w:highlight w:val="none"/>
              <w:lang w:val="en-US" w:eastAsia="zh-CN"/>
            </w:rPr>
            <w:t>七</w:t>
          </w:r>
          <w:r>
            <w:rPr>
              <w:rFonts w:hint="eastAsia" w:ascii="Times New Roman" w:hAnsi="Times New Roman" w:eastAsia="宋体" w:cs="Times New Roman"/>
              <w:szCs w:val="36"/>
              <w:highlight w:val="none"/>
              <w:lang w:val="en-US" w:eastAsia="zh-CN"/>
            </w:rPr>
            <w:t>、</w:t>
          </w:r>
          <w:r>
            <w:rPr>
              <w:rFonts w:hint="default" w:ascii="Times New Roman" w:hAnsi="Times New Roman" w:eastAsia="宋体" w:cs="Times New Roman"/>
              <w:szCs w:val="36"/>
              <w:highlight w:val="none"/>
              <w:lang w:val="en-US" w:eastAsia="zh-CN"/>
            </w:rPr>
            <w:t>验收监测内容</w:t>
          </w:r>
          <w:r>
            <w:tab/>
          </w:r>
          <w:r>
            <w:fldChar w:fldCharType="begin"/>
          </w:r>
          <w:r>
            <w:instrText xml:space="preserve"> PAGEREF _Toc16246 \h </w:instrText>
          </w:r>
          <w:r>
            <w:fldChar w:fldCharType="separate"/>
          </w:r>
          <w:r>
            <w:t>66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_Toc5544 </w:instrText>
          </w:r>
          <w:r>
            <w:rPr>
              <w:rFonts w:hint="eastAsia"/>
              <w:highlight w:val="none"/>
              <w:lang w:val="en-US" w:eastAsia="zh-CN"/>
            </w:rPr>
            <w:fldChar w:fldCharType="separate"/>
          </w:r>
          <w:r>
            <w:rPr>
              <w:rFonts w:hint="eastAsia" w:cs="Times New Roman"/>
              <w:kern w:val="0"/>
              <w:szCs w:val="20"/>
              <w:highlight w:val="none"/>
              <w:lang w:val="en-US" w:eastAsia="zh-CN" w:bidi="ar-SA"/>
            </w:rPr>
            <w:t>7</w:t>
          </w:r>
          <w:r>
            <w:rPr>
              <w:rFonts w:hint="eastAsia" w:ascii="Times New Roman" w:hAnsi="Times New Roman" w:eastAsia="宋体" w:cs="Times New Roman"/>
              <w:kern w:val="0"/>
              <w:szCs w:val="20"/>
              <w:highlight w:val="none"/>
              <w:lang w:val="en-US" w:eastAsia="zh-CN" w:bidi="ar-SA"/>
            </w:rPr>
            <w:t>.1验收监测期间生产工况</w:t>
          </w:r>
          <w:r>
            <w:tab/>
          </w:r>
          <w:r>
            <w:fldChar w:fldCharType="begin"/>
          </w:r>
          <w:r>
            <w:instrText xml:space="preserve"> PAGEREF _Toc5544 \h </w:instrText>
          </w:r>
          <w:r>
            <w:fldChar w:fldCharType="separate"/>
          </w:r>
          <w:r>
            <w:t>66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_Toc6464 </w:instrText>
          </w:r>
          <w:r>
            <w:rPr>
              <w:rFonts w:hint="eastAsia"/>
              <w:highlight w:val="none"/>
              <w:lang w:val="en-US" w:eastAsia="zh-CN"/>
            </w:rPr>
            <w:fldChar w:fldCharType="separate"/>
          </w:r>
          <w:r>
            <w:rPr>
              <w:rFonts w:hint="eastAsia"/>
              <w:highlight w:val="none"/>
              <w:lang w:val="en-US" w:eastAsia="zh-CN"/>
            </w:rPr>
            <w:t>7.2废气</w:t>
          </w:r>
          <w:r>
            <w:rPr>
              <w:rFonts w:hint="default" w:ascii="Times New Roman" w:hAnsi="Times New Roman" w:eastAsia="宋体" w:cs="Times New Roman"/>
              <w:bCs/>
              <w:szCs w:val="28"/>
              <w:highlight w:val="none"/>
            </w:rPr>
            <w:t>监测</w:t>
          </w:r>
          <w:r>
            <w:rPr>
              <w:rFonts w:hint="eastAsia" w:ascii="Times New Roman" w:hAnsi="Times New Roman" w:eastAsia="宋体" w:cs="Times New Roman"/>
              <w:bCs/>
              <w:szCs w:val="28"/>
              <w:highlight w:val="none"/>
              <w:lang w:val="en-US" w:eastAsia="zh-CN"/>
            </w:rPr>
            <w:t>内容</w:t>
          </w:r>
          <w:r>
            <w:tab/>
          </w:r>
          <w:r>
            <w:fldChar w:fldCharType="begin"/>
          </w:r>
          <w:r>
            <w:instrText xml:space="preserve"> PAGEREF _Toc6464 \h </w:instrText>
          </w:r>
          <w:r>
            <w:fldChar w:fldCharType="separate"/>
          </w:r>
          <w:r>
            <w:t>66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_Toc18654 </w:instrText>
          </w:r>
          <w:r>
            <w:rPr>
              <w:rFonts w:hint="eastAsia"/>
              <w:highlight w:val="none"/>
              <w:lang w:val="en-US" w:eastAsia="zh-CN"/>
            </w:rPr>
            <w:fldChar w:fldCharType="separate"/>
          </w:r>
          <w:r>
            <w:rPr>
              <w:rFonts w:hint="eastAsia"/>
              <w:highlight w:val="none"/>
              <w:lang w:val="en-US" w:eastAsia="zh-CN"/>
            </w:rPr>
            <w:t>7.3废水监测内容</w:t>
          </w:r>
          <w:r>
            <w:tab/>
          </w:r>
          <w:r>
            <w:fldChar w:fldCharType="begin"/>
          </w:r>
          <w:r>
            <w:instrText xml:space="preserve"> PAGEREF _Toc18654 \h </w:instrText>
          </w:r>
          <w:r>
            <w:fldChar w:fldCharType="separate"/>
          </w:r>
          <w:r>
            <w:t>67</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_Toc25605 </w:instrText>
          </w:r>
          <w:r>
            <w:rPr>
              <w:rFonts w:hint="eastAsia"/>
              <w:highlight w:val="none"/>
              <w:lang w:val="en-US" w:eastAsia="zh-CN"/>
            </w:rPr>
            <w:fldChar w:fldCharType="separate"/>
          </w:r>
          <w:r>
            <w:rPr>
              <w:rFonts w:hint="eastAsia"/>
              <w:highlight w:val="none"/>
              <w:lang w:val="en-US" w:eastAsia="zh-CN"/>
            </w:rPr>
            <w:t>7.4噪声监测内容</w:t>
          </w:r>
          <w:r>
            <w:tab/>
          </w:r>
          <w:r>
            <w:fldChar w:fldCharType="begin"/>
          </w:r>
          <w:r>
            <w:instrText xml:space="preserve"> PAGEREF _Toc25605 \h </w:instrText>
          </w:r>
          <w:r>
            <w:fldChar w:fldCharType="separate"/>
          </w:r>
          <w:r>
            <w:t>67</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_Toc18682 </w:instrText>
          </w:r>
          <w:r>
            <w:rPr>
              <w:rFonts w:hint="eastAsia"/>
              <w:highlight w:val="none"/>
              <w:lang w:val="en-US" w:eastAsia="zh-CN"/>
            </w:rPr>
            <w:fldChar w:fldCharType="separate"/>
          </w:r>
          <w:r>
            <w:rPr>
              <w:rFonts w:hint="eastAsia"/>
              <w:highlight w:val="none"/>
              <w:lang w:val="en-US" w:eastAsia="zh-CN"/>
            </w:rPr>
            <w:t>7.4地下水和土壤监测内容</w:t>
          </w:r>
          <w:r>
            <w:tab/>
          </w:r>
          <w:r>
            <w:fldChar w:fldCharType="begin"/>
          </w:r>
          <w:r>
            <w:instrText xml:space="preserve"> PAGEREF _Toc18682 \h </w:instrText>
          </w:r>
          <w:r>
            <w:fldChar w:fldCharType="separate"/>
          </w:r>
          <w:r>
            <w:t>67</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_Toc6545 </w:instrText>
          </w:r>
          <w:r>
            <w:rPr>
              <w:rFonts w:hint="eastAsia"/>
              <w:highlight w:val="none"/>
              <w:lang w:val="en-US" w:eastAsia="zh-CN"/>
            </w:rPr>
            <w:fldChar w:fldCharType="separate"/>
          </w:r>
          <w:r>
            <w:rPr>
              <w:rFonts w:hint="eastAsia" w:cs="Times New Roman"/>
              <w:szCs w:val="36"/>
              <w:highlight w:val="none"/>
              <w:lang w:val="en-US" w:eastAsia="zh-CN"/>
            </w:rPr>
            <w:t>八</w:t>
          </w:r>
          <w:r>
            <w:rPr>
              <w:rFonts w:hint="eastAsia" w:ascii="Times New Roman" w:hAnsi="Times New Roman" w:eastAsia="宋体" w:cs="Times New Roman"/>
              <w:szCs w:val="36"/>
              <w:highlight w:val="none"/>
              <w:lang w:val="en-US" w:eastAsia="zh-CN"/>
            </w:rPr>
            <w:t>、</w:t>
          </w:r>
          <w:r>
            <w:rPr>
              <w:rFonts w:hint="default" w:ascii="Times New Roman" w:hAnsi="Times New Roman" w:eastAsia="宋体" w:cs="Times New Roman"/>
              <w:szCs w:val="36"/>
              <w:highlight w:val="none"/>
              <w:lang w:val="en-US" w:eastAsia="zh-CN"/>
            </w:rPr>
            <w:t>监测分析方法及质量保证措施</w:t>
          </w:r>
          <w:r>
            <w:tab/>
          </w:r>
          <w:r>
            <w:fldChar w:fldCharType="begin"/>
          </w:r>
          <w:r>
            <w:instrText xml:space="preserve"> PAGEREF _Toc6545 \h </w:instrText>
          </w:r>
          <w:r>
            <w:fldChar w:fldCharType="separate"/>
          </w:r>
          <w:r>
            <w:t>68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_Toc346 </w:instrText>
          </w:r>
          <w:r>
            <w:rPr>
              <w:rFonts w:hint="eastAsia"/>
              <w:highlight w:val="none"/>
              <w:lang w:val="en-US" w:eastAsia="zh-CN"/>
            </w:rPr>
            <w:fldChar w:fldCharType="separate"/>
          </w:r>
          <w:r>
            <w:rPr>
              <w:rFonts w:hint="eastAsia" w:cs="Times New Roman"/>
              <w:highlight w:val="none"/>
              <w:lang w:val="en-US" w:eastAsia="zh-CN"/>
            </w:rPr>
            <w:t>8</w:t>
          </w:r>
          <w:r>
            <w:rPr>
              <w:rFonts w:hint="default" w:ascii="Times New Roman" w:hAnsi="Times New Roman" w:cs="Times New Roman"/>
              <w:highlight w:val="none"/>
              <w:lang w:val="en-US" w:eastAsia="zh-CN"/>
            </w:rPr>
            <w:t>.1验收监测质量保证和质量控制措施</w:t>
          </w:r>
          <w:r>
            <w:tab/>
          </w:r>
          <w:r>
            <w:fldChar w:fldCharType="begin"/>
          </w:r>
          <w:r>
            <w:instrText xml:space="preserve"> PAGEREF _Toc346 \h </w:instrText>
          </w:r>
          <w:r>
            <w:fldChar w:fldCharType="separate"/>
          </w:r>
          <w:r>
            <w:t>68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_Toc30078 </w:instrText>
          </w:r>
          <w:r>
            <w:rPr>
              <w:rFonts w:hint="eastAsia"/>
              <w:highlight w:val="none"/>
              <w:lang w:val="en-US" w:eastAsia="zh-CN"/>
            </w:rPr>
            <w:fldChar w:fldCharType="separate"/>
          </w:r>
          <w:r>
            <w:rPr>
              <w:rFonts w:hint="eastAsia" w:cs="Times New Roman"/>
              <w:highlight w:val="none"/>
              <w:lang w:val="en-US" w:eastAsia="zh-CN"/>
            </w:rPr>
            <w:t>8</w:t>
          </w:r>
          <w:r>
            <w:rPr>
              <w:rFonts w:hint="default" w:ascii="Times New Roman" w:hAnsi="Times New Roman" w:cs="Times New Roman"/>
              <w:highlight w:val="none"/>
              <w:lang w:val="en-US" w:eastAsia="zh-CN"/>
            </w:rPr>
            <w:t>.2监测分析方法</w:t>
          </w:r>
          <w:r>
            <w:tab/>
          </w:r>
          <w:r>
            <w:fldChar w:fldCharType="begin"/>
          </w:r>
          <w:r>
            <w:instrText xml:space="preserve"> PAGEREF _Toc30078 \h </w:instrText>
          </w:r>
          <w:r>
            <w:fldChar w:fldCharType="separate"/>
          </w:r>
          <w:r>
            <w:t>68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_Toc11782 </w:instrText>
          </w:r>
          <w:r>
            <w:rPr>
              <w:rFonts w:hint="eastAsia"/>
              <w:highlight w:val="none"/>
              <w:lang w:val="en-US" w:eastAsia="zh-CN"/>
            </w:rPr>
            <w:fldChar w:fldCharType="separate"/>
          </w:r>
          <w:r>
            <w:rPr>
              <w:rFonts w:hint="eastAsia" w:ascii="Times New Roman" w:hAnsi="Times New Roman" w:eastAsia="宋体" w:cs="Times New Roman"/>
              <w:bCs/>
              <w:szCs w:val="28"/>
              <w:highlight w:val="none"/>
              <w:lang w:val="en-US" w:eastAsia="zh-CN"/>
            </w:rPr>
            <w:t>8.3人员能力</w:t>
          </w:r>
          <w:r>
            <w:tab/>
          </w:r>
          <w:r>
            <w:fldChar w:fldCharType="begin"/>
          </w:r>
          <w:r>
            <w:instrText xml:space="preserve"> PAGEREF _Toc11782 \h </w:instrText>
          </w:r>
          <w:r>
            <w:fldChar w:fldCharType="separate"/>
          </w:r>
          <w:r>
            <w:t>78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_Toc16197 </w:instrText>
          </w:r>
          <w:r>
            <w:rPr>
              <w:rFonts w:hint="eastAsia"/>
              <w:highlight w:val="none"/>
              <w:lang w:val="en-US" w:eastAsia="zh-CN"/>
            </w:rPr>
            <w:fldChar w:fldCharType="separate"/>
          </w:r>
          <w:r>
            <w:rPr>
              <w:rFonts w:hint="eastAsia" w:ascii="Times New Roman" w:hAnsi="Times New Roman" w:eastAsia="宋体" w:cs="Times New Roman"/>
              <w:bCs/>
              <w:szCs w:val="28"/>
              <w:highlight w:val="none"/>
              <w:lang w:val="en-US" w:eastAsia="zh-CN"/>
            </w:rPr>
            <w:t>8.4水质监测分析过程中的质量保证和质量控制</w:t>
          </w:r>
          <w:r>
            <w:tab/>
          </w:r>
          <w:r>
            <w:fldChar w:fldCharType="begin"/>
          </w:r>
          <w:r>
            <w:instrText xml:space="preserve"> PAGEREF _Toc16197 \h </w:instrText>
          </w:r>
          <w:r>
            <w:fldChar w:fldCharType="separate"/>
          </w:r>
          <w:r>
            <w:t>78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_Toc11761 </w:instrText>
          </w:r>
          <w:r>
            <w:rPr>
              <w:rFonts w:hint="eastAsia"/>
              <w:highlight w:val="none"/>
              <w:lang w:val="en-US" w:eastAsia="zh-CN"/>
            </w:rPr>
            <w:fldChar w:fldCharType="separate"/>
          </w:r>
          <w:r>
            <w:rPr>
              <w:rFonts w:hint="eastAsia" w:cs="Times New Roman"/>
              <w:bCs/>
              <w:szCs w:val="28"/>
              <w:highlight w:val="none"/>
              <w:lang w:val="en-US" w:eastAsia="zh-CN"/>
            </w:rPr>
            <w:t>8</w:t>
          </w:r>
          <w:r>
            <w:rPr>
              <w:rFonts w:hint="default" w:ascii="Times New Roman" w:hAnsi="Times New Roman" w:cs="Times New Roman"/>
              <w:bCs/>
              <w:szCs w:val="28"/>
              <w:highlight w:val="none"/>
            </w:rPr>
            <w:t>.</w:t>
          </w:r>
          <w:r>
            <w:rPr>
              <w:rFonts w:hint="eastAsia" w:cs="Times New Roman"/>
              <w:bCs/>
              <w:szCs w:val="28"/>
              <w:highlight w:val="none"/>
              <w:lang w:val="en-US" w:eastAsia="zh-CN"/>
            </w:rPr>
            <w:t>5</w:t>
          </w:r>
          <w:r>
            <w:rPr>
              <w:rFonts w:hint="eastAsia" w:cs="Times New Roman"/>
              <w:bCs/>
              <w:szCs w:val="28"/>
              <w:highlight w:val="none"/>
              <w:lang w:eastAsia="zh-CN"/>
            </w:rPr>
            <w:t>废气</w:t>
          </w:r>
          <w:r>
            <w:rPr>
              <w:rFonts w:hint="default" w:ascii="Times New Roman" w:hAnsi="Times New Roman" w:cs="Times New Roman"/>
              <w:bCs/>
              <w:szCs w:val="28"/>
              <w:highlight w:val="none"/>
            </w:rPr>
            <w:t>监测分析过程中的质量保证和质量控制</w:t>
          </w:r>
          <w:r>
            <w:tab/>
          </w:r>
          <w:r>
            <w:fldChar w:fldCharType="begin"/>
          </w:r>
          <w:r>
            <w:instrText xml:space="preserve"> PAGEREF _Toc11761 \h </w:instrText>
          </w:r>
          <w:r>
            <w:fldChar w:fldCharType="separate"/>
          </w:r>
          <w:r>
            <w:t>79</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_Toc16868 </w:instrText>
          </w:r>
          <w:r>
            <w:rPr>
              <w:rFonts w:hint="eastAsia"/>
              <w:highlight w:val="none"/>
              <w:lang w:val="en-US" w:eastAsia="zh-CN"/>
            </w:rPr>
            <w:fldChar w:fldCharType="separate"/>
          </w:r>
          <w:r>
            <w:rPr>
              <w:rFonts w:hint="eastAsia" w:ascii="Times New Roman" w:hAnsi="Times New Roman" w:eastAsia="宋体" w:cs="Times New Roman"/>
              <w:bCs/>
              <w:szCs w:val="28"/>
              <w:highlight w:val="none"/>
              <w:lang w:val="en-US" w:eastAsia="zh-CN"/>
            </w:rPr>
            <w:t>8.6噪声监测分析过程中的质量保证和质量控制</w:t>
          </w:r>
          <w:r>
            <w:tab/>
          </w:r>
          <w:r>
            <w:fldChar w:fldCharType="begin"/>
          </w:r>
          <w:r>
            <w:instrText xml:space="preserve"> PAGEREF _Toc16868 \h </w:instrText>
          </w:r>
          <w:r>
            <w:fldChar w:fldCharType="separate"/>
          </w:r>
          <w:r>
            <w:t>80</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_Toc20629 </w:instrText>
          </w:r>
          <w:r>
            <w:rPr>
              <w:rFonts w:hint="eastAsia"/>
              <w:highlight w:val="none"/>
              <w:lang w:val="en-US" w:eastAsia="zh-CN"/>
            </w:rPr>
            <w:fldChar w:fldCharType="separate"/>
          </w:r>
          <w:r>
            <w:rPr>
              <w:rFonts w:hint="eastAsia" w:ascii="Times New Roman" w:hAnsi="Times New Roman" w:eastAsia="宋体" w:cs="Times New Roman"/>
              <w:bCs/>
              <w:szCs w:val="28"/>
              <w:highlight w:val="none"/>
              <w:lang w:val="en-US" w:eastAsia="zh-CN"/>
            </w:rPr>
            <w:t>8.7</w:t>
          </w:r>
          <w:r>
            <w:rPr>
              <w:rFonts w:hint="eastAsia" w:cs="Times New Roman"/>
              <w:bCs/>
              <w:szCs w:val="28"/>
              <w:highlight w:val="none"/>
              <w:lang w:val="en-US" w:eastAsia="zh-CN"/>
            </w:rPr>
            <w:t>土壤</w:t>
          </w:r>
          <w:r>
            <w:rPr>
              <w:rFonts w:hint="eastAsia" w:ascii="Times New Roman" w:hAnsi="Times New Roman" w:eastAsia="宋体" w:cs="Times New Roman"/>
              <w:bCs/>
              <w:szCs w:val="28"/>
              <w:highlight w:val="none"/>
              <w:lang w:val="en-US" w:eastAsia="zh-CN"/>
            </w:rPr>
            <w:t>监测分析过程中的质量保证和质量控制</w:t>
          </w:r>
          <w:r>
            <w:tab/>
          </w:r>
          <w:r>
            <w:fldChar w:fldCharType="begin"/>
          </w:r>
          <w:r>
            <w:instrText xml:space="preserve"> PAGEREF _Toc20629 \h </w:instrText>
          </w:r>
          <w:r>
            <w:fldChar w:fldCharType="separate"/>
          </w:r>
          <w:r>
            <w:t>80</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_Toc17815 </w:instrText>
          </w:r>
          <w:r>
            <w:rPr>
              <w:rFonts w:hint="eastAsia"/>
              <w:highlight w:val="none"/>
              <w:lang w:val="en-US" w:eastAsia="zh-CN"/>
            </w:rPr>
            <w:fldChar w:fldCharType="separate"/>
          </w:r>
          <w:r>
            <w:rPr>
              <w:rFonts w:hint="eastAsia" w:cs="Times New Roman"/>
              <w:szCs w:val="36"/>
              <w:highlight w:val="none"/>
              <w:lang w:val="en-US" w:eastAsia="zh-CN"/>
            </w:rPr>
            <w:t>九</w:t>
          </w:r>
          <w:r>
            <w:rPr>
              <w:rFonts w:hint="eastAsia" w:ascii="Times New Roman" w:hAnsi="Times New Roman" w:eastAsia="宋体" w:cs="Times New Roman"/>
              <w:szCs w:val="36"/>
              <w:highlight w:val="none"/>
              <w:lang w:val="en-US" w:eastAsia="zh-CN"/>
            </w:rPr>
            <w:t>、监测结果分析与评价</w:t>
          </w:r>
          <w:r>
            <w:tab/>
          </w:r>
          <w:r>
            <w:fldChar w:fldCharType="begin"/>
          </w:r>
          <w:r>
            <w:instrText xml:space="preserve"> PAGEREF _Toc17815 \h </w:instrText>
          </w:r>
          <w:r>
            <w:fldChar w:fldCharType="separate"/>
          </w:r>
          <w:r>
            <w:t>81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_Toc16700 </w:instrText>
          </w:r>
          <w:r>
            <w:rPr>
              <w:rFonts w:hint="eastAsia"/>
              <w:highlight w:val="none"/>
              <w:lang w:val="en-US" w:eastAsia="zh-CN"/>
            </w:rPr>
            <w:fldChar w:fldCharType="separate"/>
          </w:r>
          <w:r>
            <w:rPr>
              <w:rFonts w:hint="eastAsia"/>
              <w:highlight w:val="none"/>
              <w:lang w:val="en-US" w:eastAsia="zh-CN"/>
            </w:rPr>
            <w:t>9</w:t>
          </w:r>
          <w:r>
            <w:rPr>
              <w:rFonts w:hint="eastAsia"/>
              <w:highlight w:val="none"/>
            </w:rPr>
            <w:t>.1验收监测期间运行工况与分析</w:t>
          </w:r>
          <w:r>
            <w:tab/>
          </w:r>
          <w:r>
            <w:fldChar w:fldCharType="begin"/>
          </w:r>
          <w:r>
            <w:instrText xml:space="preserve"> PAGEREF _Toc16700 \h </w:instrText>
          </w:r>
          <w:r>
            <w:fldChar w:fldCharType="separate"/>
          </w:r>
          <w:r>
            <w:t>81</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_Toc17530 </w:instrText>
          </w:r>
          <w:r>
            <w:rPr>
              <w:rFonts w:hint="eastAsia"/>
              <w:highlight w:val="none"/>
              <w:lang w:val="en-US" w:eastAsia="zh-CN"/>
            </w:rPr>
            <w:fldChar w:fldCharType="separate"/>
          </w:r>
          <w:r>
            <w:rPr>
              <w:rFonts w:hint="eastAsia"/>
              <w:highlight w:val="none"/>
              <w:lang w:val="en-US" w:eastAsia="zh-CN"/>
            </w:rPr>
            <w:t>9</w:t>
          </w:r>
          <w:r>
            <w:rPr>
              <w:rFonts w:hint="eastAsia"/>
              <w:highlight w:val="none"/>
              <w:lang w:eastAsia="zh-CN"/>
            </w:rPr>
            <w:t>.</w:t>
          </w:r>
          <w:r>
            <w:rPr>
              <w:rFonts w:hint="eastAsia"/>
              <w:highlight w:val="none"/>
              <w:lang w:val="en-US" w:eastAsia="zh-CN"/>
            </w:rPr>
            <w:t>2</w:t>
          </w:r>
          <w:r>
            <w:rPr>
              <w:rFonts w:hint="eastAsia"/>
              <w:highlight w:val="none"/>
              <w:lang w:eastAsia="zh-CN"/>
            </w:rPr>
            <w:t>监测结果统计与分析</w:t>
          </w:r>
          <w:r>
            <w:tab/>
          </w:r>
          <w:r>
            <w:fldChar w:fldCharType="begin"/>
          </w:r>
          <w:r>
            <w:instrText xml:space="preserve"> PAGEREF _Toc17530 \h </w:instrText>
          </w:r>
          <w:r>
            <w:fldChar w:fldCharType="separate"/>
          </w:r>
          <w:r>
            <w:t>81</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_Toc1452 </w:instrText>
          </w:r>
          <w:r>
            <w:rPr>
              <w:rFonts w:hint="eastAsia"/>
              <w:highlight w:val="none"/>
              <w:lang w:val="en-US" w:eastAsia="zh-CN"/>
            </w:rPr>
            <w:fldChar w:fldCharType="separate"/>
          </w:r>
          <w:r>
            <w:rPr>
              <w:rFonts w:hint="eastAsia" w:cs="Times New Roman"/>
              <w:highlight w:val="none"/>
              <w:lang w:val="en-US" w:eastAsia="zh-CN"/>
            </w:rPr>
            <w:t>十、公众意见调查结果</w:t>
          </w:r>
          <w:r>
            <w:tab/>
          </w:r>
          <w:r>
            <w:fldChar w:fldCharType="begin"/>
          </w:r>
          <w:r>
            <w:instrText xml:space="preserve"> PAGEREF _Toc1452 \h </w:instrText>
          </w:r>
          <w:r>
            <w:fldChar w:fldCharType="separate"/>
          </w:r>
          <w:r>
            <w:t>96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_Toc6408 </w:instrText>
          </w:r>
          <w:r>
            <w:rPr>
              <w:rFonts w:hint="eastAsia"/>
              <w:highlight w:val="none"/>
              <w:lang w:val="en-US" w:eastAsia="zh-CN"/>
            </w:rPr>
            <w:fldChar w:fldCharType="separate"/>
          </w:r>
          <w:r>
            <w:rPr>
              <w:rFonts w:hint="eastAsia"/>
              <w:highlight w:val="none"/>
              <w:lang w:val="en-US" w:eastAsia="zh-CN"/>
            </w:rPr>
            <w:t>10.1环评信息公示过程及公示结果</w:t>
          </w:r>
          <w:r>
            <w:tab/>
          </w:r>
          <w:r>
            <w:fldChar w:fldCharType="begin"/>
          </w:r>
          <w:r>
            <w:instrText xml:space="preserve"> PAGEREF _Toc6408 \h </w:instrText>
          </w:r>
          <w:r>
            <w:fldChar w:fldCharType="separate"/>
          </w:r>
          <w:r>
            <w:t>96</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_Toc29454 </w:instrText>
          </w:r>
          <w:r>
            <w:rPr>
              <w:rFonts w:hint="eastAsia"/>
              <w:highlight w:val="none"/>
              <w:lang w:val="en-US" w:eastAsia="zh-CN"/>
            </w:rPr>
            <w:fldChar w:fldCharType="separate"/>
          </w:r>
          <w:r>
            <w:rPr>
              <w:rFonts w:hint="eastAsia"/>
              <w:highlight w:val="none"/>
              <w:lang w:val="en-US" w:eastAsia="zh-CN"/>
            </w:rPr>
            <w:t>10.2验收信息公示过程及公示结果</w:t>
          </w:r>
          <w:r>
            <w:tab/>
          </w:r>
          <w:r>
            <w:fldChar w:fldCharType="begin"/>
          </w:r>
          <w:r>
            <w:instrText xml:space="preserve"> PAGEREF _Toc29454 \h </w:instrText>
          </w:r>
          <w:r>
            <w:fldChar w:fldCharType="separate"/>
          </w:r>
          <w:r>
            <w:t>96</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_Toc7640 </w:instrText>
          </w:r>
          <w:r>
            <w:rPr>
              <w:rFonts w:hint="eastAsia"/>
              <w:highlight w:val="none"/>
              <w:lang w:val="en-US" w:eastAsia="zh-CN"/>
            </w:rPr>
            <w:fldChar w:fldCharType="separate"/>
          </w:r>
          <w:r>
            <w:rPr>
              <w:rFonts w:hint="eastAsia" w:cs="Times New Roman"/>
              <w:highlight w:val="none"/>
              <w:lang w:val="en-US" w:eastAsia="zh-CN"/>
            </w:rPr>
            <w:t>十一</w:t>
          </w:r>
          <w:r>
            <w:rPr>
              <w:rFonts w:hint="eastAsia" w:ascii="Times New Roman" w:hAnsi="Times New Roman" w:cs="Times New Roman"/>
              <w:highlight w:val="none"/>
              <w:lang w:val="en-US" w:eastAsia="zh-CN"/>
            </w:rPr>
            <w:t>、环境管理检查</w:t>
          </w:r>
          <w:r>
            <w:tab/>
          </w:r>
          <w:r>
            <w:fldChar w:fldCharType="begin"/>
          </w:r>
          <w:r>
            <w:instrText xml:space="preserve"> PAGEREF _Toc7640 \h </w:instrText>
          </w:r>
          <w:r>
            <w:fldChar w:fldCharType="separate"/>
          </w:r>
          <w:r>
            <w:t>98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_Toc21331 </w:instrText>
          </w:r>
          <w:r>
            <w:rPr>
              <w:rFonts w:hint="eastAsia"/>
              <w:highlight w:val="none"/>
              <w:lang w:val="en-US" w:eastAsia="zh-CN"/>
            </w:rPr>
            <w:fldChar w:fldCharType="separate"/>
          </w:r>
          <w:r>
            <w:rPr>
              <w:rFonts w:hint="eastAsia"/>
              <w:highlight w:val="none"/>
              <w:lang w:val="en-US" w:eastAsia="zh-CN"/>
            </w:rPr>
            <w:t>11.1</w:t>
          </w:r>
          <w:r>
            <w:rPr>
              <w:rFonts w:hint="default"/>
              <w:highlight w:val="none"/>
            </w:rPr>
            <w:t>环境保护审批手续及“三同时制度执行情况”</w:t>
          </w:r>
          <w:r>
            <w:tab/>
          </w:r>
          <w:r>
            <w:fldChar w:fldCharType="begin"/>
          </w:r>
          <w:r>
            <w:instrText xml:space="preserve"> PAGEREF _Toc21331 \h </w:instrText>
          </w:r>
          <w:r>
            <w:fldChar w:fldCharType="separate"/>
          </w:r>
          <w:r>
            <w:t>98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_Toc12300 </w:instrText>
          </w:r>
          <w:r>
            <w:rPr>
              <w:rFonts w:hint="eastAsia"/>
              <w:highlight w:val="none"/>
              <w:lang w:val="en-US" w:eastAsia="zh-CN"/>
            </w:rPr>
            <w:fldChar w:fldCharType="separate"/>
          </w:r>
          <w:r>
            <w:rPr>
              <w:rFonts w:hint="eastAsia"/>
              <w:highlight w:val="none"/>
              <w:lang w:val="en-US" w:eastAsia="zh-CN"/>
            </w:rPr>
            <w:t>11.2应急预案和环境风险防范措施的落实情况</w:t>
          </w:r>
          <w:r>
            <w:tab/>
          </w:r>
          <w:r>
            <w:fldChar w:fldCharType="begin"/>
          </w:r>
          <w:r>
            <w:instrText xml:space="preserve"> PAGEREF _Toc12300 \h </w:instrText>
          </w:r>
          <w:r>
            <w:fldChar w:fldCharType="separate"/>
          </w:r>
          <w:r>
            <w:t>98</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_Toc1624 </w:instrText>
          </w:r>
          <w:r>
            <w:rPr>
              <w:rFonts w:hint="eastAsia"/>
              <w:highlight w:val="none"/>
              <w:lang w:val="en-US" w:eastAsia="zh-CN"/>
            </w:rPr>
            <w:fldChar w:fldCharType="separate"/>
          </w:r>
          <w:r>
            <w:rPr>
              <w:rFonts w:hint="eastAsia" w:cs="Times New Roman"/>
              <w:highlight w:val="none"/>
              <w:lang w:val="en-US" w:eastAsia="zh-CN"/>
            </w:rPr>
            <w:t>11</w:t>
          </w:r>
          <w:r>
            <w:rPr>
              <w:rFonts w:hint="eastAsia" w:ascii="Times New Roman" w:hAnsi="Times New Roman" w:cs="Times New Roman"/>
              <w:highlight w:val="none"/>
              <w:lang w:val="en-US" w:eastAsia="zh-CN"/>
            </w:rPr>
            <w:t>.3排污口规范化建设情况</w:t>
          </w:r>
          <w:r>
            <w:tab/>
          </w:r>
          <w:r>
            <w:fldChar w:fldCharType="begin"/>
          </w:r>
          <w:r>
            <w:instrText xml:space="preserve"> PAGEREF _Toc1624 \h </w:instrText>
          </w:r>
          <w:r>
            <w:fldChar w:fldCharType="separate"/>
          </w:r>
          <w:r>
            <w:t>99</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_Toc21055 </w:instrText>
          </w:r>
          <w:r>
            <w:rPr>
              <w:rFonts w:hint="eastAsia"/>
              <w:highlight w:val="none"/>
              <w:lang w:val="en-US" w:eastAsia="zh-CN"/>
            </w:rPr>
            <w:fldChar w:fldCharType="separate"/>
          </w:r>
          <w:r>
            <w:rPr>
              <w:rFonts w:hint="eastAsia" w:cs="Times New Roman"/>
              <w:highlight w:val="none"/>
              <w:lang w:val="en-US" w:eastAsia="zh-CN"/>
            </w:rPr>
            <w:t>11</w:t>
          </w:r>
          <w:r>
            <w:rPr>
              <w:rFonts w:hint="eastAsia" w:ascii="Times New Roman" w:hAnsi="Times New Roman" w:cs="Times New Roman"/>
              <w:highlight w:val="none"/>
              <w:lang w:val="en-US" w:eastAsia="zh-CN"/>
            </w:rPr>
            <w:t>.4固体废物处理处置情况</w:t>
          </w:r>
          <w:r>
            <w:tab/>
          </w:r>
          <w:r>
            <w:fldChar w:fldCharType="begin"/>
          </w:r>
          <w:r>
            <w:instrText xml:space="preserve"> PAGEREF _Toc21055 \h </w:instrText>
          </w:r>
          <w:r>
            <w:fldChar w:fldCharType="separate"/>
          </w:r>
          <w:r>
            <w:t>100</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_Toc1434 </w:instrText>
          </w:r>
          <w:r>
            <w:rPr>
              <w:rFonts w:hint="eastAsia"/>
              <w:highlight w:val="none"/>
              <w:lang w:val="en-US" w:eastAsia="zh-CN"/>
            </w:rPr>
            <w:fldChar w:fldCharType="separate"/>
          </w:r>
          <w:r>
            <w:rPr>
              <w:rFonts w:hint="eastAsia" w:cs="Times New Roman"/>
              <w:highlight w:val="none"/>
              <w:lang w:val="en-US" w:eastAsia="zh-CN"/>
            </w:rPr>
            <w:t>11</w:t>
          </w:r>
          <w:r>
            <w:rPr>
              <w:rFonts w:hint="eastAsia" w:ascii="Times New Roman" w:hAnsi="Times New Roman" w:cs="Times New Roman"/>
              <w:highlight w:val="none"/>
              <w:lang w:val="en-US" w:eastAsia="zh-CN"/>
            </w:rPr>
            <w:t>.5环评批复落实情况</w:t>
          </w:r>
          <w:r>
            <w:tab/>
          </w:r>
          <w:r>
            <w:fldChar w:fldCharType="begin"/>
          </w:r>
          <w:r>
            <w:instrText xml:space="preserve"> PAGEREF _Toc1434 \h </w:instrText>
          </w:r>
          <w:r>
            <w:fldChar w:fldCharType="separate"/>
          </w:r>
          <w:r>
            <w:t>101</w:t>
          </w:r>
          <w:r>
            <w:fldChar w:fldCharType="end"/>
          </w:r>
          <w:r>
            <w:rPr>
              <w:rFonts w:hint="eastAsia"/>
              <w:highlight w:val="none"/>
              <w:lang w:val="en-US" w:eastAsia="zh-CN"/>
            </w:rPr>
            <w:fldChar w:fldCharType="end"/>
          </w:r>
        </w:p>
        <w:p>
          <w:pPr>
            <w:pStyle w:val="17"/>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_Toc23555 </w:instrText>
          </w:r>
          <w:r>
            <w:rPr>
              <w:rFonts w:hint="eastAsia"/>
              <w:highlight w:val="none"/>
              <w:lang w:val="en-US" w:eastAsia="zh-CN"/>
            </w:rPr>
            <w:fldChar w:fldCharType="separate"/>
          </w:r>
          <w:r>
            <w:rPr>
              <w:rFonts w:hint="eastAsia"/>
              <w:highlight w:val="none"/>
              <w:lang w:val="en-US" w:eastAsia="zh-CN"/>
            </w:rPr>
            <w:t>十二、验收监测结论和建议</w:t>
          </w:r>
          <w:r>
            <w:tab/>
          </w:r>
          <w:r>
            <w:fldChar w:fldCharType="begin"/>
          </w:r>
          <w:r>
            <w:instrText xml:space="preserve"> PAGEREF _Toc23555 \h </w:instrText>
          </w:r>
          <w:r>
            <w:fldChar w:fldCharType="separate"/>
          </w:r>
          <w:r>
            <w:t>105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_Toc9801 </w:instrText>
          </w:r>
          <w:r>
            <w:rPr>
              <w:rFonts w:hint="eastAsia"/>
              <w:highlight w:val="none"/>
              <w:lang w:val="en-US" w:eastAsia="zh-CN"/>
            </w:rPr>
            <w:fldChar w:fldCharType="separate"/>
          </w:r>
          <w:r>
            <w:rPr>
              <w:rFonts w:hint="eastAsia"/>
              <w:highlight w:val="none"/>
              <w:lang w:val="en-US" w:eastAsia="zh-CN"/>
            </w:rPr>
            <w:t>12.1验收监测结论</w:t>
          </w:r>
          <w:r>
            <w:tab/>
          </w:r>
          <w:r>
            <w:fldChar w:fldCharType="begin"/>
          </w:r>
          <w:r>
            <w:instrText xml:space="preserve"> PAGEREF _Toc9801 \h </w:instrText>
          </w:r>
          <w:r>
            <w:fldChar w:fldCharType="separate"/>
          </w:r>
          <w:r>
            <w:t>105</w:t>
          </w:r>
          <w:r>
            <w:fldChar w:fldCharType="end"/>
          </w:r>
          <w:r>
            <w:rPr>
              <w:rFonts w:hint="eastAsia"/>
              <w:highlight w:val="none"/>
              <w:lang w:val="en-US" w:eastAsia="zh-CN"/>
            </w:rPr>
            <w:fldChar w:fldCharType="end"/>
          </w:r>
        </w:p>
        <w:p>
          <w:pPr>
            <w:pStyle w:val="19"/>
            <w:tabs>
              <w:tab w:val="right" w:leader="dot" w:pos="8306"/>
            </w:tabs>
          </w:pPr>
          <w:r>
            <w:rPr>
              <w:rFonts w:hint="eastAsia"/>
              <w:highlight w:val="none"/>
              <w:lang w:val="en-US" w:eastAsia="zh-CN"/>
            </w:rPr>
            <w:fldChar w:fldCharType="begin"/>
          </w:r>
          <w:r>
            <w:rPr>
              <w:rFonts w:hint="eastAsia"/>
              <w:highlight w:val="none"/>
              <w:lang w:val="en-US" w:eastAsia="zh-CN"/>
            </w:rPr>
            <w:instrText xml:space="preserve"> HYPERLINK \l _Toc16938 </w:instrText>
          </w:r>
          <w:r>
            <w:rPr>
              <w:rFonts w:hint="eastAsia"/>
              <w:highlight w:val="none"/>
              <w:lang w:val="en-US" w:eastAsia="zh-CN"/>
            </w:rPr>
            <w:fldChar w:fldCharType="separate"/>
          </w:r>
          <w:r>
            <w:rPr>
              <w:rFonts w:hint="default" w:ascii="Times New Roman" w:hAnsi="Times New Roman" w:eastAsia="宋体" w:cs="Times New Roman"/>
              <w:highlight w:val="none"/>
              <w:lang w:val="en-US" w:eastAsia="zh-CN"/>
            </w:rPr>
            <w:t>1</w:t>
          </w:r>
          <w:r>
            <w:rPr>
              <w:rFonts w:hint="eastAsia" w:cs="Times New Roman"/>
              <w:highlight w:val="none"/>
              <w:lang w:val="en-US" w:eastAsia="zh-CN"/>
            </w:rPr>
            <w:t>2</w:t>
          </w:r>
          <w:r>
            <w:rPr>
              <w:rFonts w:hint="default" w:ascii="Times New Roman" w:hAnsi="Times New Roman" w:eastAsia="宋体" w:cs="Times New Roman"/>
              <w:highlight w:val="none"/>
              <w:lang w:val="en-US" w:eastAsia="zh-CN"/>
            </w:rPr>
            <w:t>.2建议</w:t>
          </w:r>
          <w:r>
            <w:tab/>
          </w:r>
          <w:r>
            <w:fldChar w:fldCharType="begin"/>
          </w:r>
          <w:r>
            <w:instrText xml:space="preserve"> PAGEREF _Toc16938 \h </w:instrText>
          </w:r>
          <w:r>
            <w:fldChar w:fldCharType="separate"/>
          </w:r>
          <w:r>
            <w:t>106</w:t>
          </w:r>
          <w:r>
            <w:fldChar w:fldCharType="end"/>
          </w:r>
          <w:r>
            <w:rPr>
              <w:rFonts w:hint="eastAsia"/>
              <w:highlight w:val="none"/>
              <w:lang w:val="en-US" w:eastAsia="zh-CN"/>
            </w:rPr>
            <w:fldChar w:fldCharType="end"/>
          </w:r>
        </w:p>
        <w:p>
          <w:pPr>
            <w:pStyle w:val="8"/>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default" w:ascii="Times New Roman" w:hAnsi="Times New Roman" w:eastAsia="宋体" w:cs="Times New Roman"/>
              <w:b w:val="0"/>
              <w:bCs w:val="0"/>
              <w:highlight w:val="none"/>
              <w:lang w:val="en-US" w:eastAsia="zh-CN"/>
            </w:rPr>
          </w:pPr>
          <w:r>
            <w:rPr>
              <w:rFonts w:hint="eastAsia"/>
              <w:highlight w:val="none"/>
              <w:lang w:val="en-US" w:eastAsia="zh-CN"/>
            </w:rPr>
            <w:fldChar w:fldCharType="end"/>
          </w:r>
          <w:r>
            <w:rPr>
              <w:rFonts w:hint="default" w:ascii="Times New Roman" w:hAnsi="Times New Roman" w:eastAsia="宋体" w:cs="Times New Roman"/>
              <w:b w:val="0"/>
              <w:bCs w:val="0"/>
              <w:highlight w:val="none"/>
              <w:lang w:val="en-US" w:eastAsia="zh-CN"/>
            </w:rPr>
            <w:t>附图1：项目地理位置</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附图2：平面布置图</w:t>
          </w:r>
        </w:p>
        <w:p>
          <w:pPr>
            <w:pStyle w:val="8"/>
            <w:keepNext w:val="0"/>
            <w:keepLines w:val="0"/>
            <w:pageBreakBefore w:val="0"/>
            <w:widowControl w:val="0"/>
            <w:kinsoku/>
            <w:wordWrap/>
            <w:overflowPunct/>
            <w:topLinePunct w:val="0"/>
            <w:autoSpaceDE/>
            <w:autoSpaceDN/>
            <w:bidi w:val="0"/>
            <w:adjustRightInd/>
            <w:snapToGrid/>
            <w:spacing w:after="0"/>
            <w:ind w:left="720" w:hanging="720" w:hangingChars="30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附件1：安徽省环保厅关于申能安徽平山电厂二期工程环境影响报告书审批意见的函</w:t>
          </w:r>
        </w:p>
        <w:p>
          <w:pPr>
            <w:pStyle w:val="8"/>
            <w:keepNext w:val="0"/>
            <w:keepLines w:val="0"/>
            <w:pageBreakBefore w:val="0"/>
            <w:widowControl w:val="0"/>
            <w:kinsoku/>
            <w:wordWrap/>
            <w:overflowPunct/>
            <w:topLinePunct w:val="0"/>
            <w:autoSpaceDE/>
            <w:autoSpaceDN/>
            <w:bidi w:val="0"/>
            <w:adjustRightInd/>
            <w:snapToGrid/>
            <w:spacing w:after="0"/>
            <w:ind w:left="720" w:hanging="720" w:hangingChars="30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附件2：安徽省环保厅关于淮北平山电厂二期扩建1350MW机组项目主要污染物总量指标的函</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附件3：关于对申能安徽平山电厂二期工程项目规划选址的审核意见</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附件4：关于平山电厂二期工程环境影响评价执行标准的确认函</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附件5：粉煤灰处置协议</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附件6：脱硫石膏处置协议</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附件7：危废委托处理合同</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附件8：排污许可证</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eastAsia" w:cs="Times New Roman"/>
              <w:b w:val="0"/>
              <w:bCs w:val="0"/>
              <w:color w:val="auto"/>
              <w:kern w:val="2"/>
              <w:sz w:val="24"/>
              <w:szCs w:val="24"/>
              <w:highlight w:val="none"/>
              <w:lang w:val="en-US" w:eastAsia="zh-CN" w:bidi="ar-SA"/>
            </w:rPr>
          </w:pPr>
          <w:r>
            <w:rPr>
              <w:rFonts w:hint="default" w:ascii="Times New Roman" w:hAnsi="Times New Roman" w:eastAsia="宋体" w:cs="Times New Roman"/>
              <w:b w:val="0"/>
              <w:bCs w:val="0"/>
              <w:color w:val="auto"/>
              <w:kern w:val="2"/>
              <w:sz w:val="24"/>
              <w:szCs w:val="24"/>
              <w:highlight w:val="none"/>
              <w:lang w:val="en-US" w:eastAsia="zh-CN" w:bidi="ar-SA"/>
            </w:rPr>
            <w:t>附件</w:t>
          </w:r>
          <w:r>
            <w:rPr>
              <w:rFonts w:hint="eastAsia" w:ascii="Times New Roman" w:hAnsi="Times New Roman" w:eastAsia="宋体" w:cs="Times New Roman"/>
              <w:b w:val="0"/>
              <w:bCs w:val="0"/>
              <w:color w:val="auto"/>
              <w:kern w:val="2"/>
              <w:sz w:val="24"/>
              <w:szCs w:val="24"/>
              <w:highlight w:val="none"/>
              <w:lang w:val="en-US" w:eastAsia="zh-CN" w:bidi="ar-SA"/>
            </w:rPr>
            <w:t>9</w:t>
          </w:r>
          <w:r>
            <w:rPr>
              <w:rFonts w:hint="default" w:ascii="Times New Roman" w:hAnsi="Times New Roman" w:eastAsia="宋体" w:cs="Times New Roman"/>
              <w:b w:val="0"/>
              <w:bCs w:val="0"/>
              <w:color w:val="auto"/>
              <w:kern w:val="2"/>
              <w:sz w:val="24"/>
              <w:szCs w:val="24"/>
              <w:highlight w:val="none"/>
              <w:lang w:val="en-US" w:eastAsia="zh-CN" w:bidi="ar-SA"/>
            </w:rPr>
            <w:t>：</w:t>
          </w:r>
          <w:r>
            <w:rPr>
              <w:rFonts w:hint="eastAsia" w:cs="Times New Roman"/>
              <w:b w:val="0"/>
              <w:bCs w:val="0"/>
              <w:color w:val="auto"/>
              <w:kern w:val="2"/>
              <w:sz w:val="24"/>
              <w:szCs w:val="24"/>
              <w:highlight w:val="none"/>
              <w:lang w:val="en-US" w:eastAsia="zh-CN" w:bidi="ar-SA"/>
            </w:rPr>
            <w:t>工况说明</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eastAsia" w:ascii="Times New Roman" w:hAnsi="Times New Roman" w:eastAsia="宋体" w:cs="Times New Roman"/>
              <w:color w:val="auto"/>
              <w:sz w:val="24"/>
              <w:szCs w:val="24"/>
              <w:lang w:val="en-US" w:eastAsia="zh-CN"/>
            </w:rPr>
          </w:pPr>
          <w:r>
            <w:rPr>
              <w:rFonts w:hint="eastAsia" w:cs="Times New Roman"/>
              <w:b w:val="0"/>
              <w:bCs w:val="0"/>
              <w:color w:val="auto"/>
              <w:kern w:val="2"/>
              <w:sz w:val="24"/>
              <w:szCs w:val="24"/>
              <w:highlight w:val="none"/>
              <w:lang w:val="en-US" w:eastAsia="zh-CN" w:bidi="ar-SA"/>
            </w:rPr>
            <w:t>附件10：</w:t>
          </w:r>
          <w:r>
            <w:rPr>
              <w:rFonts w:hint="eastAsia" w:ascii="Times New Roman" w:hAnsi="Times New Roman" w:eastAsia="宋体" w:cs="Times New Roman"/>
              <w:color w:val="auto"/>
              <w:sz w:val="24"/>
              <w:szCs w:val="24"/>
              <w:lang w:val="en-US" w:eastAsia="zh-CN"/>
            </w:rPr>
            <w:t>突发环境事件应急预案备案登记表</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附件11：淮北申能发电有限公司申能安徽平山电厂二期工程项目脱硫、脱硝、除尘设施竣工环境保护验收意见</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附件1</w:t>
          </w:r>
          <w:r>
            <w:rPr>
              <w:rFonts w:hint="eastAsia" w:cs="Times New Roman"/>
              <w:color w:val="auto"/>
              <w:sz w:val="24"/>
              <w:szCs w:val="24"/>
              <w:lang w:val="en-US" w:eastAsia="zh-CN"/>
            </w:rPr>
            <w:t>2</w:t>
          </w:r>
          <w:r>
            <w:rPr>
              <w:rFonts w:hint="eastAsia" w:ascii="Times New Roman" w:hAnsi="Times New Roman" w:eastAsia="宋体" w:cs="Times New Roman"/>
              <w:color w:val="auto"/>
              <w:sz w:val="24"/>
              <w:szCs w:val="24"/>
              <w:lang w:val="en-US" w:eastAsia="zh-CN"/>
            </w:rPr>
            <w:t>：</w:t>
          </w:r>
          <w:r>
            <w:rPr>
              <w:rFonts w:hint="default" w:ascii="Times New Roman" w:hAnsi="Times New Roman" w:eastAsia="宋体" w:cs="Times New Roman"/>
              <w:color w:val="auto"/>
              <w:sz w:val="24"/>
              <w:szCs w:val="24"/>
              <w:lang w:val="en-US" w:eastAsia="zh-CN"/>
            </w:rPr>
            <w:t>#3机组污染源自动监测设备验收备案表</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default" w:ascii="Times New Roman" w:hAnsi="Times New Roman" w:eastAsia="宋体" w:cs="Times New Roman"/>
              <w:b w:val="0"/>
              <w:bCs w:val="0"/>
              <w:kern w:val="2"/>
              <w:sz w:val="24"/>
              <w:szCs w:val="24"/>
              <w:highlight w:val="none"/>
              <w:lang w:val="en-US" w:eastAsia="zh-CN" w:bidi="ar-SA"/>
            </w:rPr>
            <w:t>附件</w:t>
          </w:r>
          <w:r>
            <w:rPr>
              <w:rFonts w:hint="eastAsia" w:cs="Times New Roman"/>
              <w:b w:val="0"/>
              <w:bCs w:val="0"/>
              <w:kern w:val="2"/>
              <w:sz w:val="24"/>
              <w:szCs w:val="24"/>
              <w:highlight w:val="none"/>
              <w:lang w:val="en-US" w:eastAsia="zh-CN" w:bidi="ar-SA"/>
            </w:rPr>
            <w:t>13</w:t>
          </w:r>
          <w:r>
            <w:rPr>
              <w:rFonts w:hint="default" w:ascii="Times New Roman" w:hAnsi="Times New Roman" w:eastAsia="宋体" w:cs="Times New Roman"/>
              <w:b w:val="0"/>
              <w:bCs w:val="0"/>
              <w:kern w:val="2"/>
              <w:sz w:val="24"/>
              <w:szCs w:val="24"/>
              <w:highlight w:val="none"/>
              <w:lang w:val="en-US" w:eastAsia="zh-CN" w:bidi="ar-SA"/>
            </w:rPr>
            <w:t>：入炉煤质分析报告</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default" w:ascii="Times New Roman" w:hAnsi="Times New Roman" w:eastAsia="宋体" w:cs="Times New Roman"/>
              <w:b w:val="0"/>
              <w:bCs w:val="0"/>
              <w:kern w:val="2"/>
              <w:sz w:val="24"/>
              <w:szCs w:val="24"/>
              <w:highlight w:val="none"/>
              <w:lang w:val="en-US" w:eastAsia="zh-CN" w:bidi="ar-SA"/>
            </w:rPr>
          </w:pPr>
          <w:r>
            <w:rPr>
              <w:rFonts w:hint="eastAsia" w:cs="Times New Roman"/>
              <w:b w:val="0"/>
              <w:bCs w:val="0"/>
              <w:kern w:val="2"/>
              <w:sz w:val="24"/>
              <w:szCs w:val="24"/>
              <w:highlight w:val="none"/>
              <w:lang w:val="en-US" w:eastAsia="zh-CN" w:bidi="ar-SA"/>
            </w:rPr>
            <w:t>附件14：检测报告</w:t>
          </w:r>
        </w:p>
        <w:p>
          <w:pPr>
            <w:pStyle w:val="8"/>
            <w:keepNext w:val="0"/>
            <w:keepLines w:val="0"/>
            <w:pageBreakBefore w:val="0"/>
            <w:widowControl w:val="0"/>
            <w:kinsoku/>
            <w:wordWrap/>
            <w:overflowPunct/>
            <w:topLinePunct w:val="0"/>
            <w:autoSpaceDE/>
            <w:autoSpaceDN/>
            <w:bidi w:val="0"/>
            <w:adjustRightInd/>
            <w:snapToGrid/>
            <w:spacing w:after="0"/>
            <w:ind w:left="0" w:firstLine="0" w:firstLineChars="0"/>
            <w:textAlignment w:val="auto"/>
            <w:rPr>
              <w:rFonts w:hint="eastAsia"/>
              <w:highlight w:val="red"/>
              <w:lang w:val="en-US" w:eastAsia="zh-CN"/>
            </w:rPr>
            <w:sectPr>
              <w:headerReference r:id="rId5" w:type="default"/>
              <w:pgSz w:w="11906" w:h="16838"/>
              <w:pgMar w:top="1440" w:right="1800" w:bottom="1440" w:left="1800" w:header="1077" w:footer="992" w:gutter="0"/>
              <w:pgBorders>
                <w:top w:val="none" w:sz="0" w:space="0"/>
                <w:left w:val="none" w:sz="0" w:space="0"/>
                <w:bottom w:val="none" w:sz="0" w:space="0"/>
                <w:right w:val="none" w:sz="0" w:space="0"/>
              </w:pgBorders>
              <w:cols w:space="425" w:num="1"/>
              <w:docGrid w:type="lines" w:linePitch="312" w:charSpace="0"/>
            </w:sectPr>
          </w:pPr>
        </w:p>
      </w:sdtContent>
    </w:sdt>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default" w:ascii="Times New Roman" w:hAnsi="Times New Roman" w:cs="Times New Roman"/>
          <w:color w:val="auto"/>
          <w:sz w:val="36"/>
          <w:szCs w:val="36"/>
          <w:highlight w:val="none"/>
          <w:lang w:eastAsia="zh-CN"/>
        </w:rPr>
      </w:pPr>
      <w:bookmarkStart w:id="0" w:name="_Toc18110"/>
      <w:bookmarkStart w:id="1" w:name="_Toc23270"/>
      <w:r>
        <w:rPr>
          <w:rFonts w:hint="default" w:ascii="Times New Roman" w:hAnsi="Times New Roman" w:cs="Times New Roman"/>
          <w:color w:val="auto"/>
          <w:sz w:val="36"/>
          <w:szCs w:val="36"/>
          <w:highlight w:val="none"/>
          <w:lang w:eastAsia="zh-CN"/>
        </w:rPr>
        <w:t>一、</w:t>
      </w:r>
      <w:bookmarkEnd w:id="0"/>
      <w:r>
        <w:rPr>
          <w:rFonts w:hint="default" w:ascii="Times New Roman" w:hAnsi="Times New Roman" w:cs="Times New Roman"/>
          <w:color w:val="auto"/>
          <w:sz w:val="36"/>
          <w:szCs w:val="36"/>
          <w:highlight w:val="none"/>
          <w:lang w:eastAsia="zh-CN"/>
        </w:rPr>
        <w:t>项目概况</w:t>
      </w:r>
      <w:bookmarkEnd w:id="1"/>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red"/>
          <w:lang w:val="en-US" w:eastAsia="zh-CN"/>
        </w:rPr>
      </w:pPr>
      <w:bookmarkStart w:id="2" w:name="_Toc18331"/>
      <w:r>
        <w:rPr>
          <w:rFonts w:hint="eastAsia" w:ascii="Times New Roman" w:hAnsi="Times New Roman" w:eastAsia="宋体" w:cs="Times New Roman"/>
          <w:color w:val="auto"/>
          <w:highlight w:val="none"/>
          <w:lang w:val="en-US" w:eastAsia="zh-CN"/>
        </w:rPr>
        <w:t>1.1项目由来</w:t>
      </w:r>
      <w:bookmarkEnd w:id="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淮北申能发电有限公司申能安徽平山电厂位于淮北市区南面的淮北市经济开发区内，厂区位于安徽省淮北市烈山区古饶镇的平山村和况楼村，距淮北市区约17km，距濉溪县城约12km。平山电厂一期工程已建设2×660MW超超临界燃煤发电机组，其中#1号机于2016年1月投产发电，#2号机2016年5月投产发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rPr>
      </w:pPr>
      <w:r>
        <w:rPr>
          <w:rFonts w:hint="default" w:ascii="Times New Roman" w:hAnsi="Times New Roman" w:eastAsia="宋体" w:cs="Times New Roman"/>
          <w:sz w:val="24"/>
          <w:szCs w:val="24"/>
        </w:rPr>
        <w:t>申能安徽平山电厂二期工程</w:t>
      </w:r>
      <w:r>
        <w:rPr>
          <w:rFonts w:hint="default" w:ascii="Times New Roman" w:hAnsi="Times New Roman" w:eastAsia="宋体" w:cs="Times New Roman"/>
          <w:sz w:val="24"/>
          <w:szCs w:val="24"/>
          <w:highlight w:val="none"/>
          <w:lang w:val="en-US" w:eastAsia="zh-CN"/>
        </w:rPr>
        <w:t>（简称</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本期工程</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rPr>
        <w:t>作为长三角一体化重点能源项目，是申能集团积极参与沪皖合作项目、推动长三角一体化建设的重要战略部署。该项目获得国家能源局及行业内专家及学者的高度关注，于2015年12月31日被国家能源局批准为</w:t>
      </w:r>
      <w:r>
        <w:rPr>
          <w:rFonts w:hint="eastAsia" w:cs="Times New Roman"/>
          <w:sz w:val="24"/>
          <w:szCs w:val="24"/>
          <w:lang w:eastAsia="zh-CN"/>
        </w:rPr>
        <w:t>“</w:t>
      </w:r>
      <w:r>
        <w:rPr>
          <w:rFonts w:hint="default" w:ascii="Times New Roman" w:hAnsi="Times New Roman" w:eastAsia="宋体" w:cs="Times New Roman"/>
          <w:sz w:val="24"/>
          <w:szCs w:val="24"/>
        </w:rPr>
        <w:t>国家示范工程</w:t>
      </w:r>
      <w:r>
        <w:rPr>
          <w:rFonts w:hint="eastAsia" w:cs="Times New Roman"/>
          <w:sz w:val="24"/>
          <w:szCs w:val="24"/>
          <w:lang w:eastAsia="zh-CN"/>
        </w:rPr>
        <w:t>”</w:t>
      </w:r>
      <w:r>
        <w:rPr>
          <w:rFonts w:hint="default" w:ascii="Times New Roman" w:hAnsi="Times New Roman" w:eastAsia="宋体" w:cs="Times New Roman"/>
          <w:sz w:val="24"/>
          <w:szCs w:val="24"/>
        </w:rPr>
        <w:t>。该工程在国际上首创高低位布置方式的双轴二次中间再热发电机组，同时采用申能集团旗下申能科技公司一系列具有自主知识产权及专利的节能减排创新技术，致力于建设成为当今全球单机容量最大（1350MW)、设计供电煤耗最低（251g/kWh）的机组。建成后，将促进我国火力发电产业升级成为新的增长点，为世界提供洁净煤电机组发电净效率达到最高值的中国案例，为践行“双碳”战略、节能环保和能源安全作出积极贡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sz w:val="24"/>
          <w:szCs w:val="24"/>
          <w:highlight w:val="red"/>
          <w:lang w:val="en-US" w:eastAsia="zh-CN"/>
        </w:rPr>
      </w:pPr>
      <w:r>
        <w:rPr>
          <w:rFonts w:hint="default" w:ascii="Times New Roman" w:hAnsi="Times New Roman" w:eastAsia="宋体" w:cs="Times New Roman"/>
          <w:sz w:val="24"/>
          <w:szCs w:val="24"/>
        </w:rPr>
        <w:t>申能安徽平山电厂二期工程采用了汽轮机固体颗粒侵蚀的综合防治技术、中压给水加热器及其疏水系统优化技术以及蒸汽加热启动、弹性回热、广义回热、烟气余热利用、中温省煤器及广义变频等18项发明及实用新型专利，机组设计煤耗为251g/kwh，较目前国内超超临界机组煤耗282g/kwh降低31g/kwh；较目前国内最先进的二次再热百万千瓦机组煤耗266.18g/kwh降低15.18g/kwh，可大幅提高能源的利用水平，较常规百万机组平均每年可节省标煤近10万吨，将成为全球最节能的火电机组，对推进火电技术创新，实现</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碳达峰、碳中和</w:t>
      </w:r>
      <w:r>
        <w:rPr>
          <w:rFonts w:hint="eastAsia" w:ascii="Times New Roman" w:hAnsi="Times New Roman" w:eastAsia="宋体" w:cs="Times New Roman"/>
          <w:sz w:val="24"/>
          <w:szCs w:val="24"/>
          <w:lang w:eastAsia="zh-CN"/>
        </w:rPr>
        <w:t>”</w:t>
      </w:r>
      <w:r>
        <w:rPr>
          <w:rFonts w:hint="default" w:ascii="Times New Roman" w:hAnsi="Times New Roman" w:eastAsia="宋体" w:cs="Times New Roman"/>
          <w:sz w:val="24"/>
          <w:szCs w:val="24"/>
        </w:rPr>
        <w:t>目标，引领电力绿色低碳发展具有很好的示范作用。</w:t>
      </w:r>
      <w:r>
        <w:rPr>
          <w:rFonts w:hint="default" w:ascii="Times New Roman" w:hAnsi="Times New Roman" w:eastAsia="宋体" w:cs="Times New Roman"/>
          <w:sz w:val="24"/>
          <w:szCs w:val="24"/>
          <w:highlight w:val="none"/>
          <w:lang w:val="en-US" w:eastAsia="zh-CN"/>
        </w:rPr>
        <w:t>本期工程为平山电厂扩建项目，在一期工程预留的场地上扩建1×1350MW高效超超临界二次再热燃煤发电机组，并同步配套建设烟气脱硝、除尘、脱硫等环保设施。</w:t>
      </w:r>
    </w:p>
    <w:p>
      <w:pPr>
        <w:keepNext w:val="0"/>
        <w:keepLines w:val="0"/>
        <w:pageBreakBefore w:val="0"/>
        <w:widowControl w:val="0"/>
        <w:tabs>
          <w:tab w:val="left" w:pos="1755"/>
        </w:tabs>
        <w:kinsoku/>
        <w:wordWrap/>
        <w:overflowPunct/>
        <w:topLinePunct w:val="0"/>
        <w:autoSpaceDE/>
        <w:autoSpaceDN/>
        <w:bidi w:val="0"/>
        <w:adjustRightInd/>
        <w:snapToGrid/>
        <w:spacing w:line="360" w:lineRule="auto"/>
        <w:ind w:firstLine="540"/>
        <w:textAlignment w:val="auto"/>
        <w:rPr>
          <w:rFonts w:hint="default" w:ascii="Times New Roman" w:hAnsi="Times New Roman" w:eastAsia="宋体" w:cs="Times New Roman"/>
          <w:sz w:val="24"/>
          <w:szCs w:val="24"/>
          <w:highlight w:val="red"/>
          <w:lang w:val="en-US" w:eastAsia="zh-CN"/>
        </w:rPr>
      </w:pPr>
      <w:r>
        <w:rPr>
          <w:rFonts w:hint="default" w:ascii="Times New Roman" w:hAnsi="Times New Roman" w:eastAsia="宋体" w:cs="Times New Roman"/>
          <w:sz w:val="24"/>
          <w:szCs w:val="24"/>
          <w:highlight w:val="none"/>
          <w:lang w:val="en-US" w:eastAsia="zh-CN"/>
        </w:rPr>
        <w:t>申能股份有限公司投资部于2015年10月8日委托华东电力设计院有限公司承担该项目的环境影响评价工作。2016年11月华东电力设计院有限公司编制完成《申能安徽平山电厂二期工程环境影响报告书》并上报安徽省生态环境厅（原安徽省环境保护厅），2016年12月6日，安徽省生态环境厅（原安徽省环境保护厅）（皖环函[2016]1338号）对</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申能安徽平山电厂二期工程环境影响报告</w:t>
      </w:r>
      <w:bookmarkStart w:id="3" w:name="_Toc342682874"/>
      <w:bookmarkStart w:id="4" w:name="_Toc342683140"/>
      <w:r>
        <w:rPr>
          <w:rFonts w:hint="default" w:ascii="Times New Roman" w:hAnsi="Times New Roman" w:eastAsia="宋体" w:cs="Times New Roman"/>
          <w:sz w:val="24"/>
          <w:szCs w:val="24"/>
          <w:highlight w:val="none"/>
          <w:lang w:val="en-US" w:eastAsia="zh-CN"/>
        </w:rPr>
        <w:t>书</w:t>
      </w:r>
      <w:bookmarkEnd w:id="3"/>
      <w:bookmarkEnd w:id="4"/>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进行批复。</w:t>
      </w:r>
      <w:r>
        <w:rPr>
          <w:rFonts w:hint="eastAsia" w:cs="Times New Roman"/>
          <w:color w:val="auto"/>
          <w:spacing w:val="-6"/>
          <w:sz w:val="24"/>
          <w:szCs w:val="24"/>
          <w:highlight w:val="none"/>
          <w:lang w:eastAsia="zh-CN"/>
        </w:rPr>
        <w:t>本工程</w:t>
      </w:r>
      <w:r>
        <w:rPr>
          <w:rFonts w:hint="default" w:ascii="Times New Roman" w:hAnsi="Times New Roman" w:cs="Times New Roman"/>
          <w:color w:val="auto"/>
          <w:spacing w:val="-6"/>
          <w:sz w:val="24"/>
          <w:szCs w:val="24"/>
          <w:highlight w:val="none"/>
        </w:rPr>
        <w:t>于201</w:t>
      </w:r>
      <w:r>
        <w:rPr>
          <w:rFonts w:hint="eastAsia" w:ascii="Times New Roman" w:hAnsi="Times New Roman" w:cs="Times New Roman"/>
          <w:color w:val="auto"/>
          <w:spacing w:val="-6"/>
          <w:sz w:val="24"/>
          <w:szCs w:val="24"/>
          <w:highlight w:val="none"/>
          <w:lang w:val="en-US" w:eastAsia="zh-CN"/>
        </w:rPr>
        <w:t>8</w:t>
      </w:r>
      <w:r>
        <w:rPr>
          <w:rFonts w:hint="default" w:ascii="Times New Roman" w:hAnsi="Times New Roman" w:cs="Times New Roman"/>
          <w:color w:val="auto"/>
          <w:spacing w:val="-6"/>
          <w:sz w:val="24"/>
          <w:szCs w:val="24"/>
          <w:highlight w:val="none"/>
        </w:rPr>
        <w:t>年</w:t>
      </w:r>
      <w:r>
        <w:rPr>
          <w:rFonts w:hint="eastAsia" w:cs="Times New Roman"/>
          <w:color w:val="auto"/>
          <w:spacing w:val="-6"/>
          <w:sz w:val="24"/>
          <w:szCs w:val="24"/>
          <w:highlight w:val="none"/>
          <w:lang w:val="en-US" w:eastAsia="zh-CN"/>
        </w:rPr>
        <w:t>7</w:t>
      </w:r>
      <w:r>
        <w:rPr>
          <w:rFonts w:hint="default" w:ascii="Times New Roman" w:hAnsi="Times New Roman" w:cs="Times New Roman"/>
          <w:color w:val="auto"/>
          <w:spacing w:val="-6"/>
          <w:sz w:val="24"/>
          <w:szCs w:val="24"/>
          <w:highlight w:val="none"/>
        </w:rPr>
        <w:t>月开工建设，2020年11月30日</w:t>
      </w:r>
      <w:r>
        <w:rPr>
          <w:rFonts w:hint="eastAsia" w:cs="Times New Roman"/>
          <w:color w:val="auto"/>
          <w:spacing w:val="-6"/>
          <w:sz w:val="24"/>
          <w:szCs w:val="24"/>
          <w:highlight w:val="none"/>
          <w:lang w:val="en-US" w:eastAsia="zh-CN"/>
        </w:rPr>
        <w:t>取得排污许可证，证书编号：91340600MA2NH5LCXY001P，2021年4月竣工，</w:t>
      </w:r>
      <w:r>
        <w:rPr>
          <w:rFonts w:hint="default" w:ascii="Times New Roman" w:hAnsi="Times New Roman" w:cs="Times New Roman"/>
          <w:color w:val="auto"/>
          <w:spacing w:val="-6"/>
          <w:sz w:val="24"/>
          <w:szCs w:val="24"/>
          <w:highlight w:val="none"/>
        </w:rPr>
        <w:t>20</w:t>
      </w:r>
      <w:r>
        <w:rPr>
          <w:rFonts w:hint="eastAsia" w:cs="Times New Roman"/>
          <w:color w:val="auto"/>
          <w:spacing w:val="-6"/>
          <w:sz w:val="24"/>
          <w:szCs w:val="24"/>
          <w:highlight w:val="none"/>
          <w:lang w:val="en-US" w:eastAsia="zh-CN"/>
        </w:rPr>
        <w:t>21</w:t>
      </w:r>
      <w:r>
        <w:rPr>
          <w:rFonts w:hint="default" w:ascii="Times New Roman" w:hAnsi="Times New Roman" w:cs="Times New Roman"/>
          <w:color w:val="auto"/>
          <w:spacing w:val="-6"/>
          <w:sz w:val="24"/>
          <w:szCs w:val="24"/>
          <w:highlight w:val="none"/>
        </w:rPr>
        <w:t>年</w:t>
      </w:r>
      <w:r>
        <w:rPr>
          <w:rFonts w:hint="eastAsia" w:cs="Times New Roman"/>
          <w:color w:val="auto"/>
          <w:spacing w:val="-6"/>
          <w:sz w:val="24"/>
          <w:szCs w:val="24"/>
          <w:highlight w:val="none"/>
          <w:lang w:val="en-US" w:eastAsia="zh-CN"/>
        </w:rPr>
        <w:t>6</w:t>
      </w:r>
      <w:r>
        <w:rPr>
          <w:rFonts w:hint="default" w:ascii="Times New Roman" w:hAnsi="Times New Roman" w:cs="Times New Roman"/>
          <w:color w:val="auto"/>
          <w:spacing w:val="-6"/>
          <w:sz w:val="24"/>
          <w:szCs w:val="24"/>
          <w:highlight w:val="none"/>
        </w:rPr>
        <w:t>月该项目</w:t>
      </w:r>
      <w:r>
        <w:rPr>
          <w:rFonts w:hint="eastAsia" w:cs="Times New Roman"/>
          <w:color w:val="auto"/>
          <w:spacing w:val="-6"/>
          <w:sz w:val="24"/>
          <w:szCs w:val="24"/>
          <w:highlight w:val="none"/>
          <w:lang w:eastAsia="zh-CN"/>
        </w:rPr>
        <w:t>进入试运行</w:t>
      </w:r>
      <w:r>
        <w:rPr>
          <w:rFonts w:hint="default" w:ascii="Times New Roman" w:hAnsi="Times New Roman" w:cs="Times New Roman"/>
          <w:color w:val="auto"/>
          <w:spacing w:val="-6"/>
          <w:sz w:val="24"/>
          <w:szCs w:val="24"/>
          <w:highlight w:val="none"/>
        </w:rPr>
        <w:t>。于20</w:t>
      </w:r>
      <w:r>
        <w:rPr>
          <w:rFonts w:hint="default" w:ascii="Times New Roman" w:hAnsi="Times New Roman" w:cs="Times New Roman"/>
          <w:color w:val="auto"/>
          <w:spacing w:val="-6"/>
          <w:sz w:val="24"/>
          <w:szCs w:val="24"/>
          <w:highlight w:val="none"/>
          <w:lang w:val="en-US" w:eastAsia="zh-CN"/>
        </w:rPr>
        <w:t>21</w:t>
      </w:r>
      <w:r>
        <w:rPr>
          <w:rFonts w:hint="default" w:ascii="Times New Roman" w:hAnsi="Times New Roman" w:cs="Times New Roman"/>
          <w:color w:val="auto"/>
          <w:spacing w:val="-6"/>
          <w:sz w:val="24"/>
          <w:szCs w:val="24"/>
          <w:highlight w:val="none"/>
        </w:rPr>
        <w:t>年</w:t>
      </w:r>
      <w:r>
        <w:rPr>
          <w:rFonts w:hint="default" w:ascii="Times New Roman" w:hAnsi="Times New Roman" w:cs="Times New Roman"/>
          <w:color w:val="auto"/>
          <w:spacing w:val="-6"/>
          <w:sz w:val="24"/>
          <w:szCs w:val="24"/>
          <w:highlight w:val="none"/>
          <w:lang w:val="en-US" w:eastAsia="zh-CN"/>
        </w:rPr>
        <w:t>06</w:t>
      </w:r>
      <w:r>
        <w:rPr>
          <w:rFonts w:hint="default" w:ascii="Times New Roman" w:hAnsi="Times New Roman" w:cs="Times New Roman"/>
          <w:color w:val="auto"/>
          <w:spacing w:val="-6"/>
          <w:sz w:val="24"/>
          <w:szCs w:val="24"/>
          <w:highlight w:val="none"/>
        </w:rPr>
        <w:t>月</w:t>
      </w:r>
      <w:r>
        <w:rPr>
          <w:rFonts w:hint="default" w:ascii="Times New Roman" w:hAnsi="Times New Roman" w:cs="Times New Roman"/>
          <w:color w:val="auto"/>
          <w:spacing w:val="-6"/>
          <w:sz w:val="24"/>
          <w:szCs w:val="24"/>
          <w:highlight w:val="none"/>
          <w:lang w:val="en-US" w:eastAsia="zh-CN"/>
        </w:rPr>
        <w:t>10</w:t>
      </w:r>
      <w:r>
        <w:rPr>
          <w:rFonts w:hint="default" w:ascii="Times New Roman" w:hAnsi="Times New Roman" w:cs="Times New Roman"/>
          <w:color w:val="auto"/>
          <w:spacing w:val="-6"/>
          <w:sz w:val="24"/>
          <w:szCs w:val="24"/>
          <w:highlight w:val="none"/>
        </w:rPr>
        <w:t>日下午</w:t>
      </w:r>
      <w:r>
        <w:rPr>
          <w:rFonts w:hint="default" w:ascii="Times New Roman" w:hAnsi="Times New Roman" w:cs="Times New Roman"/>
          <w:color w:val="auto"/>
          <w:spacing w:val="-6"/>
          <w:sz w:val="24"/>
          <w:szCs w:val="24"/>
          <w:highlight w:val="none"/>
          <w:lang w:val="en-US" w:eastAsia="zh-CN"/>
        </w:rPr>
        <w:t>7</w:t>
      </w:r>
      <w:r>
        <w:rPr>
          <w:rFonts w:hint="default" w:ascii="Times New Roman" w:hAnsi="Times New Roman" w:cs="Times New Roman"/>
          <w:color w:val="auto"/>
          <w:spacing w:val="-6"/>
          <w:sz w:val="24"/>
          <w:szCs w:val="24"/>
          <w:highlight w:val="none"/>
        </w:rPr>
        <w:t>点</w:t>
      </w:r>
      <w:r>
        <w:rPr>
          <w:rFonts w:hint="default" w:ascii="Times New Roman" w:hAnsi="Times New Roman" w:cs="Times New Roman"/>
          <w:color w:val="auto"/>
          <w:spacing w:val="-6"/>
          <w:sz w:val="24"/>
          <w:szCs w:val="24"/>
          <w:highlight w:val="none"/>
          <w:lang w:val="en-US" w:eastAsia="zh-CN"/>
        </w:rPr>
        <w:t>55分</w:t>
      </w:r>
      <w:r>
        <w:rPr>
          <w:rFonts w:hint="default" w:ascii="Times New Roman" w:hAnsi="Times New Roman" w:cs="Times New Roman"/>
          <w:color w:val="auto"/>
          <w:spacing w:val="-6"/>
          <w:sz w:val="24"/>
          <w:szCs w:val="24"/>
          <w:highlight w:val="none"/>
        </w:rPr>
        <w:t>机组通过</w:t>
      </w:r>
      <w:r>
        <w:rPr>
          <w:rFonts w:hint="eastAsia" w:cs="Times New Roman"/>
          <w:color w:val="auto"/>
          <w:spacing w:val="-6"/>
          <w:sz w:val="24"/>
          <w:szCs w:val="24"/>
          <w:highlight w:val="none"/>
          <w:lang w:eastAsia="zh-CN"/>
        </w:rPr>
        <w:t>“</w:t>
      </w:r>
      <w:r>
        <w:rPr>
          <w:rFonts w:hint="default" w:ascii="Times New Roman" w:hAnsi="Times New Roman" w:cs="Times New Roman"/>
          <w:color w:val="auto"/>
          <w:spacing w:val="-6"/>
          <w:sz w:val="24"/>
          <w:szCs w:val="24"/>
          <w:highlight w:val="none"/>
        </w:rPr>
        <w:t>168h</w:t>
      </w:r>
      <w:r>
        <w:rPr>
          <w:rFonts w:hint="eastAsia" w:cs="Times New Roman"/>
          <w:color w:val="auto"/>
          <w:spacing w:val="-6"/>
          <w:sz w:val="24"/>
          <w:szCs w:val="24"/>
          <w:highlight w:val="none"/>
          <w:lang w:eastAsia="zh-CN"/>
        </w:rPr>
        <w:t>”</w:t>
      </w:r>
      <w:r>
        <w:rPr>
          <w:rFonts w:hint="default" w:ascii="Times New Roman" w:hAnsi="Times New Roman" w:cs="Times New Roman"/>
          <w:color w:val="auto"/>
          <w:spacing w:val="-6"/>
          <w:sz w:val="24"/>
          <w:szCs w:val="24"/>
          <w:highlight w:val="none"/>
        </w:rPr>
        <w:t>试运行</w:t>
      </w:r>
      <w:r>
        <w:rPr>
          <w:rFonts w:hint="eastAsia" w:cs="Times New Roman"/>
          <w:color w:val="auto"/>
          <w:spacing w:val="-6"/>
          <w:sz w:val="24"/>
          <w:szCs w:val="24"/>
          <w:highlight w:val="none"/>
          <w:lang w:eastAsia="zh-CN"/>
        </w:rPr>
        <w:t>。</w:t>
      </w:r>
      <w:r>
        <w:rPr>
          <w:rFonts w:hint="eastAsia" w:cs="Times New Roman"/>
          <w:color w:val="auto"/>
          <w:spacing w:val="-6"/>
          <w:sz w:val="24"/>
          <w:szCs w:val="24"/>
          <w:highlight w:val="none"/>
          <w:lang w:val="en-US" w:eastAsia="zh-CN"/>
        </w:rPr>
        <w:t>2021年6月11日通过本</w:t>
      </w:r>
      <w:r>
        <w:rPr>
          <w:rFonts w:hint="eastAsia" w:ascii="Times New Roman" w:hAnsi="Times New Roman" w:eastAsia="宋体" w:cs="Times New Roman"/>
          <w:sz w:val="24"/>
          <w:szCs w:val="24"/>
          <w:highlight w:val="none"/>
          <w:lang w:val="en-US" w:eastAsia="zh-CN"/>
        </w:rPr>
        <w:t>期工程项目脱硫、脱硝、除尘环保设施竣工环境保护</w:t>
      </w:r>
      <w:r>
        <w:rPr>
          <w:rFonts w:hint="eastAsia" w:cs="Times New Roman"/>
          <w:sz w:val="24"/>
          <w:szCs w:val="24"/>
          <w:highlight w:val="none"/>
          <w:lang w:val="en-US" w:eastAsia="zh-CN"/>
        </w:rPr>
        <w:t>专项</w:t>
      </w:r>
      <w:r>
        <w:rPr>
          <w:rFonts w:hint="eastAsia" w:ascii="Times New Roman" w:hAnsi="Times New Roman" w:eastAsia="宋体" w:cs="Times New Roman"/>
          <w:sz w:val="24"/>
          <w:szCs w:val="24"/>
          <w:highlight w:val="none"/>
          <w:lang w:val="en-US" w:eastAsia="zh-CN"/>
        </w:rPr>
        <w:t>验收监测</w:t>
      </w:r>
      <w:r>
        <w:rPr>
          <w:rFonts w:hint="eastAsia" w:cs="Times New Roman"/>
          <w:sz w:val="24"/>
          <w:szCs w:val="24"/>
          <w:highlight w:val="none"/>
          <w:lang w:val="en-US" w:eastAsia="zh-CN"/>
        </w:rPr>
        <w:t>。</w:t>
      </w:r>
    </w:p>
    <w:p>
      <w:pPr>
        <w:keepNext w:val="0"/>
        <w:keepLines w:val="0"/>
        <w:pageBreakBefore w:val="0"/>
        <w:widowControl w:val="0"/>
        <w:tabs>
          <w:tab w:val="left" w:pos="1755"/>
        </w:tabs>
        <w:kinsoku/>
        <w:wordWrap/>
        <w:overflowPunct/>
        <w:topLinePunct w:val="0"/>
        <w:autoSpaceDE/>
        <w:autoSpaceDN/>
        <w:bidi w:val="0"/>
        <w:adjustRightInd/>
        <w:snapToGrid/>
        <w:spacing w:line="360" w:lineRule="auto"/>
        <w:ind w:firstLine="540"/>
        <w:textAlignment w:val="auto"/>
        <w:rPr>
          <w:rFonts w:hint="default"/>
          <w:highlight w:val="none"/>
          <w:lang w:eastAsia="zh-CN"/>
        </w:rPr>
      </w:pPr>
      <w:r>
        <w:rPr>
          <w:rFonts w:hint="default" w:ascii="Times New Roman" w:hAnsi="Times New Roman" w:eastAsia="宋体" w:cs="Times New Roman"/>
          <w:color w:val="auto"/>
          <w:sz w:val="24"/>
          <w:szCs w:val="24"/>
          <w:highlight w:val="none"/>
        </w:rPr>
        <w:t>根据</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建设项目竣工环境保护验收技术规范火力发电厂</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（HJ/T255-2006）</w:t>
      </w:r>
      <w:r>
        <w:rPr>
          <w:rFonts w:hint="eastAsia" w:cs="Times New Roman"/>
          <w:color w:val="auto"/>
          <w:sz w:val="24"/>
          <w:szCs w:val="24"/>
          <w:highlight w:val="none"/>
          <w:lang w:eastAsia="zh-CN"/>
        </w:rPr>
        <w:t>。</w:t>
      </w:r>
      <w:r>
        <w:rPr>
          <w:rFonts w:hint="default" w:ascii="Times New Roman" w:hAnsi="Times New Roman" w:eastAsia="宋体" w:cs="Times New Roman"/>
          <w:sz w:val="24"/>
          <w:szCs w:val="24"/>
          <w:highlight w:val="none"/>
          <w:lang w:val="en-US" w:eastAsia="zh-CN"/>
        </w:rPr>
        <w:t>淮北申能发电有限公司于202</w:t>
      </w:r>
      <w:r>
        <w:rPr>
          <w:rFonts w:hint="eastAsia" w:cs="Times New Roman"/>
          <w:sz w:val="24"/>
          <w:szCs w:val="24"/>
          <w:highlight w:val="none"/>
          <w:lang w:val="en-US" w:eastAsia="zh-CN"/>
        </w:rPr>
        <w:t>2</w:t>
      </w:r>
      <w:r>
        <w:rPr>
          <w:rFonts w:hint="default" w:ascii="Times New Roman" w:hAnsi="Times New Roman" w:eastAsia="宋体" w:cs="Times New Roman"/>
          <w:sz w:val="24"/>
          <w:szCs w:val="24"/>
          <w:highlight w:val="none"/>
          <w:lang w:val="en-US" w:eastAsia="zh-CN"/>
        </w:rPr>
        <w:t>年</w:t>
      </w:r>
      <w:r>
        <w:rPr>
          <w:rFonts w:hint="eastAsia" w:cs="Times New Roman"/>
          <w:sz w:val="24"/>
          <w:szCs w:val="24"/>
          <w:highlight w:val="none"/>
          <w:lang w:val="en-US" w:eastAsia="zh-CN"/>
        </w:rPr>
        <w:t>8</w:t>
      </w:r>
      <w:r>
        <w:rPr>
          <w:rFonts w:hint="default" w:ascii="Times New Roman" w:hAnsi="Times New Roman" w:eastAsia="宋体" w:cs="Times New Roman"/>
          <w:sz w:val="24"/>
          <w:szCs w:val="24"/>
          <w:highlight w:val="none"/>
          <w:lang w:val="en-US" w:eastAsia="zh-CN"/>
        </w:rPr>
        <w:t>月委托安徽工和环境监测有限责任公司对</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申能安徽平山电厂二期工程</w:t>
      </w:r>
      <w:r>
        <w:rPr>
          <w:rFonts w:hint="eastAsia" w:ascii="Times New Roman" w:hAnsi="Times New Roman" w:eastAsia="宋体" w:cs="Times New Roman"/>
          <w:sz w:val="24"/>
          <w:szCs w:val="24"/>
          <w:highlight w:val="none"/>
          <w:lang w:val="en-US" w:eastAsia="zh-CN"/>
        </w:rPr>
        <w:t>”</w:t>
      </w:r>
      <w:r>
        <w:rPr>
          <w:rFonts w:hint="default" w:ascii="Times New Roman" w:hAnsi="Times New Roman" w:eastAsia="宋体" w:cs="Times New Roman"/>
          <w:sz w:val="24"/>
          <w:szCs w:val="24"/>
          <w:highlight w:val="none"/>
          <w:lang w:val="en-US" w:eastAsia="zh-CN"/>
        </w:rPr>
        <w:t>开展竣工环境保护验收工作。</w:t>
      </w:r>
      <w:r>
        <w:rPr>
          <w:rFonts w:hint="eastAsia" w:cs="Times New Roman"/>
          <w:sz w:val="24"/>
          <w:szCs w:val="24"/>
          <w:highlight w:val="none"/>
          <w:lang w:val="en-US" w:eastAsia="zh-CN"/>
        </w:rPr>
        <w:t>2022年8月，</w:t>
      </w:r>
      <w:r>
        <w:rPr>
          <w:rFonts w:hint="default" w:ascii="Times New Roman" w:hAnsi="Times New Roman" w:eastAsia="宋体" w:cs="Times New Roman"/>
          <w:sz w:val="24"/>
          <w:szCs w:val="24"/>
          <w:highlight w:val="none"/>
          <w:lang w:val="en-US" w:eastAsia="zh-CN"/>
        </w:rPr>
        <w:t>安徽工和环境监测有限责任公司组织技术人员对建设项目进行了现场踏勘并认真收集、分析了建设项目主体工程和</w:t>
      </w:r>
      <w:r>
        <w:rPr>
          <w:rFonts w:hint="eastAsia" w:cs="Times New Roman"/>
          <w:sz w:val="24"/>
          <w:szCs w:val="24"/>
          <w:highlight w:val="none"/>
          <w:lang w:val="en-US" w:eastAsia="zh-CN"/>
        </w:rPr>
        <w:t>配套设施</w:t>
      </w:r>
      <w:r>
        <w:rPr>
          <w:rFonts w:hint="default" w:ascii="Times New Roman" w:hAnsi="Times New Roman" w:eastAsia="宋体" w:cs="Times New Roman"/>
          <w:sz w:val="24"/>
          <w:szCs w:val="24"/>
          <w:highlight w:val="none"/>
          <w:lang w:val="en-US" w:eastAsia="zh-CN"/>
        </w:rPr>
        <w:t>的有关资料，据此编制了</w:t>
      </w:r>
      <w:r>
        <w:rPr>
          <w:rFonts w:hint="eastAsia" w:ascii="Times New Roman" w:hAnsi="Times New Roman" w:eastAsia="宋体" w:cs="Times New Roman"/>
          <w:sz w:val="24"/>
          <w:szCs w:val="24"/>
          <w:highlight w:val="none"/>
          <w:lang w:val="en-US" w:eastAsia="zh-CN"/>
        </w:rPr>
        <w:t>《淮北申能发电有限公司申能安徽平山电厂二期工程项目竣工环境保护验收监测方案》</w:t>
      </w:r>
      <w:r>
        <w:rPr>
          <w:rFonts w:hint="default" w:ascii="Times New Roman" w:hAnsi="Times New Roman" w:eastAsia="宋体" w:cs="Times New Roman"/>
          <w:highlight w:val="none"/>
        </w:rPr>
        <w:t>。</w:t>
      </w:r>
      <w:r>
        <w:rPr>
          <w:rFonts w:hint="default" w:ascii="Times New Roman" w:hAnsi="Times New Roman" w:eastAsia="宋体" w:cs="Times New Roman"/>
          <w:color w:val="auto"/>
          <w:sz w:val="24"/>
          <w:szCs w:val="24"/>
          <w:highlight w:val="none"/>
        </w:rPr>
        <w:t>明确了验收监测</w:t>
      </w:r>
      <w:r>
        <w:rPr>
          <w:rFonts w:hint="eastAsia" w:ascii="Times New Roman" w:hAnsi="Times New Roman" w:eastAsia="宋体" w:cs="Times New Roman"/>
          <w:color w:val="auto"/>
          <w:sz w:val="24"/>
          <w:szCs w:val="24"/>
          <w:highlight w:val="none"/>
          <w:lang w:val="en-US" w:eastAsia="zh-CN"/>
        </w:rPr>
        <w:t>工作范围与</w:t>
      </w:r>
      <w:r>
        <w:rPr>
          <w:rFonts w:hint="default" w:ascii="Times New Roman" w:hAnsi="Times New Roman" w:eastAsia="宋体" w:cs="Times New Roman"/>
          <w:color w:val="auto"/>
          <w:sz w:val="24"/>
          <w:szCs w:val="24"/>
          <w:highlight w:val="none"/>
        </w:rPr>
        <w:t>工作内容。</w:t>
      </w:r>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default" w:ascii="Times New Roman" w:hAnsi="Times New Roman" w:eastAsia="宋体" w:cs="Times New Roman"/>
          <w:color w:val="auto"/>
          <w:sz w:val="24"/>
          <w:szCs w:val="24"/>
          <w:highlight w:val="none"/>
        </w:rPr>
      </w:pPr>
      <w:r>
        <w:rPr>
          <w:rFonts w:hint="eastAsia" w:ascii="Times New Roman" w:hAnsi="Times New Roman" w:eastAsia="宋体" w:cs="Times New Roman"/>
          <w:color w:val="auto"/>
          <w:sz w:val="24"/>
          <w:szCs w:val="24"/>
          <w:highlight w:val="none"/>
          <w:lang w:val="en-US" w:eastAsia="zh-CN"/>
        </w:rPr>
        <w:t>202</w:t>
      </w:r>
      <w:r>
        <w:rPr>
          <w:rFonts w:hint="eastAsia"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w:t>
      </w:r>
      <w:r>
        <w:rPr>
          <w:rFonts w:hint="default" w:ascii="Times New Roman" w:hAnsi="Times New Roman" w:eastAsia="Times New Roman" w:cs="Times New Roman"/>
          <w:color w:val="auto"/>
          <w:sz w:val="24"/>
          <w:szCs w:val="24"/>
          <w:highlight w:val="none"/>
        </w:rPr>
        <w:t>~</w:t>
      </w:r>
      <w:r>
        <w:rPr>
          <w:rFonts w:hint="eastAsia" w:cs="Times New Roman"/>
          <w:color w:val="auto"/>
          <w:sz w:val="24"/>
          <w:szCs w:val="24"/>
          <w:highlight w:val="none"/>
          <w:lang w:val="en-US" w:eastAsia="zh-CN"/>
        </w:rPr>
        <w:t>19</w:t>
      </w:r>
      <w:r>
        <w:rPr>
          <w:rFonts w:hint="default" w:ascii="Times New Roman" w:hAnsi="Times New Roman" w:eastAsia="宋体" w:cs="Times New Roman"/>
          <w:color w:val="auto"/>
          <w:sz w:val="24"/>
          <w:szCs w:val="24"/>
          <w:highlight w:val="none"/>
        </w:rPr>
        <w:t>日，安徽工和环境监测有限责任公司对该项目进行了现场监测，根据监测结果及环境管理检查情况编制了本验收报告。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outlineLvl w:val="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本次</w:t>
      </w:r>
      <w:r>
        <w:rPr>
          <w:rFonts w:hint="eastAsia" w:ascii="宋体" w:hAnsi="宋体" w:eastAsia="宋体" w:cs="宋体"/>
          <w:color w:val="auto"/>
          <w:sz w:val="24"/>
          <w:highlight w:val="none"/>
        </w:rPr>
        <w:t>竣工环境保护验收</w:t>
      </w:r>
      <w:r>
        <w:rPr>
          <w:rFonts w:hint="default" w:ascii="Times New Roman" w:hAnsi="Times New Roman" w:cs="Times New Roman"/>
          <w:color w:val="auto"/>
          <w:sz w:val="24"/>
          <w:highlight w:val="none"/>
        </w:rPr>
        <w:t>工作分为启动、现场检查、编制监测方案、实施监测和核查、编制监测报告五个阶段，具体工作程序见图1-1。</w:t>
      </w:r>
    </w:p>
    <w:p>
      <w:pPr>
        <w:pStyle w:val="8"/>
        <w:keepNext w:val="0"/>
        <w:keepLines w:val="0"/>
        <w:pageBreakBefore w:val="0"/>
        <w:widowControl w:val="0"/>
        <w:kinsoku/>
        <w:wordWrap/>
        <w:overflowPunct/>
        <w:topLinePunct w:val="0"/>
        <w:autoSpaceDE/>
        <w:autoSpaceDN/>
        <w:bidi w:val="0"/>
        <w:adjustRightInd/>
        <w:snapToGrid/>
        <w:spacing w:after="0"/>
        <w:ind w:firstLine="0" w:firstLineChars="0"/>
        <w:textAlignment w:val="auto"/>
      </w:pPr>
      <w:r>
        <w:drawing>
          <wp:inline distT="0" distB="0" distL="114300" distR="114300">
            <wp:extent cx="5224145" cy="4572635"/>
            <wp:effectExtent l="9525" t="9525" r="11430" b="1524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5224145" cy="4572635"/>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default"/>
        </w:rPr>
      </w:pPr>
      <w:r>
        <w:rPr>
          <w:rFonts w:hint="eastAsia" w:ascii="黑体" w:hAnsi="黑体" w:eastAsia="黑体" w:cs="黑体"/>
          <w:b w:val="0"/>
          <w:bCs/>
          <w:color w:val="auto"/>
          <w:sz w:val="21"/>
          <w:szCs w:val="21"/>
          <w:highlight w:val="none"/>
        </w:rPr>
        <w:t>图1-1建设项目竣工环境保护验收程序流程</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5" w:name="_Toc26492"/>
      <w:bookmarkStart w:id="6" w:name="_Toc9050"/>
      <w:bookmarkStart w:id="7" w:name="_Toc23214"/>
      <w:r>
        <w:rPr>
          <w:rFonts w:hint="eastAsia" w:ascii="Times New Roman" w:hAnsi="Times New Roman" w:eastAsia="宋体" w:cs="Times New Roman"/>
          <w:color w:val="auto"/>
          <w:highlight w:val="none"/>
          <w:lang w:val="en-US" w:eastAsia="zh-CN"/>
        </w:rPr>
        <w:t>1.2验收监测的目的</w:t>
      </w:r>
      <w:bookmarkEnd w:id="5"/>
      <w:bookmarkEnd w:id="6"/>
      <w:bookmarkEnd w:id="7"/>
    </w:p>
    <w:p>
      <w:pPr>
        <w:bidi w:val="0"/>
        <w:rPr>
          <w:rFonts w:hint="eastAsia"/>
          <w:highlight w:val="none"/>
        </w:rPr>
      </w:pPr>
      <w:r>
        <w:rPr>
          <w:rFonts w:hint="eastAsia"/>
          <w:highlight w:val="none"/>
        </w:rPr>
        <w:t>本次验收监测是对</w:t>
      </w:r>
      <w:r>
        <w:rPr>
          <w:rFonts w:hint="eastAsia" w:ascii="Times New Roman" w:hAnsi="Times New Roman" w:eastAsia="宋体" w:cs="Times New Roman"/>
          <w:sz w:val="24"/>
          <w:szCs w:val="24"/>
          <w:highlight w:val="none"/>
          <w:lang w:val="en-US" w:eastAsia="zh-CN"/>
        </w:rPr>
        <w:t>淮北申能发电有限公司申能安徽平山电厂二期工程项目</w:t>
      </w:r>
      <w:r>
        <w:rPr>
          <w:rFonts w:hint="eastAsia" w:cs="Times New Roman"/>
          <w:sz w:val="24"/>
          <w:szCs w:val="24"/>
          <w:highlight w:val="none"/>
          <w:lang w:val="en-US" w:eastAsia="zh-CN"/>
        </w:rPr>
        <w:t>主体工程和配套设施</w:t>
      </w:r>
      <w:r>
        <w:rPr>
          <w:rFonts w:hint="eastAsia"/>
          <w:highlight w:val="none"/>
        </w:rPr>
        <w:t>的建设、运行和管理情况进行全面考核，对</w:t>
      </w:r>
      <w:r>
        <w:rPr>
          <w:rFonts w:hint="eastAsia"/>
          <w:highlight w:val="none"/>
          <w:lang w:val="en-US" w:eastAsia="zh-CN"/>
        </w:rPr>
        <w:t>污染物处理设施的治理效果</w:t>
      </w:r>
      <w:r>
        <w:rPr>
          <w:rFonts w:hint="eastAsia"/>
          <w:highlight w:val="none"/>
        </w:rPr>
        <w:t>进行现场监测，以检查是否达到设计能力和预期效果，并评价</w:t>
      </w:r>
      <w:r>
        <w:rPr>
          <w:rFonts w:hint="eastAsia"/>
          <w:highlight w:val="none"/>
          <w:lang w:val="en-US" w:eastAsia="zh-CN"/>
        </w:rPr>
        <w:t>污染物</w:t>
      </w:r>
      <w:r>
        <w:rPr>
          <w:rFonts w:hint="eastAsia"/>
          <w:highlight w:val="none"/>
        </w:rPr>
        <w:t>排放是否符合设计要求和国家标准。</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8" w:name="_Toc17450"/>
      <w:bookmarkStart w:id="9" w:name="_Toc8118"/>
      <w:bookmarkStart w:id="10" w:name="_Toc17525"/>
      <w:r>
        <w:rPr>
          <w:rFonts w:hint="eastAsia" w:ascii="Times New Roman" w:hAnsi="Times New Roman" w:eastAsia="宋体" w:cs="Times New Roman"/>
          <w:color w:val="auto"/>
          <w:highlight w:val="none"/>
          <w:lang w:val="en-US" w:eastAsia="zh-CN"/>
        </w:rPr>
        <w:t>1.3监测工作范围及内容</w:t>
      </w:r>
      <w:bookmarkEnd w:id="8"/>
      <w:bookmarkEnd w:id="9"/>
      <w:bookmarkEnd w:id="10"/>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default" w:ascii="Times New Roman" w:hAnsi="Times New Roman" w:eastAsia="宋体" w:cs="Times New Roman"/>
          <w:color w:val="auto"/>
          <w:sz w:val="24"/>
          <w:szCs w:val="24"/>
          <w:highlight w:val="none"/>
          <w:lang w:val="en-US"/>
        </w:rPr>
      </w:pPr>
      <w:r>
        <w:rPr>
          <w:rFonts w:hint="eastAsia" w:ascii="Times New Roman" w:hAnsi="Times New Roman" w:cs="Times New Roman"/>
          <w:sz w:val="24"/>
          <w:highlight w:val="none"/>
          <w:lang w:val="en-US" w:eastAsia="zh-CN"/>
        </w:rPr>
        <w:t>本次监测工作范围及内容主要为淮北申能发电有限公司申能安徽平山电厂二期工程项目</w:t>
      </w:r>
      <w:r>
        <w:rPr>
          <w:rFonts w:hint="eastAsia" w:cs="Times New Roman"/>
          <w:sz w:val="24"/>
          <w:highlight w:val="none"/>
          <w:lang w:val="en-US" w:eastAsia="zh-CN"/>
        </w:rPr>
        <w:t>主体工程和相关配套设施。</w:t>
      </w:r>
    </w:p>
    <w:p>
      <w:pPr>
        <w:rPr>
          <w:rFonts w:hint="default" w:ascii="Times New Roman" w:hAnsi="Times New Roman" w:cs="Times New Roman"/>
          <w:b/>
          <w:color w:val="auto"/>
          <w:highlight w:val="none"/>
          <w:lang w:eastAsia="zh-CN"/>
        </w:rPr>
      </w:pPr>
      <w:bookmarkStart w:id="11" w:name="_Toc25240"/>
      <w:r>
        <w:rPr>
          <w:rFonts w:hint="default" w:ascii="Times New Roman" w:hAnsi="Times New Roman" w:cs="Times New Roman"/>
          <w:b/>
          <w:color w:val="auto"/>
          <w:highlight w:val="none"/>
          <w:lang w:eastAsia="zh-CN"/>
        </w:rPr>
        <w:br w:type="page"/>
      </w: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default" w:ascii="Times New Roman" w:hAnsi="Times New Roman" w:cs="Times New Roman"/>
          <w:b/>
          <w:color w:val="auto"/>
          <w:highlight w:val="none"/>
          <w:lang w:eastAsia="zh-CN"/>
        </w:rPr>
      </w:pPr>
      <w:bookmarkStart w:id="12" w:name="_Toc13904"/>
      <w:r>
        <w:rPr>
          <w:rFonts w:hint="default" w:ascii="Times New Roman" w:hAnsi="Times New Roman" w:eastAsia="宋体" w:cs="Times New Roman"/>
          <w:color w:val="auto"/>
          <w:sz w:val="36"/>
          <w:szCs w:val="36"/>
          <w:highlight w:val="none"/>
          <w:lang w:eastAsia="zh-CN"/>
        </w:rPr>
        <w:t>二、验收监测依据</w:t>
      </w:r>
      <w:bookmarkEnd w:id="11"/>
      <w:bookmarkEnd w:id="12"/>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13" w:name="_Toc23904"/>
      <w:bookmarkStart w:id="14" w:name="_Toc16066"/>
      <w:bookmarkStart w:id="15" w:name="_Toc6339"/>
      <w:bookmarkStart w:id="16" w:name="_Toc10680"/>
      <w:bookmarkStart w:id="17" w:name="_Toc19115"/>
      <w:r>
        <w:rPr>
          <w:rFonts w:hint="default" w:ascii="Times New Roman" w:hAnsi="Times New Roman" w:eastAsia="宋体" w:cs="Times New Roman"/>
          <w:color w:val="auto"/>
          <w:highlight w:val="none"/>
          <w:lang w:val="en-US" w:eastAsia="zh-CN"/>
        </w:rPr>
        <w:t>2.1</w:t>
      </w:r>
      <w:bookmarkEnd w:id="13"/>
      <w:bookmarkEnd w:id="14"/>
      <w:r>
        <w:rPr>
          <w:rFonts w:hint="eastAsia" w:ascii="Times New Roman" w:hAnsi="Times New Roman" w:eastAsia="宋体" w:cs="Times New Roman"/>
          <w:color w:val="auto"/>
          <w:highlight w:val="none"/>
          <w:lang w:val="en-US" w:eastAsia="zh-CN"/>
        </w:rPr>
        <w:t>建设项目环境保护相关法律、法规和规章制度</w:t>
      </w:r>
      <w:bookmarkEnd w:id="15"/>
      <w:bookmarkEnd w:id="16"/>
      <w:bookmarkEnd w:id="17"/>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（1）《中华人民共和国环境保护法》（2015.1.1）；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（2）《中华人民共和国噪声污染防治法》（</w:t>
      </w:r>
      <w:r>
        <w:rPr>
          <w:rFonts w:hint="eastAsia" w:ascii="Times New Roman" w:hAnsi="Times New Roman" w:cs="Times New Roman"/>
          <w:color w:val="auto"/>
          <w:sz w:val="24"/>
          <w:highlight w:val="none"/>
          <w:lang w:val="en-US" w:eastAsia="zh-CN"/>
        </w:rPr>
        <w:t>20</w:t>
      </w:r>
      <w:r>
        <w:rPr>
          <w:rFonts w:hint="eastAsia" w:cs="Times New Roman"/>
          <w:color w:val="auto"/>
          <w:sz w:val="24"/>
          <w:highlight w:val="none"/>
          <w:lang w:val="en-US" w:eastAsia="zh-CN"/>
        </w:rPr>
        <w:t>22</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6</w:t>
      </w:r>
      <w:r>
        <w:rPr>
          <w:rFonts w:hint="default" w:ascii="Times New Roman" w:hAnsi="Times New Roman" w:cs="Times New Roman"/>
          <w:color w:val="auto"/>
          <w:sz w:val="24"/>
          <w:highlight w:val="none"/>
        </w:rPr>
        <w:t>.</w:t>
      </w:r>
      <w:r>
        <w:rPr>
          <w:rFonts w:hint="eastAsia" w:cs="Times New Roman"/>
          <w:color w:val="auto"/>
          <w:sz w:val="24"/>
          <w:highlight w:val="none"/>
          <w:lang w:val="en-US" w:eastAsia="zh-CN"/>
        </w:rPr>
        <w:t>5</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（3）《中华人民共和国大气污染防治法》（201</w:t>
      </w:r>
      <w:r>
        <w:rPr>
          <w:rFonts w:hint="eastAsia"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0</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26</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（4）《中华人民共和国清洁生产促进法》（201</w:t>
      </w: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.7.1）；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（5）《中华人民共和国环境影响评价法》（</w:t>
      </w:r>
      <w:r>
        <w:rPr>
          <w:rFonts w:hint="eastAsia" w:ascii="Times New Roman" w:hAnsi="Times New Roman" w:cs="Times New Roman"/>
          <w:color w:val="auto"/>
          <w:sz w:val="24"/>
          <w:highlight w:val="none"/>
          <w:lang w:val="en-US" w:eastAsia="zh-CN"/>
        </w:rPr>
        <w:t>2018</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12</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29</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（6）《中华人民共和国固体废物污染环境防治法》（</w:t>
      </w:r>
      <w:r>
        <w:rPr>
          <w:rFonts w:hint="eastAsia" w:ascii="Times New Roman" w:hAnsi="Times New Roman" w:cs="Times New Roman"/>
          <w:color w:val="auto"/>
          <w:sz w:val="24"/>
          <w:highlight w:val="none"/>
          <w:lang w:val="en-US" w:eastAsia="zh-CN"/>
        </w:rPr>
        <w:t>2020.9.1</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（7）《中华人民共和国水污染防治法》（2018.1.1）；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）《国务院关于印发大气污染防治行动计划的通知》（国务院，国发[2013]37号，2013.9.2）；</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9</w:t>
      </w:r>
      <w:r>
        <w:rPr>
          <w:rFonts w:hint="default" w:ascii="Times New Roman" w:hAnsi="Times New Roman" w:cs="Times New Roman"/>
          <w:color w:val="auto"/>
          <w:sz w:val="24"/>
          <w:highlight w:val="none"/>
        </w:rPr>
        <w:t>）《国务院关于印发水污染防治行动计划的通知》（国务院，国发[2015]17号，2015.4.2）；</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10</w:t>
      </w:r>
      <w:r>
        <w:rPr>
          <w:rFonts w:hint="default" w:ascii="Times New Roman" w:hAnsi="Times New Roman" w:cs="Times New Roman"/>
          <w:color w:val="auto"/>
          <w:sz w:val="24"/>
          <w:highlight w:val="none"/>
        </w:rPr>
        <w:t>）《国务院关于印发土壤污染防治行动计划的通知》（国务院，国发[2016]31号，2016.6.1）；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）《建设项目环境保护管理条例》（国务院第682号令，2017.10.1）；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2</w:t>
      </w:r>
      <w:r>
        <w:rPr>
          <w:rFonts w:hint="default" w:ascii="Times New Roman" w:hAnsi="Times New Roman" w:cs="Times New Roman"/>
          <w:color w:val="auto"/>
          <w:sz w:val="24"/>
          <w:highlight w:val="none"/>
        </w:rPr>
        <w:t>）《关于加强环境保护重点工作的意见》（国务院[2011]35号，2011.10.17）；</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3</w:t>
      </w:r>
      <w:r>
        <w:rPr>
          <w:rFonts w:hint="default" w:ascii="Times New Roman" w:hAnsi="Times New Roman" w:cs="Times New Roman"/>
          <w:color w:val="auto"/>
          <w:sz w:val="24"/>
          <w:highlight w:val="none"/>
        </w:rPr>
        <w:t>）《建设项目竣工环境保护验收暂行办法》（环境保护部，国环规环评[2017]4号，2017.11.20）；</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4</w:t>
      </w:r>
      <w:r>
        <w:rPr>
          <w:rFonts w:hint="default" w:ascii="Times New Roman" w:hAnsi="Times New Roman" w:cs="Times New Roman"/>
          <w:color w:val="auto"/>
          <w:sz w:val="24"/>
          <w:highlight w:val="none"/>
        </w:rPr>
        <w:t>）</w:t>
      </w:r>
      <w:r>
        <w:rPr>
          <w:rFonts w:hint="eastAsia" w:ascii="Times New Roman" w:hAnsi="Times New Roman" w:eastAsia="宋体" w:cs="Times New Roman"/>
          <w:color w:val="auto"/>
          <w:sz w:val="24"/>
          <w:szCs w:val="24"/>
          <w:highlight w:val="none"/>
          <w:vertAlign w:val="baseline"/>
          <w:lang w:val="en-US" w:eastAsia="zh-CN"/>
        </w:rPr>
        <w:t>《一</w:t>
      </w:r>
      <w:r>
        <w:rPr>
          <w:rFonts w:hint="default" w:ascii="Times New Roman" w:hAnsi="Times New Roman" w:eastAsia="宋体" w:cs="Times New Roman"/>
          <w:color w:val="auto"/>
          <w:sz w:val="24"/>
          <w:szCs w:val="24"/>
          <w:highlight w:val="none"/>
          <w:vertAlign w:val="baseline"/>
          <w:lang w:val="en-US" w:eastAsia="zh-CN"/>
        </w:rPr>
        <w:t>般工业固体废物贮存和填埋污染控制标准</w:t>
      </w:r>
      <w:r>
        <w:rPr>
          <w:rFonts w:hint="eastAsia" w:ascii="Times New Roman" w:hAnsi="Times New Roman" w:eastAsia="宋体" w:cs="Times New Roman"/>
          <w:color w:val="auto"/>
          <w:sz w:val="24"/>
          <w:szCs w:val="24"/>
          <w:highlight w:val="none"/>
          <w:vertAlign w:val="baseline"/>
          <w:lang w:val="en-US" w:eastAsia="zh-CN"/>
        </w:rPr>
        <w:t>》（GB18599-2020）（</w:t>
      </w:r>
      <w:r>
        <w:rPr>
          <w:rFonts w:hint="eastAsia" w:ascii="Times New Roman" w:hAnsi="Times New Roman" w:cs="Times New Roman"/>
          <w:color w:val="auto"/>
          <w:sz w:val="24"/>
          <w:highlight w:val="none"/>
          <w:lang w:val="en-US" w:eastAsia="zh-CN"/>
        </w:rPr>
        <w:t>2021.7.1）</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15</w:t>
      </w:r>
      <w:r>
        <w:rPr>
          <w:rFonts w:hint="default" w:ascii="Times New Roman" w:hAnsi="Times New Roman" w:cs="Times New Roman"/>
          <w:color w:val="auto"/>
          <w:sz w:val="24"/>
          <w:highlight w:val="none"/>
        </w:rPr>
        <w:t>）《国家危险废物名录》（生态环境部、国家发展和改革委员会、公安部、交通运输部、国家卫生健康委员会令，20</w:t>
      </w:r>
      <w:r>
        <w:rPr>
          <w:rFonts w:hint="eastAsia" w:ascii="Times New Roman" w:hAnsi="Times New Roman" w:cs="Times New Roman"/>
          <w:color w:val="auto"/>
          <w:sz w:val="24"/>
          <w:highlight w:val="none"/>
          <w:lang w:val="en-US" w:eastAsia="zh-CN"/>
        </w:rPr>
        <w:t>21</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16</w:t>
      </w:r>
      <w:r>
        <w:rPr>
          <w:rFonts w:hint="default" w:ascii="Times New Roman" w:hAnsi="Times New Roman" w:cs="Times New Roman"/>
          <w:color w:val="auto"/>
          <w:sz w:val="24"/>
          <w:highlight w:val="none"/>
        </w:rPr>
        <w:t>）《危险废物转移联单管理办法》（生态环境部</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公安部</w:t>
      </w:r>
      <w:r>
        <w:rPr>
          <w:rFonts w:hint="eastAsia" w:ascii="Times New Roman" w:hAnsi="Times New Roman" w:cs="Times New Roman"/>
          <w:color w:val="auto"/>
          <w:sz w:val="24"/>
          <w:highlight w:val="none"/>
          <w:lang w:eastAsia="zh-CN"/>
        </w:rPr>
        <w:t>、</w:t>
      </w:r>
      <w:r>
        <w:rPr>
          <w:rFonts w:hint="default" w:ascii="Times New Roman" w:hAnsi="Times New Roman" w:cs="Times New Roman"/>
          <w:color w:val="auto"/>
          <w:sz w:val="24"/>
          <w:highlight w:val="none"/>
        </w:rPr>
        <w:t>交通运输部，，</w:t>
      </w:r>
      <w:r>
        <w:rPr>
          <w:rFonts w:hint="eastAsia" w:ascii="Times New Roman" w:hAnsi="Times New Roman" w:cs="Times New Roman"/>
          <w:color w:val="auto"/>
          <w:sz w:val="24"/>
          <w:highlight w:val="none"/>
          <w:lang w:val="en-US" w:eastAsia="zh-CN"/>
        </w:rPr>
        <w:t>2022.1.1</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17</w:t>
      </w:r>
      <w:r>
        <w:rPr>
          <w:rFonts w:hint="default" w:ascii="Times New Roman" w:hAnsi="Times New Roman" w:cs="Times New Roman"/>
          <w:color w:val="auto"/>
          <w:sz w:val="24"/>
          <w:highlight w:val="none"/>
        </w:rPr>
        <w:t>）《安徽省环境保护条例》（安徽省人大常委会，2018.1.1）；</w:t>
      </w:r>
    </w:p>
    <w:p>
      <w:pPr>
        <w:tabs>
          <w:tab w:val="left" w:pos="1755"/>
        </w:tabs>
        <w:snapToGrid w:val="0"/>
        <w:spacing w:line="360" w:lineRule="auto"/>
        <w:ind w:firstLine="480" w:firstLineChars="20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18</w:t>
      </w:r>
      <w:r>
        <w:rPr>
          <w:rFonts w:hint="default" w:ascii="Times New Roman" w:hAnsi="Times New Roman" w:cs="Times New Roman"/>
          <w:color w:val="auto"/>
          <w:sz w:val="24"/>
          <w:highlight w:val="none"/>
        </w:rPr>
        <w:t>）《安徽省大气污染防治条例》（安徽省人民代表大会公告（第二号），201</w:t>
      </w:r>
      <w:r>
        <w:rPr>
          <w:rFonts w:hint="eastAsia" w:ascii="Times New Roman" w:hAnsi="Times New Roman" w:cs="Times New Roman"/>
          <w:color w:val="auto"/>
          <w:sz w:val="24"/>
          <w:highlight w:val="none"/>
          <w:lang w:val="en-US" w:eastAsia="zh-CN"/>
        </w:rPr>
        <w:t>8</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9</w:t>
      </w: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29</w:t>
      </w:r>
      <w:r>
        <w:rPr>
          <w:rFonts w:hint="default" w:ascii="Times New Roman" w:hAnsi="Times New Roman" w:cs="Times New Roman"/>
          <w:color w:val="auto"/>
          <w:sz w:val="24"/>
          <w:highlight w:val="none"/>
        </w:rPr>
        <w:t>）；</w:t>
      </w:r>
    </w:p>
    <w:p>
      <w:pPr>
        <w:tabs>
          <w:tab w:val="left" w:pos="1755"/>
        </w:tabs>
        <w:snapToGrid w:val="0"/>
        <w:spacing w:line="360" w:lineRule="auto"/>
        <w:ind w:firstLine="480" w:firstLineChars="200"/>
        <w:rPr>
          <w:rFonts w:hint="default" w:ascii="Times New Roman" w:hAnsi="Times New Roman" w:cs="Times New Roman"/>
          <w:color w:val="auto"/>
          <w:sz w:val="24"/>
          <w:highlight w:val="none"/>
          <w:lang w:eastAsia="zh-CN"/>
        </w:rPr>
      </w:pPr>
      <w:r>
        <w:rPr>
          <w:rFonts w:hint="default" w:ascii="Times New Roman" w:hAnsi="Times New Roman" w:cs="Times New Roman"/>
          <w:color w:val="auto"/>
          <w:sz w:val="24"/>
          <w:highlight w:val="none"/>
        </w:rPr>
        <w:t>（</w:t>
      </w:r>
      <w:r>
        <w:rPr>
          <w:rFonts w:hint="eastAsia" w:ascii="Times New Roman" w:hAnsi="Times New Roman" w:cs="Times New Roman"/>
          <w:color w:val="auto"/>
          <w:sz w:val="24"/>
          <w:highlight w:val="none"/>
          <w:lang w:val="en-US" w:eastAsia="zh-CN"/>
        </w:rPr>
        <w:t>19</w:t>
      </w:r>
      <w:r>
        <w:rPr>
          <w:rFonts w:hint="default" w:ascii="Times New Roman" w:hAnsi="Times New Roman" w:cs="Times New Roman"/>
          <w:color w:val="auto"/>
          <w:sz w:val="24"/>
          <w:highlight w:val="none"/>
        </w:rPr>
        <w:t>）《安徽省水污染防治工作方案》（安徽省人民政府，皖政[2015]131号，201</w:t>
      </w:r>
      <w:r>
        <w:rPr>
          <w:rFonts w:hint="eastAsia" w:ascii="Times New Roman" w:hAnsi="Times New Roman" w:cs="Times New Roman"/>
          <w:color w:val="auto"/>
          <w:sz w:val="24"/>
          <w:highlight w:val="none"/>
          <w:lang w:val="en-US" w:eastAsia="zh-CN"/>
        </w:rPr>
        <w:t>6</w:t>
      </w:r>
      <w:r>
        <w:rPr>
          <w:rFonts w:hint="default" w:ascii="Times New Roman" w:hAnsi="Times New Roman" w:cs="Times New Roman"/>
          <w:color w:val="auto"/>
          <w:sz w:val="24"/>
          <w:highlight w:val="none"/>
        </w:rPr>
        <w:t>.1.</w:t>
      </w:r>
      <w:r>
        <w:rPr>
          <w:rFonts w:hint="eastAsia" w:ascii="Times New Roman" w:hAnsi="Times New Roman" w:cs="Times New Roman"/>
          <w:color w:val="auto"/>
          <w:sz w:val="24"/>
          <w:highlight w:val="none"/>
          <w:lang w:val="en-US" w:eastAsia="zh-CN"/>
        </w:rPr>
        <w:t>15</w:t>
      </w:r>
      <w:r>
        <w:rPr>
          <w:rFonts w:hint="default" w:ascii="Times New Roman" w:hAnsi="Times New Roman" w:cs="Times New Roman"/>
          <w:color w:val="auto"/>
          <w:sz w:val="24"/>
          <w:highlight w:val="none"/>
        </w:rPr>
        <w:t>）</w:t>
      </w:r>
      <w:r>
        <w:rPr>
          <w:rFonts w:hint="eastAsia"/>
          <w:color w:val="auto"/>
          <w:sz w:val="24"/>
          <w:highlight w:val="none"/>
        </w:rPr>
        <w:t>。</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18" w:name="_Toc6558"/>
      <w:bookmarkStart w:id="19" w:name="_Toc27638"/>
      <w:bookmarkStart w:id="20" w:name="_Toc21379"/>
      <w:bookmarkStart w:id="21" w:name="_Toc19819"/>
      <w:r>
        <w:rPr>
          <w:rFonts w:hint="default" w:ascii="Times New Roman" w:hAnsi="Times New Roman" w:eastAsia="宋体" w:cs="Times New Roman"/>
          <w:color w:val="auto"/>
          <w:highlight w:val="none"/>
          <w:lang w:val="en-US" w:eastAsia="zh-CN"/>
        </w:rPr>
        <w:t>2.2</w:t>
      </w:r>
      <w:bookmarkEnd w:id="18"/>
      <w:r>
        <w:rPr>
          <w:rFonts w:hint="default" w:ascii="Times New Roman" w:hAnsi="Times New Roman" w:eastAsia="宋体" w:cs="Times New Roman"/>
          <w:color w:val="auto"/>
          <w:highlight w:val="none"/>
          <w:lang w:val="en-US" w:eastAsia="zh-CN"/>
        </w:rPr>
        <w:t>建设项目竣工环境保护验收技术规范</w:t>
      </w:r>
      <w:bookmarkEnd w:id="19"/>
      <w:bookmarkEnd w:id="20"/>
      <w:bookmarkEnd w:id="21"/>
    </w:p>
    <w:p>
      <w:pPr>
        <w:numPr>
          <w:ilvl w:val="0"/>
          <w:numId w:val="1"/>
        </w:numPr>
        <w:tabs>
          <w:tab w:val="left" w:pos="1755"/>
        </w:tabs>
        <w:snapToGrid w:val="0"/>
        <w:spacing w:line="360" w:lineRule="auto"/>
        <w:ind w:firstLine="480" w:firstLineChars="200"/>
        <w:rPr>
          <w:color w:val="auto"/>
          <w:sz w:val="24"/>
          <w:highlight w:val="none"/>
        </w:rPr>
      </w:pPr>
      <w:r>
        <w:rPr>
          <w:color w:val="auto"/>
          <w:sz w:val="24"/>
          <w:highlight w:val="none"/>
        </w:rPr>
        <w:t>《建设项目竣工环境保护验收技术指南污染影响类》（生态环境部，公告</w:t>
      </w:r>
      <w:r>
        <w:rPr>
          <w:rFonts w:hint="default" w:ascii="Times New Roman" w:hAnsi="Times New Roman" w:cs="Times New Roman"/>
          <w:color w:val="auto"/>
          <w:sz w:val="24"/>
          <w:highlight w:val="none"/>
        </w:rPr>
        <w:t>2018年第9号，2018.5.16</w:t>
      </w:r>
      <w:r>
        <w:rPr>
          <w:color w:val="auto"/>
          <w:sz w:val="24"/>
          <w:highlight w:val="none"/>
        </w:rPr>
        <w:t>）。</w:t>
      </w:r>
    </w:p>
    <w:p>
      <w:pPr>
        <w:pStyle w:val="8"/>
        <w:numPr>
          <w:ilvl w:val="0"/>
          <w:numId w:val="1"/>
        </w:numPr>
        <w:rPr>
          <w:rFonts w:hint="default"/>
          <w:lang w:eastAsia="zh-CN"/>
        </w:rPr>
      </w:pPr>
      <w:r>
        <w:rPr>
          <w:rFonts w:hint="default" w:ascii="Times New Roman" w:hAnsi="Times New Roman" w:eastAsia="宋体" w:cs="Times New Roman"/>
          <w:sz w:val="24"/>
          <w:szCs w:val="24"/>
          <w:lang w:val="en-US" w:eastAsia="zh-CN"/>
        </w:rPr>
        <w:t>《</w:t>
      </w:r>
      <w:r>
        <w:rPr>
          <w:rStyle w:val="28"/>
          <w:rFonts w:hint="default" w:ascii="Times New Roman" w:hAnsi="Times New Roman" w:eastAsia="宋体" w:cs="Times New Roman"/>
          <w:sz w:val="24"/>
          <w:szCs w:val="24"/>
        </w:rPr>
        <w:t>建设项目竣工环境保护验收技术规范火力发电厂</w:t>
      </w:r>
      <w:r>
        <w:rPr>
          <w:rFonts w:hint="default" w:ascii="Times New Roman" w:hAnsi="Times New Roman" w:eastAsia="宋体" w:cs="Times New Roman"/>
          <w:sz w:val="24"/>
          <w:szCs w:val="24"/>
          <w:lang w:val="en-US" w:eastAsia="zh-CN"/>
        </w:rPr>
        <w:t>》（HJ/T255-2006），国家环境保护总局，2006年3月9日</w:t>
      </w:r>
      <w:r>
        <w:rPr>
          <w:rFonts w:hint="eastAsia" w:cs="Times New Roman"/>
          <w:sz w:val="24"/>
          <w:szCs w:val="24"/>
          <w:lang w:val="en-US" w:eastAsia="zh-CN"/>
        </w:rPr>
        <w:t>。</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22" w:name="_Toc14710"/>
      <w:bookmarkStart w:id="23" w:name="_Toc16203"/>
      <w:bookmarkStart w:id="24" w:name="_Toc7219"/>
      <w:bookmarkStart w:id="25" w:name="_Toc14105"/>
      <w:r>
        <w:rPr>
          <w:rFonts w:hint="default" w:ascii="Times New Roman" w:hAnsi="Times New Roman" w:eastAsia="宋体" w:cs="Times New Roman"/>
          <w:color w:val="auto"/>
          <w:highlight w:val="none"/>
          <w:lang w:val="en-US" w:eastAsia="zh-CN"/>
        </w:rPr>
        <w:t>2.3建设项目</w:t>
      </w:r>
      <w:r>
        <w:rPr>
          <w:rFonts w:hint="eastAsia" w:ascii="Times New Roman" w:hAnsi="Times New Roman" w:eastAsia="宋体" w:cs="Times New Roman"/>
          <w:color w:val="auto"/>
          <w:highlight w:val="none"/>
          <w:lang w:val="en-US" w:eastAsia="zh-CN"/>
        </w:rPr>
        <w:t>环境影响报告书及其审批部门审批决定</w:t>
      </w:r>
      <w:bookmarkEnd w:id="22"/>
      <w:bookmarkEnd w:id="23"/>
      <w:bookmarkEnd w:id="24"/>
    </w:p>
    <w:p>
      <w:pPr>
        <w:keepNext/>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bookmarkStart w:id="26" w:name="_Toc26070"/>
      <w:r>
        <w:rPr>
          <w:rFonts w:hint="eastAsia" w:ascii="Times New Roman" w:hAnsi="Times New Roman" w:eastAsia="宋体" w:cs="Times New Roman"/>
          <w:color w:val="auto"/>
          <w:sz w:val="24"/>
          <w:szCs w:val="24"/>
          <w:highlight w:val="none"/>
          <w:lang w:val="en-US" w:eastAsia="zh-CN"/>
        </w:rPr>
        <w:t>（1）《申能安徽平山电厂二期工程环境影响报告书》，中国电力工程顾问集团华东电力设计院有限公司，2016年11月；</w:t>
      </w:r>
    </w:p>
    <w:p>
      <w:pPr>
        <w:keepNext/>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（2）《安徽省环保厅关于申能安徽平山电厂二期工程环境影响报告书审批意见的函》，安徽省环境保护厅，皖环函[2016]1338号，2016年12月6日；</w:t>
      </w:r>
    </w:p>
    <w:p>
      <w:pPr>
        <w:keepNext/>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（3）《关于淮北平山电厂二期扩建1350MW机组项目主要污染物总量指标的函》，安徽省环保厅，皖环函〔2015〕1604号；</w:t>
      </w:r>
    </w:p>
    <w:p>
      <w:pPr>
        <w:keepNext/>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（4）《关于平山电厂二期工程环境影响评价执行标准的确认函》，淮北市环境保护局文件，淮环函[2015]451号文，2015年10月17日。</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27" w:name="_Toc22457"/>
      <w:bookmarkStart w:id="28" w:name="_Toc14766"/>
      <w:r>
        <w:rPr>
          <w:rFonts w:hint="default" w:ascii="Times New Roman" w:hAnsi="Times New Roman" w:eastAsia="宋体" w:cs="Times New Roman"/>
          <w:color w:val="auto"/>
          <w:highlight w:val="none"/>
          <w:lang w:val="en-US" w:eastAsia="zh-CN"/>
        </w:rPr>
        <w:t>2.</w:t>
      </w:r>
      <w:bookmarkEnd w:id="25"/>
      <w:r>
        <w:rPr>
          <w:rFonts w:hint="eastAsia" w:ascii="Times New Roman" w:hAnsi="Times New Roman" w:eastAsia="宋体" w:cs="Times New Roman"/>
          <w:color w:val="auto"/>
          <w:highlight w:val="none"/>
          <w:lang w:val="en-US" w:eastAsia="zh-CN"/>
        </w:rPr>
        <w:t>4其他相关文件</w:t>
      </w:r>
      <w:bookmarkEnd w:id="26"/>
      <w:bookmarkEnd w:id="27"/>
      <w:bookmarkEnd w:id="28"/>
    </w:p>
    <w:p>
      <w:pPr>
        <w:keepNext/>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eastAsia="宋体" w:cs="Times New Roman"/>
          <w:color w:val="auto"/>
          <w:sz w:val="24"/>
          <w:szCs w:val="24"/>
          <w:highlight w:val="none"/>
          <w:lang w:val="en-US" w:eastAsia="zh-CN"/>
        </w:rPr>
        <w:t>《淮北申能发电有限公司申能安徽平山电厂二期工程项目竣工环境保护验收监测方案》；</w:t>
      </w:r>
    </w:p>
    <w:p>
      <w:pPr>
        <w:pStyle w:val="22"/>
        <w:keepNext w:val="0"/>
        <w:keepLines w:val="0"/>
        <w:pageBreakBefore w:val="0"/>
        <w:widowControl w:val="0"/>
        <w:numPr>
          <w:ilvl w:val="0"/>
          <w:numId w:val="2"/>
        </w:numPr>
        <w:kinsoku/>
        <w:wordWrap/>
        <w:overflowPunct/>
        <w:topLinePunct w:val="0"/>
        <w:autoSpaceDE/>
        <w:autoSpaceDN/>
        <w:bidi w:val="0"/>
        <w:adjustRightInd/>
        <w:snapToGrid/>
        <w:spacing w:after="0"/>
        <w:ind w:left="0" w:leftChars="0" w:firstLine="480" w:firstLineChars="200"/>
        <w:textAlignment w:val="auto"/>
        <w:rPr>
          <w:rFonts w:hint="eastAsia"/>
          <w:lang w:val="en-US" w:eastAsia="zh-CN"/>
        </w:rPr>
      </w:pPr>
      <w:r>
        <w:rPr>
          <w:rFonts w:hint="eastAsia"/>
          <w:lang w:val="en-US" w:eastAsia="zh-CN"/>
        </w:rPr>
        <w:t>《淮北申能发电有限公司申能安徽平山电厂二期工程项目脱硫、脱硝、除尘设施竣工环境保护验收监测报告》；</w:t>
      </w:r>
    </w:p>
    <w:p>
      <w:pPr>
        <w:numPr>
          <w:ilvl w:val="0"/>
          <w:numId w:val="2"/>
        </w:numPr>
        <w:ind w:left="0" w:leftChars="0" w:firstLine="480" w:firstLineChars="200"/>
        <w:rPr>
          <w:rFonts w:hint="eastAsia"/>
          <w:lang w:val="en-US" w:eastAsia="zh-CN"/>
        </w:rPr>
      </w:pPr>
      <w:r>
        <w:rPr>
          <w:rFonts w:hint="eastAsia"/>
          <w:lang w:val="en-US" w:eastAsia="zh-CN"/>
        </w:rPr>
        <w:t>《淮北申能发电有限公司申能安徽平山电厂二期工程烟气处理设施专项验收环境监理报告》；</w:t>
      </w:r>
    </w:p>
    <w:p>
      <w:pPr>
        <w:keepNext/>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outlineLvl w:val="9"/>
        <w:rPr>
          <w:rFonts w:hint="eastAsia" w:ascii="Times New Roman" w:hAnsi="Times New Roman" w:eastAsia="宋体"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淮北申能发电有限公司申能安徽平山电厂二期工程环境监理总报告</w:t>
      </w:r>
      <w:r>
        <w:rPr>
          <w:rFonts w:hint="eastAsia" w:ascii="Times New Roman" w:hAnsi="Times New Roman" w:cs="Times New Roman"/>
          <w:color w:val="auto"/>
          <w:sz w:val="24"/>
          <w:szCs w:val="24"/>
          <w:highlight w:val="none"/>
          <w:lang w:val="en-US" w:eastAsia="zh-CN"/>
        </w:rPr>
        <w:t>》；</w:t>
      </w:r>
    </w:p>
    <w:p>
      <w:pPr>
        <w:pStyle w:val="8"/>
        <w:rPr>
          <w:rFonts w:hint="default"/>
          <w:lang w:val="en-US" w:eastAsia="zh-CN"/>
        </w:rPr>
      </w:pPr>
      <w:r>
        <w:rPr>
          <w:rFonts w:hint="eastAsia" w:ascii="Times New Roman" w:hAnsi="Times New Roman" w:cs="Times New Roman"/>
          <w:color w:val="auto"/>
          <w:sz w:val="24"/>
          <w:szCs w:val="24"/>
          <w:highlight w:val="none"/>
          <w:lang w:val="en-US" w:eastAsia="zh-CN"/>
        </w:rPr>
        <w:t>（5）其他相关资料。</w:t>
      </w:r>
    </w:p>
    <w:p>
      <w:pPr>
        <w:rPr>
          <w:rFonts w:hint="eastAsia" w:ascii="Times New Roman" w:hAnsi="Times New Roman" w:eastAsia="宋体" w:cs="Times New Roman"/>
          <w:color w:val="auto"/>
          <w:sz w:val="24"/>
          <w:szCs w:val="24"/>
          <w:highlight w:val="red"/>
          <w:lang w:eastAsia="zh-CN"/>
        </w:rPr>
      </w:pPr>
      <w:r>
        <w:rPr>
          <w:rFonts w:hint="eastAsia" w:ascii="Times New Roman" w:hAnsi="Times New Roman" w:eastAsia="宋体" w:cs="Times New Roman"/>
          <w:color w:val="auto"/>
          <w:sz w:val="24"/>
          <w:szCs w:val="24"/>
          <w:highlight w:val="red"/>
          <w:lang w:eastAsia="zh-CN"/>
        </w:rPr>
        <w:br w:type="page"/>
      </w: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default" w:ascii="Times New Roman" w:hAnsi="Times New Roman" w:eastAsia="宋体" w:cs="Times New Roman"/>
          <w:color w:val="auto"/>
          <w:sz w:val="36"/>
          <w:szCs w:val="36"/>
          <w:highlight w:val="none"/>
          <w:lang w:eastAsia="zh-CN"/>
        </w:rPr>
      </w:pPr>
      <w:bookmarkStart w:id="29" w:name="_Toc12107"/>
      <w:bookmarkStart w:id="30" w:name="_Toc22279"/>
      <w:r>
        <w:rPr>
          <w:rFonts w:hint="default" w:ascii="Times New Roman" w:hAnsi="Times New Roman" w:eastAsia="宋体" w:cs="Times New Roman"/>
          <w:color w:val="auto"/>
          <w:sz w:val="36"/>
          <w:szCs w:val="36"/>
          <w:highlight w:val="none"/>
          <w:lang w:eastAsia="zh-CN"/>
        </w:rPr>
        <w:t>三、项目</w:t>
      </w:r>
      <w:bookmarkEnd w:id="29"/>
      <w:r>
        <w:rPr>
          <w:rFonts w:hint="eastAsia" w:cs="Times New Roman"/>
          <w:color w:val="auto"/>
          <w:sz w:val="36"/>
          <w:szCs w:val="36"/>
          <w:highlight w:val="none"/>
          <w:lang w:val="en-US" w:eastAsia="zh-CN"/>
        </w:rPr>
        <w:t>情况</w:t>
      </w:r>
      <w:bookmarkEnd w:id="30"/>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31" w:name="_Toc24736"/>
      <w:bookmarkStart w:id="32" w:name="_Toc18507"/>
      <w:r>
        <w:rPr>
          <w:rFonts w:hint="default" w:ascii="Times New Roman" w:hAnsi="Times New Roman" w:eastAsia="宋体" w:cs="Times New Roman"/>
          <w:color w:val="auto"/>
          <w:highlight w:val="none"/>
          <w:lang w:val="en-US" w:eastAsia="zh-CN"/>
        </w:rPr>
        <w:t>3.1</w:t>
      </w:r>
      <w:bookmarkEnd w:id="31"/>
      <w:r>
        <w:rPr>
          <w:rFonts w:hint="default" w:ascii="Times New Roman" w:hAnsi="Times New Roman" w:eastAsia="宋体" w:cs="Times New Roman"/>
          <w:color w:val="auto"/>
          <w:highlight w:val="none"/>
          <w:lang w:val="en-US" w:eastAsia="zh-CN"/>
        </w:rPr>
        <w:t>地理位置及平面布置</w:t>
      </w:r>
      <w:bookmarkEnd w:id="32"/>
    </w:p>
    <w:p>
      <w:pPr>
        <w:pStyle w:val="20"/>
        <w:keepNext w:val="0"/>
        <w:keepLines w:val="0"/>
        <w:widowControl/>
        <w:suppressLineNumbers w:val="0"/>
        <w:spacing w:before="0" w:beforeAutospacing="0" w:after="0" w:afterAutospacing="0"/>
        <w:ind w:left="0" w:right="0" w:firstLine="0"/>
        <w:rPr>
          <w:rFonts w:hint="eastAsia"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安徽淮北平山电厂位于安徽淮北经济开发区内，</w:t>
      </w:r>
      <w:r>
        <w:rPr>
          <w:rFonts w:hint="eastAsia" w:cs="Times New Roman"/>
          <w:color w:val="auto"/>
          <w:sz w:val="24"/>
          <w:szCs w:val="24"/>
          <w:highlight w:val="none"/>
          <w:lang w:val="en-US" w:eastAsia="zh-CN"/>
        </w:rPr>
        <w:t>位</w:t>
      </w:r>
      <w:r>
        <w:rPr>
          <w:rFonts w:hint="default" w:ascii="Times New Roman" w:hAnsi="Times New Roman" w:cs="Times New Roman"/>
          <w:color w:val="auto"/>
          <w:sz w:val="24"/>
          <w:szCs w:val="24"/>
          <w:highlight w:val="none"/>
          <w:lang w:val="en-US" w:eastAsia="zh-CN"/>
        </w:rPr>
        <w:t>于安徽省淮北市烈山区古饶镇的平山村和况楼村。电厂厂址北距淮北市区约17km。平山电厂东临梧桐大道，北近滨河路，南侧为扩建场地，西侧为农田。东北侧约2.5km为萧濉新河，地理坐标为33°49'55.78"N，113°12'39.6</w:t>
      </w:r>
      <w:r>
        <w:rPr>
          <w:rFonts w:hint="eastAsia"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"E。厂址地理位置见</w:t>
      </w:r>
      <w:r>
        <w:rPr>
          <w:rFonts w:hint="eastAsia" w:cs="Times New Roman"/>
          <w:color w:val="auto"/>
          <w:sz w:val="24"/>
          <w:szCs w:val="24"/>
          <w:highlight w:val="none"/>
          <w:lang w:val="en-US" w:eastAsia="zh-CN"/>
        </w:rPr>
        <w:t>附图1。本期项目排烟冷却塔外450m范围内无集中居民点、学校、医院等环境敏感点。</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本期扩建工程厂区采用两列式布置，自东向西依次为500kV屋外配电装置区（一期已建成）和主厂房区（含排烟冷却塔）。冷却塔布置在本期工程电除尘器区西南侧，煤场位于一期煤场北侧。</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（1）主厂房区</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主厂房采用高低位机形式，布置在一期主厂房南侧。煤仓间位于一期汽机房南侧。煤仓间南侧自北向南分别布置高位机房、低位机房，煤仓间与高低位机房西侧为锅炉房。炉后自东向西依次为：送风机-电除尘-引风机-吸收塔。变压器布置在低位机北侧、高位机东侧。吸收塔北侧布置有浆液循泵等脱硫设施，吸收塔南侧与冷却塔之间预留有烟气冷凝装置。</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（2）配电装置区</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本期工程利用一期建成的500kV屋外配电装置，本期工程在预留的场地增设2组500kV主变压器。</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（3）输煤系统</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一期工程T5转运站中已预留接至本期工程煤仓间的C-9A/B带式输送机，本期扩建工程仅需安装C-9A/B带式输送机，新建一段输煤栈桥自一期汽机房向南延伸至本期煤仓间。</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本期工程在一期煤场北侧新增一个条形斗轮堆取料机煤场，东西向布置。</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本期利用一期T1转运站与煤场区之间的空地自北向南新增两条输煤栈桥，实现本期煤场与一期上煤系统的连通。</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（4）冷却塔区</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本期工程排烟冷却塔布置在主厂房区西南侧。冷却塔东侧布置有循环水泵房。</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（5）辅助、附属生产区</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本期工业废水处理系统新建一座2000m</w:t>
      </w:r>
      <w:r>
        <w:rPr>
          <w:rFonts w:hint="default" w:ascii="Times New Roman" w:hAnsi="Times New Roman" w:eastAsia="宋体" w:cs="Times New Roman"/>
          <w:color w:val="auto"/>
          <w:sz w:val="24"/>
          <w:highlight w:val="none"/>
          <w:vertAlign w:val="superscript"/>
          <w:lang w:val="en-US" w:eastAsia="zh-CN"/>
        </w:rPr>
        <w:t>3</w:t>
      </w:r>
      <w:r>
        <w:rPr>
          <w:rFonts w:hint="default" w:ascii="Times New Roman" w:hAnsi="Times New Roman" w:eastAsia="宋体" w:cs="Times New Roman"/>
          <w:color w:val="auto"/>
          <w:sz w:val="24"/>
          <w:highlight w:val="none"/>
          <w:lang w:val="en-US" w:eastAsia="zh-CN"/>
        </w:rPr>
        <w:t>废水贮存池，与本期机组排水槽合并布置在本期送风机北侧。</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油罐区及油泵房利用一期原有设施，仅在一期油泵房内增加一台供油泵。</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本期主厂房西侧新增一套脱硫系统，含石灰石浆液制备、石膏脱水车间。消防水池及消防泵房布置在其南侧、冷却塔北侧。</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主厂房区南侧、冷却塔西侧区域自西向东集中布置有原水石灰处理车间及危险废物暂存库。</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除盐水箱就近布置在锅炉房南侧，事故油池就近布置在变压器北侧，事故油池北侧布置有除灰空压机房与制冷加热站，锅炉空压机房考虑布置在引风机区。一期升压站南侧布置本期材料库。</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（6）综合功能区</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本期主厂区东侧、靠近梧桐大道处独立布置本期工程综合功能区，设一座行政综合楼、检修楼等。</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（7）出入口</w:t>
      </w:r>
    </w:p>
    <w:p>
      <w:pPr>
        <w:pStyle w:val="8"/>
        <w:keepNext w:val="0"/>
        <w:keepLines w:val="0"/>
        <w:pageBreakBefore w:val="0"/>
        <w:widowControl w:val="0"/>
        <w:kinsoku/>
        <w:wordWrap/>
        <w:overflowPunct/>
        <w:topLinePunct w:val="0"/>
        <w:autoSpaceDE/>
        <w:autoSpaceDN/>
        <w:bidi w:val="0"/>
        <w:adjustRightInd/>
        <w:snapToGrid/>
        <w:spacing w:after="0"/>
        <w:ind w:left="0" w:leftChars="0" w:firstLine="480" w:firstLineChars="200"/>
        <w:textAlignment w:val="auto"/>
        <w:rPr>
          <w:rFonts w:hint="default" w:ascii="Times New Roman" w:hAnsi="Times New Roman" w:eastAsia="宋体" w:cs="Times New Roman"/>
          <w:color w:val="auto"/>
          <w:sz w:val="24"/>
          <w:highlight w:val="none"/>
          <w:lang w:val="en-US" w:eastAsia="zh-CN"/>
        </w:rPr>
      </w:pPr>
      <w:r>
        <w:rPr>
          <w:rFonts w:hint="default" w:ascii="Times New Roman" w:hAnsi="Times New Roman" w:eastAsia="宋体" w:cs="Times New Roman"/>
          <w:color w:val="auto"/>
          <w:sz w:val="24"/>
          <w:highlight w:val="none"/>
          <w:lang w:val="en-US" w:eastAsia="zh-CN"/>
        </w:rPr>
        <w:t>本期工程分别在主厂区、综合功能区、煤场区共计设置三个出入口。</w:t>
      </w:r>
    </w:p>
    <w:p>
      <w:pPr>
        <w:keepNext w:val="0"/>
        <w:keepLines w:val="0"/>
        <w:widowControl/>
        <w:suppressLineNumbers w:val="0"/>
        <w:jc w:val="left"/>
      </w:pPr>
      <w:r>
        <w:rPr>
          <w:rFonts w:hint="default" w:ascii="Times New Roman" w:hAnsi="Times New Roman" w:eastAsia="宋体" w:cs="Times New Roman"/>
          <w:color w:val="auto"/>
          <w:sz w:val="24"/>
          <w:highlight w:val="none"/>
        </w:rPr>
        <w:t>厂区总平面布置见</w:t>
      </w:r>
      <w:r>
        <w:rPr>
          <w:rFonts w:hint="eastAsia" w:cs="Times New Roman"/>
          <w:color w:val="auto"/>
          <w:sz w:val="24"/>
          <w:highlight w:val="none"/>
          <w:lang w:eastAsia="zh-CN"/>
        </w:rPr>
        <w:t>附</w:t>
      </w:r>
      <w:r>
        <w:rPr>
          <w:rFonts w:hint="default" w:ascii="Times New Roman" w:hAnsi="Times New Roman" w:eastAsia="宋体" w:cs="Times New Roman"/>
          <w:color w:val="auto"/>
          <w:sz w:val="24"/>
          <w:highlight w:val="none"/>
        </w:rPr>
        <w:t>图</w:t>
      </w:r>
      <w:r>
        <w:rPr>
          <w:rFonts w:hint="eastAsia" w:cs="Times New Roman"/>
          <w:color w:val="auto"/>
          <w:sz w:val="24"/>
          <w:highlight w:val="none"/>
          <w:lang w:val="en-US" w:eastAsia="zh-CN"/>
        </w:rPr>
        <w:t>2。</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33" w:name="_Toc22658"/>
      <w:bookmarkStart w:id="34" w:name="_Toc24004"/>
      <w:r>
        <w:rPr>
          <w:rFonts w:hint="default"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lang w:val="en-US" w:eastAsia="zh-CN"/>
        </w:rPr>
        <w:t>建设内容</w:t>
      </w:r>
      <w:bookmarkEnd w:id="33"/>
      <w:bookmarkEnd w:id="34"/>
    </w:p>
    <w:p>
      <w:pPr>
        <w:pStyle w:val="8"/>
        <w:keepNext w:val="0"/>
        <w:keepLines w:val="0"/>
        <w:pageBreakBefore w:val="0"/>
        <w:widowControl w:val="0"/>
        <w:kinsoku/>
        <w:wordWrap/>
        <w:overflowPunct/>
        <w:topLinePunct w:val="0"/>
        <w:autoSpaceDE/>
        <w:autoSpaceDN/>
        <w:bidi w:val="0"/>
        <w:adjustRightInd/>
        <w:spacing w:after="0"/>
        <w:textAlignment w:val="auto"/>
        <w:rPr>
          <w:rFonts w:hint="default" w:ascii="宋体" w:hAnsi="宋体" w:eastAsia="宋体"/>
          <w:color w:val="auto"/>
          <w:sz w:val="24"/>
          <w:szCs w:val="24"/>
          <w:highlight w:val="none"/>
          <w:lang w:val="en-US" w:eastAsia="zh-CN"/>
        </w:rPr>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宋体" w:hAnsi="宋体" w:eastAsia="宋体"/>
          <w:color w:val="auto"/>
          <w:sz w:val="24"/>
          <w:szCs w:val="24"/>
          <w:highlight w:val="none"/>
        </w:rPr>
        <w:t>本项目环评要求主要设备及环保设施与实际建设情况对比详见表</w:t>
      </w:r>
      <w:r>
        <w:rPr>
          <w:rFonts w:hint="default" w:ascii="Times New Roman" w:hAnsi="Times New Roman" w:eastAsia="Times New Roman"/>
          <w:color w:val="auto"/>
          <w:sz w:val="24"/>
          <w:szCs w:val="24"/>
          <w:highlight w:val="none"/>
        </w:rPr>
        <w:t>3-</w:t>
      </w:r>
      <w:r>
        <w:rPr>
          <w:rFonts w:hint="eastAsia" w:ascii="Times New Roman" w:hAnsi="Times New Roman"/>
          <w:color w:val="auto"/>
          <w:sz w:val="24"/>
          <w:szCs w:val="24"/>
          <w:highlight w:val="none"/>
          <w:lang w:val="en-US" w:eastAsia="zh-CN"/>
        </w:rPr>
        <w:t>2</w:t>
      </w:r>
      <w:r>
        <w:rPr>
          <w:rFonts w:hint="default" w:ascii="宋体" w:hAnsi="宋体" w:eastAsia="宋体"/>
          <w:color w:val="auto"/>
          <w:sz w:val="24"/>
          <w:szCs w:val="24"/>
          <w:highlight w:val="none"/>
        </w:rPr>
        <w:t>。本次验收范围为本项目</w:t>
      </w:r>
      <w:r>
        <w:rPr>
          <w:rFonts w:hint="eastAsia" w:ascii="宋体" w:hAnsi="宋体"/>
          <w:color w:val="auto"/>
          <w:sz w:val="24"/>
          <w:szCs w:val="24"/>
          <w:highlight w:val="none"/>
          <w:lang w:val="en-US" w:eastAsia="zh-CN"/>
        </w:rPr>
        <w:t>主体工程和相关的配套设施。</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cs="Times New Roman"/>
          <w:b/>
          <w:color w:val="auto"/>
          <w:szCs w:val="21"/>
          <w:highlight w:val="none"/>
          <w:lang w:val="en-US" w:eastAsia="zh-CN"/>
        </w:rPr>
      </w:pPr>
      <w:r>
        <w:rPr>
          <w:rFonts w:hint="eastAsia" w:ascii="黑体" w:hAnsi="黑体" w:eastAsia="黑体" w:cs="黑体"/>
          <w:b w:val="0"/>
          <w:bCs/>
          <w:color w:val="auto"/>
          <w:sz w:val="21"/>
          <w:szCs w:val="21"/>
          <w:highlight w:val="none"/>
          <w:lang w:val="en-US" w:eastAsia="zh-CN"/>
        </w:rPr>
        <w:t>表3-1项目建设内容一览表</w:t>
      </w:r>
    </w:p>
    <w:tbl>
      <w:tblPr>
        <w:tblStyle w:val="23"/>
        <w:tblW w:w="5035" w:type="pct"/>
        <w:tblInd w:w="0" w:type="dxa"/>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Layout w:type="fixed"/>
        <w:tblCellMar>
          <w:top w:w="0" w:type="dxa"/>
          <w:left w:w="28" w:type="dxa"/>
          <w:bottom w:w="0" w:type="dxa"/>
          <w:right w:w="28" w:type="dxa"/>
        </w:tblCellMar>
      </w:tblPr>
      <w:tblGrid>
        <w:gridCol w:w="799"/>
        <w:gridCol w:w="1534"/>
        <w:gridCol w:w="2350"/>
        <w:gridCol w:w="2225"/>
        <w:gridCol w:w="2108"/>
        <w:gridCol w:w="2341"/>
        <w:gridCol w:w="2031"/>
      </w:tblGrid>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trHeight w:val="90" w:hRule="atLeast"/>
        </w:trPr>
        <w:tc>
          <w:tcPr>
            <w:tcW w:w="871" w:type="pct"/>
            <w:gridSpan w:val="2"/>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1708" w:type="pct"/>
            <w:gridSpan w:val="2"/>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环评要求</w:t>
            </w:r>
          </w:p>
        </w:tc>
        <w:tc>
          <w:tcPr>
            <w:tcW w:w="1661" w:type="pct"/>
            <w:gridSpan w:val="2"/>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实际建设情况</w:t>
            </w:r>
          </w:p>
        </w:tc>
        <w:tc>
          <w:tcPr>
            <w:tcW w:w="758" w:type="pct"/>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环评一致性分析</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Height w:val="85" w:hRule="atLeast"/>
        </w:trPr>
        <w:tc>
          <w:tcPr>
            <w:tcW w:w="298" w:type="pct"/>
            <w:vMerge w:val="restart"/>
            <w:tcBorders>
              <w:top w:val="single" w:color="auto" w:sz="6" w:space="0"/>
              <w:left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规模</w:t>
            </w:r>
          </w:p>
        </w:tc>
        <w:tc>
          <w:tcPr>
            <w:tcW w:w="572" w:type="pct"/>
            <w:tcBorders>
              <w:top w:val="single" w:color="auto" w:sz="6" w:space="0"/>
              <w:left w:val="single" w:color="auto" w:sz="6" w:space="0"/>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项目</w:t>
            </w:r>
          </w:p>
        </w:tc>
        <w:tc>
          <w:tcPr>
            <w:tcW w:w="877" w:type="pct"/>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单机容量及台数</w:t>
            </w:r>
          </w:p>
        </w:tc>
        <w:tc>
          <w:tcPr>
            <w:tcW w:w="831"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总容量</w:t>
            </w:r>
          </w:p>
        </w:tc>
        <w:tc>
          <w:tcPr>
            <w:tcW w:w="787" w:type="pct"/>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单机容量及台数</w:t>
            </w:r>
          </w:p>
        </w:tc>
        <w:tc>
          <w:tcPr>
            <w:tcW w:w="874"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总容量</w:t>
            </w:r>
          </w:p>
        </w:tc>
        <w:tc>
          <w:tcPr>
            <w:tcW w:w="758"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72" w:type="pct"/>
            <w:tcBorders>
              <w:top w:val="nil"/>
              <w:left w:val="nil"/>
              <w:bottom w:val="single" w:color="auto" w:sz="6" w:space="0"/>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二期规模</w:t>
            </w:r>
          </w:p>
        </w:tc>
        <w:tc>
          <w:tcPr>
            <w:tcW w:w="877" w:type="pct"/>
            <w:tcBorders>
              <w:left w:val="nil"/>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1×1350MW</w:t>
            </w:r>
          </w:p>
        </w:tc>
        <w:tc>
          <w:tcPr>
            <w:tcW w:w="831" w:type="pct"/>
            <w:tcBorders>
              <w:lef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1350MW</w:t>
            </w:r>
          </w:p>
        </w:tc>
        <w:tc>
          <w:tcPr>
            <w:tcW w:w="787" w:type="pct"/>
            <w:tcBorders>
              <w:left w:val="single" w:color="auto" w:sz="4"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1×1350MW</w:t>
            </w:r>
          </w:p>
        </w:tc>
        <w:tc>
          <w:tcPr>
            <w:tcW w:w="874" w:type="pct"/>
            <w:tcBorders>
              <w:lef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1350MW</w:t>
            </w:r>
          </w:p>
        </w:tc>
        <w:tc>
          <w:tcPr>
            <w:tcW w:w="758"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restart"/>
            <w:tcBorders>
              <w:left w:val="single" w:color="auto" w:sz="6"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主体工程</w:t>
            </w:r>
          </w:p>
        </w:tc>
        <w:tc>
          <w:tcPr>
            <w:tcW w:w="572" w:type="pct"/>
            <w:tcBorders>
              <w:left w:val="single" w:color="auto" w:sz="4" w:space="0"/>
              <w:bottom w:val="nil"/>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锅炉</w:t>
            </w:r>
          </w:p>
        </w:tc>
        <w:tc>
          <w:tcPr>
            <w:tcW w:w="1708"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超超临界参数变压运行直流炉，单炉膛、二次中间再热、平衡通风、固态排渣、全钢悬吊结构、紧身封闭燃煤炉</w:t>
            </w:r>
          </w:p>
        </w:tc>
        <w:tc>
          <w:tcPr>
            <w:tcW w:w="1661"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超超临界压力、变压运行、二次中间再热、平衡通风、全封闭布置、</w:t>
            </w:r>
            <w:bookmarkStart w:id="35" w:name="OLE_LINK33"/>
            <w:r>
              <w:rPr>
                <w:rFonts w:hint="default" w:ascii="Times New Roman" w:hAnsi="Times New Roman" w:eastAsia="宋体" w:cs="Times New Roman"/>
                <w:bCs/>
                <w:sz w:val="21"/>
                <w:szCs w:val="21"/>
              </w:rPr>
              <w:t>湿式排渣</w:t>
            </w:r>
            <w:bookmarkEnd w:id="35"/>
            <w:r>
              <w:rPr>
                <w:rFonts w:hint="default" w:ascii="Times New Roman" w:hAnsi="Times New Roman" w:eastAsia="宋体" w:cs="Times New Roman"/>
                <w:bCs/>
                <w:sz w:val="21"/>
                <w:szCs w:val="21"/>
              </w:rPr>
              <w:t>、全钢构架、全悬吊结构，</w:t>
            </w:r>
            <w:bookmarkStart w:id="36" w:name="OLE_LINK36"/>
            <w:r>
              <w:rPr>
                <w:rFonts w:hint="default" w:ascii="Times New Roman" w:hAnsi="Times New Roman" w:eastAsia="宋体" w:cs="Times New Roman"/>
                <w:bCs/>
                <w:sz w:val="21"/>
                <w:szCs w:val="21"/>
              </w:rPr>
              <w:t>塔式燃煤直流炉</w:t>
            </w:r>
            <w:r>
              <w:rPr>
                <w:rFonts w:hint="default" w:ascii="Times New Roman" w:hAnsi="Times New Roman" w:eastAsia="宋体" w:cs="Times New Roman"/>
                <w:bCs/>
                <w:sz w:val="21"/>
                <w:szCs w:val="21"/>
                <w:lang w:eastAsia="zh-CN"/>
              </w:rPr>
              <w:t>，</w:t>
            </w:r>
            <w:r>
              <w:rPr>
                <w:rFonts w:hint="default" w:ascii="Times New Roman" w:hAnsi="Times New Roman" w:eastAsia="宋体" w:cs="Times New Roman"/>
                <w:bCs/>
                <w:sz w:val="21"/>
                <w:szCs w:val="21"/>
              </w:rPr>
              <w:t>炉顶设全覆盖式轻型防雨屋盖</w:t>
            </w:r>
            <w:bookmarkEnd w:id="36"/>
            <w:r>
              <w:rPr>
                <w:rFonts w:hint="default" w:ascii="Times New Roman" w:hAnsi="Times New Roman" w:eastAsia="宋体" w:cs="Times New Roman"/>
                <w:bCs/>
                <w:sz w:val="21"/>
                <w:szCs w:val="21"/>
              </w:rPr>
              <w:t>，同时布置脱硝装置。</w:t>
            </w:r>
          </w:p>
        </w:tc>
        <w:tc>
          <w:tcPr>
            <w:tcW w:w="758" w:type="pct"/>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72" w:type="pct"/>
            <w:tcBorders>
              <w:left w:val="single" w:color="auto" w:sz="4" w:space="0"/>
              <w:bottom w:val="nil"/>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汽轮机</w:t>
            </w:r>
          </w:p>
        </w:tc>
        <w:tc>
          <w:tcPr>
            <w:tcW w:w="1708"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eastAsia="zh-CN"/>
              </w:rPr>
            </w:pPr>
            <w:r>
              <w:rPr>
                <w:rFonts w:hint="default" w:ascii="Times New Roman" w:hAnsi="Times New Roman" w:eastAsia="宋体" w:cs="Times New Roman"/>
                <w:bCs/>
                <w:sz w:val="21"/>
                <w:szCs w:val="21"/>
              </w:rPr>
              <w:t>超超临界、双轴高低位布置、二次再热、纯凝式汽轮机</w:t>
            </w:r>
            <w:r>
              <w:rPr>
                <w:rFonts w:hint="default" w:ascii="Times New Roman" w:hAnsi="Times New Roman" w:eastAsia="宋体" w:cs="Times New Roman"/>
                <w:sz w:val="21"/>
                <w:szCs w:val="21"/>
              </w:rPr>
              <w:t>，额定功率1350MW</w:t>
            </w:r>
          </w:p>
        </w:tc>
        <w:tc>
          <w:tcPr>
            <w:tcW w:w="1661"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超超临界、二次中间再热、双轴、凝汽式、双轴汽轮发电机。高位汽轮发电机布置靠近主蒸汽出口联箱，低位汽轮发电机布置在17m层</w:t>
            </w:r>
            <w:r>
              <w:rPr>
                <w:rFonts w:hint="default" w:ascii="Times New Roman" w:hAnsi="Times New Roman" w:eastAsia="宋体" w:cs="Times New Roman"/>
                <w:bCs/>
                <w:sz w:val="21"/>
                <w:szCs w:val="21"/>
                <w:lang w:eastAsia="zh-CN"/>
              </w:rPr>
              <w:t>，</w:t>
            </w:r>
            <w:r>
              <w:rPr>
                <w:rFonts w:hint="default" w:ascii="Times New Roman" w:hAnsi="Times New Roman" w:eastAsia="宋体" w:cs="Times New Roman"/>
                <w:bCs/>
                <w:sz w:val="21"/>
                <w:szCs w:val="21"/>
              </w:rPr>
              <w:t>额定功率1350MW</w:t>
            </w:r>
            <w:r>
              <w:rPr>
                <w:rFonts w:hint="default" w:ascii="Times New Roman" w:hAnsi="Times New Roman" w:eastAsia="宋体" w:cs="Times New Roman"/>
                <w:bCs/>
                <w:sz w:val="21"/>
                <w:szCs w:val="21"/>
                <w:lang w:eastAsia="zh-CN"/>
              </w:rPr>
              <w:t>。</w:t>
            </w:r>
          </w:p>
        </w:tc>
        <w:tc>
          <w:tcPr>
            <w:tcW w:w="758" w:type="pct"/>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572" w:type="pct"/>
            <w:tcBorders>
              <w:left w:val="single" w:color="auto" w:sz="4" w:space="0"/>
              <w:bottom w:val="nil"/>
              <w:righ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发电机</w:t>
            </w:r>
          </w:p>
        </w:tc>
        <w:tc>
          <w:tcPr>
            <w:tcW w:w="1708"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水氢氢冷汽轮发电机</w:t>
            </w:r>
          </w:p>
        </w:tc>
        <w:tc>
          <w:tcPr>
            <w:tcW w:w="1661"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水氢氢冷汽轮发电机</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bCs/>
                <w:sz w:val="21"/>
                <w:szCs w:val="21"/>
              </w:rPr>
              <w:t>定子绕组水冷，转子绕组及定子铁芯氢冷；</w:t>
            </w:r>
            <w:bookmarkStart w:id="37" w:name="OLE_LINK39"/>
            <w:r>
              <w:rPr>
                <w:rFonts w:hint="default" w:ascii="Times New Roman" w:hAnsi="Times New Roman" w:eastAsia="宋体" w:cs="Times New Roman"/>
                <w:bCs/>
                <w:sz w:val="21"/>
                <w:szCs w:val="21"/>
              </w:rPr>
              <w:t>机端自并励静态励磁</w:t>
            </w:r>
            <w:bookmarkEnd w:id="37"/>
            <w:r>
              <w:rPr>
                <w:rFonts w:hint="default" w:ascii="Times New Roman" w:hAnsi="Times New Roman" w:eastAsia="宋体" w:cs="Times New Roman"/>
                <w:bCs/>
                <w:sz w:val="21"/>
                <w:szCs w:val="21"/>
                <w:lang w:eastAsia="zh-CN"/>
              </w:rPr>
              <w:t>。</w:t>
            </w:r>
          </w:p>
        </w:tc>
        <w:tc>
          <w:tcPr>
            <w:tcW w:w="758" w:type="pct"/>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restart"/>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辅助</w:t>
            </w:r>
          </w:p>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w:t>
            </w:r>
          </w:p>
        </w:tc>
        <w:tc>
          <w:tcPr>
            <w:tcW w:w="572" w:type="pct"/>
            <w:tcBorders>
              <w:left w:val="single" w:color="auto" w:sz="4" w:space="0"/>
              <w:bottom w:val="single" w:color="auto" w:sz="4"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供水系统</w:t>
            </w:r>
          </w:p>
        </w:tc>
        <w:tc>
          <w:tcPr>
            <w:tcW w:w="1708"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补充水源采用</w:t>
            </w:r>
            <w:r>
              <w:rPr>
                <w:rFonts w:hint="default" w:ascii="Times New Roman" w:hAnsi="Times New Roman" w:eastAsia="宋体" w:cs="Times New Roman"/>
                <w:bCs/>
                <w:sz w:val="21"/>
                <w:szCs w:val="21"/>
              </w:rPr>
              <w:t>淮北市经济开发区新区污水处理厂（淮北蓝海水处理有限公司）中水，不足部分由淮水北调配水工程烈山水厂供水。</w:t>
            </w:r>
          </w:p>
        </w:tc>
        <w:tc>
          <w:tcPr>
            <w:tcW w:w="1661"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补充水源采用</w:t>
            </w:r>
            <w:r>
              <w:rPr>
                <w:rFonts w:hint="default" w:ascii="Times New Roman" w:hAnsi="Times New Roman" w:eastAsia="宋体" w:cs="Times New Roman"/>
                <w:bCs/>
                <w:sz w:val="21"/>
                <w:szCs w:val="21"/>
              </w:rPr>
              <w:t>淮北市经济开发区新区污水处理厂（淮北蓝海水处理有限公司）中水，不足部分由淮水北调配水工程烈山水厂供水。</w:t>
            </w:r>
          </w:p>
        </w:tc>
        <w:tc>
          <w:tcPr>
            <w:tcW w:w="758" w:type="pct"/>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left w:val="single" w:color="auto" w:sz="4" w:space="0"/>
              <w:bottom w:val="single" w:color="auto" w:sz="4" w:space="0"/>
              <w:right w:val="single" w:color="auto" w:sz="6" w:space="0"/>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循环水系统</w:t>
            </w:r>
          </w:p>
        </w:tc>
        <w:tc>
          <w:tcPr>
            <w:tcW w:w="1708"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采用带自然通风冷却塔的再循环供水系统，设置1座16000m</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自然通风排烟冷却塔和一座中</w:t>
            </w:r>
            <w:r>
              <w:rPr>
                <w:rFonts w:hint="default" w:ascii="Times New Roman" w:hAnsi="Times New Roman" w:eastAsia="宋体" w:cs="Times New Roman"/>
                <w:sz w:val="21"/>
                <w:szCs w:val="21"/>
              </w:rPr>
              <w:t>央水泵房，循环水进排水管各1根，回水沟1条，冷却塔排水经处理后回用</w:t>
            </w:r>
            <w:r>
              <w:rPr>
                <w:rFonts w:hint="default" w:ascii="Times New Roman" w:hAnsi="Times New Roman" w:eastAsia="宋体" w:cs="Times New Roman"/>
                <w:bCs/>
                <w:sz w:val="21"/>
                <w:szCs w:val="21"/>
              </w:rPr>
              <w:t>。</w:t>
            </w:r>
          </w:p>
        </w:tc>
        <w:tc>
          <w:tcPr>
            <w:tcW w:w="1661" w:type="pct"/>
            <w:gridSpan w:val="2"/>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kern w:val="2"/>
                <w:sz w:val="21"/>
                <w:szCs w:val="21"/>
                <w:lang w:val="en-US" w:eastAsia="zh-CN" w:bidi="ar-SA"/>
              </w:rPr>
            </w:pPr>
            <w:r>
              <w:rPr>
                <w:rFonts w:hint="default" w:ascii="Times New Roman" w:hAnsi="Times New Roman" w:eastAsia="宋体" w:cs="Times New Roman"/>
                <w:bCs/>
                <w:sz w:val="21"/>
                <w:szCs w:val="21"/>
              </w:rPr>
              <w:t>采用带自然通风冷却塔的再循环供水系统，设置1座16000m</w:t>
            </w:r>
            <w:r>
              <w:rPr>
                <w:rFonts w:hint="default" w:ascii="Times New Roman" w:hAnsi="Times New Roman" w:eastAsia="宋体" w:cs="Times New Roman"/>
                <w:bCs/>
                <w:sz w:val="21"/>
                <w:szCs w:val="21"/>
                <w:vertAlign w:val="superscript"/>
              </w:rPr>
              <w:t>2</w:t>
            </w:r>
            <w:r>
              <w:rPr>
                <w:rFonts w:hint="default" w:ascii="Times New Roman" w:hAnsi="Times New Roman" w:eastAsia="宋体" w:cs="Times New Roman"/>
                <w:bCs/>
                <w:sz w:val="21"/>
                <w:szCs w:val="21"/>
              </w:rPr>
              <w:t>自然通风排烟冷却塔和一座中</w:t>
            </w:r>
            <w:r>
              <w:rPr>
                <w:rFonts w:hint="default" w:ascii="Times New Roman" w:hAnsi="Times New Roman" w:eastAsia="宋体" w:cs="Times New Roman"/>
                <w:sz w:val="21"/>
                <w:szCs w:val="21"/>
              </w:rPr>
              <w:t>央水泵房</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冷却塔高度</w:t>
            </w:r>
            <w:r>
              <w:rPr>
                <w:rFonts w:hint="default" w:ascii="Times New Roman" w:hAnsi="Times New Roman" w:eastAsia="宋体" w:cs="Times New Roman"/>
                <w:sz w:val="21"/>
                <w:szCs w:val="21"/>
              </w:rPr>
              <w:t>210</w:t>
            </w:r>
            <w:r>
              <w:rPr>
                <w:rFonts w:hint="default" w:ascii="Times New Roman" w:hAnsi="Times New Roman" w:eastAsia="宋体" w:cs="Times New Roman"/>
                <w:sz w:val="21"/>
                <w:szCs w:val="21"/>
                <w:lang w:val="en-US" w:eastAsia="zh-CN"/>
              </w:rPr>
              <w:t>m。</w:t>
            </w:r>
            <w:r>
              <w:rPr>
                <w:rFonts w:hint="default" w:ascii="Times New Roman" w:hAnsi="Times New Roman" w:eastAsia="宋体" w:cs="Times New Roman"/>
                <w:sz w:val="21"/>
                <w:szCs w:val="21"/>
              </w:rPr>
              <w:t>循环水进排水管各1根，回水沟1条，冷却塔排水经处理后回用</w:t>
            </w:r>
            <w:r>
              <w:rPr>
                <w:rFonts w:hint="default" w:ascii="Times New Roman" w:hAnsi="Times New Roman" w:eastAsia="宋体" w:cs="Times New Roman"/>
                <w:bCs/>
                <w:sz w:val="21"/>
                <w:szCs w:val="21"/>
              </w:rPr>
              <w:t>。</w:t>
            </w:r>
          </w:p>
        </w:tc>
        <w:tc>
          <w:tcPr>
            <w:tcW w:w="758" w:type="pct"/>
            <w:tcBorders>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除灰渣系统</w:t>
            </w:r>
          </w:p>
        </w:tc>
        <w:tc>
          <w:tcPr>
            <w:tcW w:w="1708" w:type="pct"/>
            <w:gridSpan w:val="2"/>
            <w:tcBorders>
              <w:left w:val="nil"/>
              <w:bottom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本工程底渣采用刮板捞渣机－渣仓方案，设一座有效容积210m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的渣仓；飞灰采用正压浓相气力输送系统，设三座灰库</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原、粗、细各一座</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，每座灰库有效容积为3000m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1661" w:type="pct"/>
            <w:gridSpan w:val="2"/>
            <w:tcBorders>
              <w:left w:val="nil"/>
              <w:bottom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本工程底渣采用刮板捞渣机－渣仓方案，设一座有效容积210m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的渣仓；飞灰采用正压浓相气力输送系统，设三座灰库</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原、粗、细各一座</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rPr>
              <w:t>，每座灰库有效容积为3000m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w:t>
            </w:r>
          </w:p>
        </w:tc>
        <w:tc>
          <w:tcPr>
            <w:tcW w:w="758" w:type="pct"/>
            <w:tcBorders>
              <w:left w:val="nil"/>
              <w:bottom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化水处理系统</w:t>
            </w:r>
          </w:p>
        </w:tc>
        <w:tc>
          <w:tcPr>
            <w:tcW w:w="1708" w:type="pct"/>
            <w:gridSpan w:val="2"/>
            <w:tcBorders>
              <w:top w:val="single" w:color="auto" w:sz="4" w:space="0"/>
              <w:left w:val="nil"/>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napToGrid w:val="0"/>
                <w:sz w:val="21"/>
                <w:szCs w:val="21"/>
              </w:rPr>
              <w:t>原水预处理采用石灰凝聚澄清处理工艺，与一期一致；锅炉补给水处理系统</w:t>
            </w:r>
            <w:r>
              <w:rPr>
                <w:rFonts w:hint="default" w:ascii="Times New Roman" w:hAnsi="Times New Roman" w:eastAsia="宋体" w:cs="Times New Roman"/>
                <w:sz w:val="21"/>
                <w:szCs w:val="21"/>
              </w:rPr>
              <w:t>采用“超滤+反渗透+一级除盐+混床”方案；凝结水精处理系统采用前置过滤器加混床方案，设一套再生系统；氢气采用外购方案，与一期共用供氢站。</w:t>
            </w:r>
          </w:p>
        </w:tc>
        <w:tc>
          <w:tcPr>
            <w:tcW w:w="1661" w:type="pct"/>
            <w:gridSpan w:val="2"/>
            <w:tcBorders>
              <w:top w:val="single" w:color="auto" w:sz="4" w:space="0"/>
              <w:left w:val="nil"/>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napToGrid w:val="0"/>
                <w:sz w:val="21"/>
                <w:szCs w:val="21"/>
              </w:rPr>
              <w:t>原水预处理采用石灰凝聚澄清处理工艺，与一期一致；锅炉补给水处理系统</w:t>
            </w:r>
            <w:r>
              <w:rPr>
                <w:rFonts w:hint="default" w:ascii="Times New Roman" w:hAnsi="Times New Roman" w:eastAsia="宋体" w:cs="Times New Roman"/>
                <w:sz w:val="21"/>
                <w:szCs w:val="21"/>
              </w:rPr>
              <w:t>采用“超滤+反渗透+一级除盐+混床”方案；凝结水精处理系统采用前置过滤器加混床方案，设一套再生系统；氢气采用外购方案，与一期共用供氢站。</w:t>
            </w:r>
          </w:p>
        </w:tc>
        <w:tc>
          <w:tcPr>
            <w:tcW w:w="758" w:type="pct"/>
            <w:tcBorders>
              <w:top w:val="single" w:color="auto" w:sz="4" w:space="0"/>
              <w:left w:val="nil"/>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zh-CN"/>
              </w:rPr>
              <w:t>运煤系统</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燃煤通过一期建成的铁路专用线运至厂外翻车机室，经翻车机翻卸后由封闭式管带机送入二期煤场。本期在一期煤场北侧扩建1个折返式条形煤场，内设一台斗轮堆取料机，储煤量15.6万吨。</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燃煤通过一期建成的铁路专用线运至厂外翻车机室，经翻车机翻卸后由封闭式管带机送入二期煤场。本期在一期煤场北侧扩建1个折返式条形煤场，内设一台斗轮堆取料机，储煤量15.6万吨。</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restart"/>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环保</w:t>
            </w:r>
          </w:p>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w:t>
            </w:r>
          </w:p>
        </w:tc>
        <w:tc>
          <w:tcPr>
            <w:tcW w:w="572" w:type="pct"/>
            <w:tcBorders>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烟尘治理</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五电场低低温静电除尘器，除尘效率99.926％。</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配置2台四室五电场静电除尘器，一套智能静电除尘器中央集中管理控制系统，不考虑烟气脱硫系统50%的烟气除尘效率，设计</w:t>
            </w:r>
            <w:r>
              <w:rPr>
                <w:rFonts w:hint="default" w:ascii="Times New Roman" w:hAnsi="Times New Roman" w:eastAsia="宋体" w:cs="Times New Roman"/>
                <w:sz w:val="21"/>
                <w:szCs w:val="21"/>
              </w:rPr>
              <w:t>除尘效率</w:t>
            </w:r>
            <w:r>
              <w:rPr>
                <w:rFonts w:hint="default" w:ascii="Times New Roman" w:hAnsi="Times New Roman" w:eastAsia="宋体" w:cs="Times New Roman"/>
                <w:sz w:val="21"/>
                <w:szCs w:val="21"/>
                <w:lang w:val="en-US" w:eastAsia="zh-CN"/>
              </w:rPr>
              <w:t>能够达到</w:t>
            </w:r>
            <w:r>
              <w:rPr>
                <w:rFonts w:hint="default" w:ascii="Times New Roman" w:hAnsi="Times New Roman" w:eastAsia="宋体" w:cs="Times New Roman"/>
                <w:sz w:val="21"/>
                <w:szCs w:val="21"/>
              </w:rPr>
              <w:t>99.9</w:t>
            </w:r>
            <w:r>
              <w:rPr>
                <w:rFonts w:hint="default" w:ascii="Times New Roman" w:hAnsi="Times New Roman" w:eastAsia="宋体" w:cs="Times New Roman"/>
                <w:sz w:val="21"/>
                <w:szCs w:val="21"/>
                <w:lang w:val="en-US" w:eastAsia="zh-CN"/>
              </w:rPr>
              <w:t>59</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满足环评要求</w:t>
            </w:r>
            <w:r>
              <w:rPr>
                <w:rFonts w:hint="default" w:ascii="Times New Roman" w:hAnsi="Times New Roman" w:eastAsia="宋体" w:cs="Times New Roman"/>
                <w:sz w:val="21"/>
                <w:szCs w:val="21"/>
              </w:rPr>
              <w:t>。烟气分为两股从两个除尘器通过</w:t>
            </w:r>
            <w:r>
              <w:rPr>
                <w:rFonts w:hint="default" w:ascii="Times New Roman" w:hAnsi="Times New Roman" w:eastAsia="宋体" w:cs="Times New Roman"/>
                <w:sz w:val="21"/>
                <w:szCs w:val="21"/>
                <w:lang w:eastAsia="zh-CN"/>
              </w:rPr>
              <w:t>。</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烟气脱硫</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石灰石－石膏湿式脱硫装置，脱硫效率97.78％。</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校核煤种为淮北矿业（集团）有限责任公司下属矿井提供。设计煤种、校核煤种的含硫量分别为0.3</w:t>
            </w:r>
            <w:r>
              <w:rPr>
                <w:rFonts w:hint="default" w:ascii="Times New Roman" w:hAnsi="Times New Roman" w:eastAsia="宋体" w:cs="Times New Roman"/>
                <w:sz w:val="21"/>
                <w:szCs w:val="21"/>
                <w:lang w:val="en-US" w:eastAsia="zh-CN"/>
              </w:rPr>
              <w:t>7</w:t>
            </w:r>
            <w:r>
              <w:rPr>
                <w:rFonts w:hint="default" w:ascii="Times New Roman" w:hAnsi="Times New Roman" w:eastAsia="宋体" w:cs="Times New Roman"/>
                <w:sz w:val="21"/>
                <w:szCs w:val="21"/>
              </w:rPr>
              <w:t>%、0.3</w:t>
            </w:r>
            <w:r>
              <w:rPr>
                <w:rFonts w:hint="default" w:ascii="Times New Roman" w:hAnsi="Times New Roman" w:eastAsia="宋体" w:cs="Times New Roman"/>
                <w:sz w:val="21"/>
                <w:szCs w:val="21"/>
                <w:lang w:val="en-US" w:eastAsia="zh-CN"/>
              </w:rPr>
              <w:t>2</w:t>
            </w:r>
            <w:r>
              <w:rPr>
                <w:rFonts w:hint="default" w:ascii="Times New Roman" w:hAnsi="Times New Roman" w:eastAsia="宋体" w:cs="Times New Roman"/>
                <w:sz w:val="21"/>
                <w:szCs w:val="21"/>
              </w:rPr>
              <w:t>%；采用石灰石－石膏湿式脱硫装置，不设置GGH</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设置5层石灰浆液喷淋层，设计</w:t>
            </w:r>
            <w:r>
              <w:rPr>
                <w:rFonts w:hint="default" w:ascii="Times New Roman" w:hAnsi="Times New Roman" w:eastAsia="宋体" w:cs="Times New Roman"/>
                <w:sz w:val="21"/>
                <w:szCs w:val="21"/>
              </w:rPr>
              <w:t>脱硫效率</w:t>
            </w:r>
            <w:r>
              <w:rPr>
                <w:rFonts w:hint="default" w:ascii="Times New Roman" w:hAnsi="Times New Roman" w:eastAsia="宋体" w:cs="Times New Roman"/>
                <w:sz w:val="21"/>
                <w:szCs w:val="21"/>
                <w:lang w:val="en-US" w:eastAsia="zh-CN"/>
              </w:rPr>
              <w:t>不低于</w:t>
            </w:r>
            <w:r>
              <w:rPr>
                <w:rFonts w:hint="default" w:ascii="Times New Roman" w:hAnsi="Times New Roman" w:eastAsia="宋体" w:cs="Times New Roman"/>
                <w:sz w:val="21"/>
                <w:szCs w:val="21"/>
              </w:rPr>
              <w:t>9</w:t>
            </w:r>
            <w:r>
              <w:rPr>
                <w:rFonts w:hint="default" w:ascii="Times New Roman" w:hAnsi="Times New Roman" w:eastAsia="宋体" w:cs="Times New Roman"/>
                <w:sz w:val="21"/>
                <w:szCs w:val="21"/>
                <w:lang w:val="en-US" w:eastAsia="zh-CN"/>
              </w:rPr>
              <w:t>9.04</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val="en-US" w:eastAsia="zh-CN"/>
              </w:rPr>
              <w:t>满足环评要求。</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烟气脱硝</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低氮燃烧器+SCR烟气脱硝装置，脱硝效率85％。</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脱硝还原剂采用液氨，液氨由外部采购，贮存于场内液氨储罐。</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采用低氮燃烧技术(低NOx燃烧器、分级配风)，抑制NOx的生成量和排放量。烟气采用SCR烟气脱硝装置，</w:t>
            </w:r>
            <w:r>
              <w:rPr>
                <w:rFonts w:hint="default" w:ascii="Times New Roman" w:hAnsi="Times New Roman" w:eastAsia="宋体" w:cs="Times New Roman"/>
                <w:sz w:val="21"/>
                <w:szCs w:val="21"/>
                <w:lang w:val="zh-CN" w:eastAsia="zh-CN"/>
              </w:rPr>
              <w:t>脱硝效率不小于85%</w:t>
            </w:r>
            <w:r>
              <w:rPr>
                <w:rFonts w:hint="default" w:ascii="Times New Roman" w:hAnsi="Times New Roman" w:eastAsia="宋体" w:cs="Times New Roman"/>
                <w:sz w:val="21"/>
                <w:szCs w:val="21"/>
                <w:lang w:val="en-US" w:eastAsia="zh-CN"/>
              </w:rPr>
              <w:t>（附加层催化剂不同步投运时）。</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脱硝还原剂采用液氨，液氨由尿素热解产生，取消场内液氨储罐，增加尿素热解发生装置。</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脱硝工艺及脱硝还原剂未发生变化；取消了场内液氨储罐，减少了场内风险源。</w:t>
            </w:r>
            <w:r>
              <w:rPr>
                <w:rFonts w:hint="eastAsia" w:cs="Times New Roman"/>
                <w:sz w:val="21"/>
                <w:szCs w:val="21"/>
                <w:lang w:val="en-US" w:eastAsia="zh-CN"/>
              </w:rPr>
              <w:t>烟气处理设施已完成专项验收。</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烟气脱汞</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采用静电除尘器、SCR脱硝装置和</w:t>
            </w:r>
            <w:r>
              <w:rPr>
                <w:rFonts w:hint="default" w:ascii="Times New Roman" w:hAnsi="Times New Roman" w:eastAsia="宋体" w:cs="Times New Roman"/>
                <w:snapToGrid w:val="0"/>
                <w:sz w:val="21"/>
                <w:szCs w:val="21"/>
              </w:rPr>
              <w:t>石灰石-石膏湿法脱硫</w:t>
            </w:r>
            <w:r>
              <w:rPr>
                <w:rFonts w:hint="default" w:ascii="Times New Roman" w:hAnsi="Times New Roman" w:eastAsia="宋体" w:cs="Times New Roman"/>
                <w:bCs/>
                <w:sz w:val="21"/>
                <w:szCs w:val="21"/>
              </w:rPr>
              <w:t>协同控制脱汞</w:t>
            </w:r>
            <w:r>
              <w:rPr>
                <w:rFonts w:hint="default" w:ascii="Times New Roman" w:hAnsi="Times New Roman" w:eastAsia="宋体" w:cs="Times New Roman"/>
                <w:sz w:val="21"/>
                <w:szCs w:val="21"/>
              </w:rPr>
              <w:t>，</w:t>
            </w:r>
            <w:r>
              <w:rPr>
                <w:rFonts w:hint="default" w:ascii="Times New Roman" w:hAnsi="Times New Roman" w:eastAsia="宋体" w:cs="Times New Roman"/>
                <w:bCs/>
                <w:sz w:val="21"/>
                <w:szCs w:val="21"/>
              </w:rPr>
              <w:t>脱汞效率可达70%以上。</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采用静电除尘器、SCR脱硝装置和</w:t>
            </w:r>
            <w:r>
              <w:rPr>
                <w:rFonts w:hint="default" w:ascii="Times New Roman" w:hAnsi="Times New Roman" w:eastAsia="宋体" w:cs="Times New Roman"/>
                <w:snapToGrid w:val="0"/>
                <w:sz w:val="21"/>
                <w:szCs w:val="21"/>
              </w:rPr>
              <w:t>石灰石-石膏湿法脱硫</w:t>
            </w:r>
            <w:r>
              <w:rPr>
                <w:rFonts w:hint="default" w:ascii="Times New Roman" w:hAnsi="Times New Roman" w:eastAsia="宋体" w:cs="Times New Roman"/>
                <w:bCs/>
                <w:sz w:val="21"/>
                <w:szCs w:val="21"/>
              </w:rPr>
              <w:t>协同控制脱汞</w:t>
            </w:r>
            <w:r>
              <w:rPr>
                <w:rFonts w:hint="default" w:ascii="Times New Roman" w:hAnsi="Times New Roman" w:eastAsia="宋体" w:cs="Times New Roman"/>
                <w:sz w:val="21"/>
                <w:szCs w:val="21"/>
              </w:rPr>
              <w:t>，</w:t>
            </w:r>
            <w:r>
              <w:rPr>
                <w:rFonts w:hint="default" w:ascii="Times New Roman" w:hAnsi="Times New Roman" w:eastAsia="宋体" w:cs="Times New Roman"/>
                <w:bCs/>
                <w:sz w:val="21"/>
                <w:szCs w:val="21"/>
              </w:rPr>
              <w:t>脱汞效率可达70%以上。</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vMerge w:val="restart"/>
            <w:tcBorders>
              <w:top w:val="single" w:color="auto" w:sz="4" w:space="0"/>
              <w:left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煤场防尘</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煤场采用喷淋装置进行抑尘，煤场上部设置干煤棚，两端设置防风抑尘网进行抑尘。</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yellow"/>
                <w:lang w:val="en-US" w:eastAsia="zh-CN"/>
              </w:rPr>
            </w:pPr>
            <w:r>
              <w:rPr>
                <w:rFonts w:hint="default" w:ascii="Times New Roman" w:hAnsi="Times New Roman" w:eastAsia="宋体" w:cs="Times New Roman"/>
                <w:sz w:val="21"/>
                <w:szCs w:val="21"/>
              </w:rPr>
              <w:t>煤场采用喷淋装置进行抑尘，煤场上部设置干煤棚，两端设置防风抑尘网进行抑尘。煤仓层、碎煤机室、转运站及固定转运点设高压静电除尘器。皮带机头、尾部设挡帘、自动喷雾装置，减少煤尘飞扬。卸煤沟、斗轮机上设有喷雾装置。</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vMerge w:val="continue"/>
            <w:tcBorders>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一期煤场按照二期煤场的污染防治要求（</w:t>
            </w:r>
            <w:r>
              <w:rPr>
                <w:rFonts w:hint="default" w:ascii="Times New Roman" w:hAnsi="Times New Roman" w:eastAsia="宋体" w:cs="Times New Roman"/>
                <w:sz w:val="21"/>
                <w:szCs w:val="21"/>
              </w:rPr>
              <w:t>上部设置干煤棚，两端设防风抑尘网</w:t>
            </w:r>
            <w:r>
              <w:rPr>
                <w:rFonts w:hint="default" w:ascii="Times New Roman" w:hAnsi="Times New Roman" w:eastAsia="宋体" w:cs="Times New Roman"/>
                <w:sz w:val="21"/>
                <w:szCs w:val="21"/>
                <w:lang w:val="en-US" w:eastAsia="zh-CN"/>
              </w:rPr>
              <w:t>）同步进行改造</w:t>
            </w:r>
            <w:r>
              <w:rPr>
                <w:rFonts w:hint="default" w:ascii="Times New Roman" w:hAnsi="Times New Roman" w:eastAsia="宋体" w:cs="Times New Roman"/>
                <w:sz w:val="21"/>
                <w:szCs w:val="21"/>
              </w:rPr>
              <w:t>。</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一期煤场已根据环评要求完成“上部设置干煤棚，两端设防风抑尘网”的改造工作</w:t>
            </w:r>
          </w:p>
        </w:tc>
        <w:tc>
          <w:tcPr>
            <w:tcW w:w="758" w:type="pct"/>
            <w:tcBorders>
              <w:left w:val="single" w:color="auto" w:sz="6" w:space="0"/>
            </w:tcBorders>
            <w:noWrap w:val="0"/>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各种工业废水和生活污水分别经相应处理后回收利用，污废水“零排放”。本期工程新增一座2000m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废水贮存池，新增一套30m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/h的脱硫废水处理系统。</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本期工程在新建煤场的两端设置2个煤泥沉淀池（35m×15m×5.5m），北侧煤泥沉淀池旁设置一套40m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/h含煤废水处理设备</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各种工业废水和生活污水分别经相应处理后回收利用，污废水“零排放”。本期工程新增一座2000m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废水贮存池，新增一套30m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/h的脱硫废水处理系统。</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结合实际情况，</w:t>
            </w:r>
            <w:r>
              <w:rPr>
                <w:rFonts w:hint="default" w:ascii="Times New Roman" w:hAnsi="Times New Roman" w:eastAsia="宋体" w:cs="Times New Roman"/>
                <w:sz w:val="21"/>
                <w:szCs w:val="21"/>
              </w:rPr>
              <w:t>本期工程在新建煤场的</w:t>
            </w:r>
            <w:r>
              <w:rPr>
                <w:rFonts w:hint="default" w:ascii="Times New Roman" w:hAnsi="Times New Roman" w:eastAsia="宋体" w:cs="Times New Roman"/>
                <w:sz w:val="21"/>
                <w:szCs w:val="21"/>
                <w:lang w:val="en-US" w:eastAsia="zh-CN"/>
              </w:rPr>
              <w:t>西侧</w:t>
            </w:r>
            <w:r>
              <w:rPr>
                <w:rFonts w:hint="default" w:ascii="Times New Roman" w:hAnsi="Times New Roman" w:eastAsia="宋体" w:cs="Times New Roman"/>
                <w:sz w:val="21"/>
                <w:szCs w:val="21"/>
              </w:rPr>
              <w:t>设置</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个煤泥沉淀池，</w:t>
            </w:r>
            <w:r>
              <w:rPr>
                <w:rFonts w:hint="default" w:ascii="Times New Roman" w:hAnsi="Times New Roman" w:eastAsia="宋体" w:cs="Times New Roman"/>
                <w:sz w:val="21"/>
                <w:szCs w:val="21"/>
                <w:lang w:val="en-US" w:eastAsia="zh-CN"/>
              </w:rPr>
              <w:t>考虑一期工程</w:t>
            </w:r>
            <w:r>
              <w:rPr>
                <w:rFonts w:hint="default" w:ascii="Times New Roman" w:hAnsi="Times New Roman" w:eastAsia="宋体" w:cs="Times New Roman"/>
                <w:sz w:val="21"/>
                <w:szCs w:val="21"/>
              </w:rPr>
              <w:t>含煤废水处理</w:t>
            </w:r>
            <w:r>
              <w:rPr>
                <w:rFonts w:hint="default" w:ascii="Times New Roman" w:hAnsi="Times New Roman" w:eastAsia="宋体" w:cs="Times New Roman"/>
                <w:sz w:val="21"/>
                <w:szCs w:val="21"/>
                <w:lang w:val="en-US" w:eastAsia="zh-CN"/>
              </w:rPr>
              <w:t>设备处理能力，本期不新建</w:t>
            </w:r>
            <w:r>
              <w:rPr>
                <w:rFonts w:hint="default" w:ascii="Times New Roman" w:hAnsi="Times New Roman" w:eastAsia="宋体" w:cs="Times New Roman"/>
                <w:sz w:val="21"/>
                <w:szCs w:val="21"/>
              </w:rPr>
              <w:t>含煤废水处理设备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依托一期</w:t>
            </w:r>
            <w:r>
              <w:rPr>
                <w:rFonts w:hint="default" w:ascii="Times New Roman" w:hAnsi="Times New Roman" w:eastAsia="宋体" w:cs="Times New Roman"/>
                <w:sz w:val="21"/>
                <w:szCs w:val="21"/>
              </w:rPr>
              <w:t>含煤废水处理</w:t>
            </w:r>
            <w:r>
              <w:rPr>
                <w:rFonts w:hint="default" w:ascii="Times New Roman" w:hAnsi="Times New Roman" w:eastAsia="宋体" w:cs="Times New Roman"/>
                <w:sz w:val="21"/>
                <w:szCs w:val="21"/>
                <w:lang w:val="en-US" w:eastAsia="zh-CN"/>
              </w:rPr>
              <w:t>系统，净化后废水用于煤场喷淋。</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结合实际情况，仅在煤场西侧设置一个</w:t>
            </w:r>
            <w:r>
              <w:rPr>
                <w:rFonts w:hint="default" w:ascii="Times New Roman" w:hAnsi="Times New Roman" w:eastAsia="宋体" w:cs="Times New Roman"/>
                <w:sz w:val="21"/>
                <w:szCs w:val="21"/>
              </w:rPr>
              <w:t>煤泥沉淀池</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含煤废水依托一期</w:t>
            </w:r>
            <w:r>
              <w:rPr>
                <w:rFonts w:hint="default" w:ascii="Times New Roman" w:hAnsi="Times New Roman" w:eastAsia="宋体" w:cs="Times New Roman"/>
                <w:sz w:val="21"/>
                <w:szCs w:val="21"/>
              </w:rPr>
              <w:t>含煤废水处理</w:t>
            </w:r>
            <w:r>
              <w:rPr>
                <w:rFonts w:hint="default" w:ascii="Times New Roman" w:hAnsi="Times New Roman" w:eastAsia="宋体" w:cs="Times New Roman"/>
                <w:sz w:val="21"/>
                <w:szCs w:val="21"/>
                <w:lang w:val="en-US" w:eastAsia="zh-CN"/>
              </w:rPr>
              <w:t>系统处理，处理后回用于煤场及输煤系统冲洗。</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其余设施建设情况与环评一致。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灰渣及石膏贮存</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bCs/>
                <w:sz w:val="21"/>
                <w:szCs w:val="21"/>
              </w:rPr>
              <w:t>锅炉灰渣和脱硫石膏首先立足于综合利用，当综合利用不畅时，送至灰场储存；</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bCs/>
                <w:sz w:val="21"/>
                <w:szCs w:val="21"/>
              </w:rPr>
              <w:t>锅炉灰渣和脱硫石膏首先立足于综合利用，当综合利用不畅时，送至灰场储存；</w:t>
            </w:r>
            <w:r>
              <w:rPr>
                <w:rFonts w:hint="default" w:ascii="Times New Roman" w:hAnsi="Times New Roman" w:eastAsia="宋体" w:cs="Times New Roman"/>
                <w:bCs/>
                <w:sz w:val="21"/>
                <w:szCs w:val="21"/>
                <w:lang w:val="en-US" w:eastAsia="zh-CN"/>
              </w:rPr>
              <w:t>灰场依托一期水冲子灰场。</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对高噪声源采取有效的隔声、吸声、减振等措施，并采取绿化措施降低噪声影响。</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对高噪声源采取有效的隔声、吸声、减振等措施，并采取绿化措施降低噪声影响。</w:t>
            </w:r>
          </w:p>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lang w:val="en-US" w:eastAsia="zh-CN"/>
              </w:rPr>
            </w:pPr>
            <w:r>
              <w:rPr>
                <w:rFonts w:hint="default" w:ascii="Times New Roman" w:hAnsi="Times New Roman" w:eastAsia="宋体" w:cs="Times New Roman"/>
                <w:sz w:val="21"/>
                <w:szCs w:val="21"/>
              </w:rPr>
              <w:t>在冷却塔周围靠近厂界一侧设置高</w:t>
            </w:r>
            <w:r>
              <w:rPr>
                <w:rFonts w:hint="default" w:ascii="Times New Roman" w:hAnsi="Times New Roman" w:eastAsia="宋体" w:cs="Times New Roman"/>
                <w:sz w:val="21"/>
                <w:szCs w:val="21"/>
                <w:lang w:val="en-US" w:eastAsia="zh-CN"/>
              </w:rPr>
              <w:t>8.5</w:t>
            </w:r>
            <w:r>
              <w:rPr>
                <w:rFonts w:hint="default" w:ascii="Times New Roman" w:hAnsi="Times New Roman" w:eastAsia="宋体" w:cs="Times New Roman"/>
                <w:sz w:val="21"/>
                <w:szCs w:val="21"/>
              </w:rPr>
              <w:t>m，长度约为</w:t>
            </w:r>
            <w:r>
              <w:rPr>
                <w:rFonts w:hint="default" w:ascii="Times New Roman" w:hAnsi="Times New Roman" w:eastAsia="宋体" w:cs="Times New Roman"/>
                <w:sz w:val="21"/>
                <w:szCs w:val="21"/>
                <w:lang w:val="en-US" w:eastAsia="zh-CN"/>
              </w:rPr>
              <w:t>162.4</w:t>
            </w:r>
            <w:r>
              <w:rPr>
                <w:rFonts w:hint="default" w:ascii="Times New Roman" w:hAnsi="Times New Roman" w:eastAsia="宋体" w:cs="Times New Roman"/>
                <w:sz w:val="21"/>
                <w:szCs w:val="21"/>
              </w:rPr>
              <w:t>m的隔声屏障</w:t>
            </w:r>
            <w:r>
              <w:rPr>
                <w:rFonts w:hint="default" w:ascii="Times New Roman" w:hAnsi="Times New Roman" w:eastAsia="宋体" w:cs="Times New Roman"/>
                <w:sz w:val="21"/>
                <w:szCs w:val="21"/>
                <w:lang w:eastAsia="zh-CN"/>
              </w:rPr>
              <w:t>。</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eastAsia" w:ascii="Times New Roman" w:hAnsi="Times New Roman" w:cs="Times New Roman"/>
                <w:sz w:val="21"/>
                <w:szCs w:val="21"/>
                <w:lang w:val="en-US" w:eastAsia="zh-CN"/>
              </w:rPr>
              <w:t>固废</w:t>
            </w:r>
            <w:r>
              <w:rPr>
                <w:rFonts w:hint="default" w:ascii="Times New Roman" w:hAnsi="Times New Roman" w:eastAsia="宋体" w:cs="Times New Roman"/>
                <w:sz w:val="21"/>
                <w:szCs w:val="21"/>
              </w:rPr>
              <w:t>治理</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sz w:val="21"/>
                <w:szCs w:val="21"/>
              </w:rPr>
            </w:pP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lang w:val="en-US" w:eastAsia="zh-CN"/>
              </w:rPr>
            </w:pP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restart"/>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依托</w:t>
            </w:r>
          </w:p>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工程</w:t>
            </w: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灰场及运灰道路</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44"/>
                <w:sz w:val="21"/>
                <w:szCs w:val="21"/>
              </w:rPr>
              <w:t>本期工程不建永久性灰场，临时事故灰场利用一期水冲子灰场。运灰道路利用一期的运灰道路。</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44"/>
                <w:sz w:val="21"/>
                <w:szCs w:val="21"/>
              </w:rPr>
              <w:t>本期工程不建永久性灰场，临时事故灰场利用一期水冲子灰场。运灰道路利用一期的运灰道路。</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44"/>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中水取水泵房及输水管线</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44"/>
                <w:sz w:val="21"/>
                <w:szCs w:val="21"/>
              </w:rPr>
            </w:pPr>
            <w:r>
              <w:rPr>
                <w:rFonts w:hint="default" w:ascii="Times New Roman" w:hAnsi="Times New Roman" w:eastAsia="宋体" w:cs="Times New Roman"/>
                <w:kern w:val="44"/>
                <w:sz w:val="21"/>
                <w:szCs w:val="21"/>
              </w:rPr>
              <w:t>本期工程补给水部分利用淮北市经济开发区新区污水处理厂中水，该水源也是一期工程的补充水水源，一期已建成蓝海污水处理厂厂外泵站和输水管线进厂，本期工程不在新建。</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44"/>
                <w:sz w:val="21"/>
                <w:szCs w:val="21"/>
                <w:lang w:val="en-US" w:eastAsia="zh-CN" w:bidi="ar-SA"/>
              </w:rPr>
            </w:pPr>
            <w:r>
              <w:rPr>
                <w:rFonts w:hint="default" w:ascii="Times New Roman" w:hAnsi="Times New Roman" w:eastAsia="宋体" w:cs="Times New Roman"/>
                <w:kern w:val="44"/>
                <w:sz w:val="21"/>
                <w:szCs w:val="21"/>
              </w:rPr>
              <w:t>本期工程补给水部分利用淮北市经济开发区新区污水处理厂中水，</w:t>
            </w:r>
            <w:r>
              <w:rPr>
                <w:rFonts w:hint="default" w:ascii="Times New Roman" w:hAnsi="Times New Roman" w:eastAsia="宋体" w:cs="Times New Roman"/>
                <w:kern w:val="44"/>
                <w:sz w:val="21"/>
                <w:szCs w:val="21"/>
                <w:lang w:val="en-US" w:eastAsia="zh-CN"/>
              </w:rPr>
              <w:t>输水管道依托</w:t>
            </w:r>
            <w:r>
              <w:rPr>
                <w:rFonts w:hint="default" w:ascii="Times New Roman" w:hAnsi="Times New Roman" w:eastAsia="宋体" w:cs="Times New Roman"/>
                <w:kern w:val="44"/>
                <w:sz w:val="21"/>
                <w:szCs w:val="21"/>
              </w:rPr>
              <w:t>一期已建成蓝海污水处理厂厂外泵站和输水管线进厂。</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44"/>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生活污水处理站</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一期工程已设有2×10m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/h生活污水处理站，本期工程设独立的生活污水管网，全厂的生活污水由各建筑物排出后，以自流或部分提升的方式送至一期生活污水处理站进行处理后回用。</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设独立的生活污水管网，全厂的生活污水由各建筑物排出后，以自流或部分提升的方式送至一期生活污水处理站进行处理后回用。</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工业废水处理系统</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一期废水处理系统已设置了3个2000m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和2个1000m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的废水贮存池，及2套处理能力为25m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/h的废水处理设备（其中一套专门用于脱硫废水处理），本期工程利用一期废水处理系统，仅新增一座2000m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废水贮存池。</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新增一座2000m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highlight w:val="none"/>
              </w:rPr>
              <w:t>废水贮存池</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工业废水处理依托</w:t>
            </w:r>
            <w:r>
              <w:rPr>
                <w:rFonts w:hint="default" w:ascii="Times New Roman" w:hAnsi="Times New Roman" w:eastAsia="宋体" w:cs="Times New Roman"/>
                <w:sz w:val="21"/>
                <w:szCs w:val="21"/>
              </w:rPr>
              <w:t>一期废水处理系统</w:t>
            </w:r>
            <w:r>
              <w:rPr>
                <w:rFonts w:hint="default" w:ascii="Times New Roman" w:hAnsi="Times New Roman" w:eastAsia="宋体" w:cs="Times New Roman"/>
                <w:sz w:val="21"/>
                <w:szCs w:val="21"/>
                <w:lang w:eastAsia="zh-CN"/>
              </w:rPr>
              <w:t>。</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液氨区</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一期工程脱硝还原剂采用液氨，已设有一套完整的液氨供应、贮存、制备系统。故本期工程脱硝还原剂拟采用液氨方案，在一期预留场地进行扩建相应的液氨贮存罐及液氨蒸发器等设备。</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lang w:val="en-US" w:eastAsia="zh-CN"/>
              </w:rPr>
              <w:t>本项目不</w:t>
            </w:r>
            <w:r>
              <w:rPr>
                <w:rFonts w:hint="eastAsia" w:cs="Times New Roman"/>
                <w:sz w:val="21"/>
                <w:szCs w:val="21"/>
                <w:lang w:val="en-US" w:eastAsia="zh-CN"/>
              </w:rPr>
              <w:t>再</w:t>
            </w:r>
            <w:r>
              <w:rPr>
                <w:rFonts w:hint="default" w:ascii="Times New Roman" w:hAnsi="Times New Roman" w:eastAsia="宋体" w:cs="Times New Roman"/>
                <w:sz w:val="21"/>
                <w:szCs w:val="21"/>
                <w:lang w:val="en-US" w:eastAsia="zh-CN"/>
              </w:rPr>
              <w:t>设置液氨储罐，脱硝还原剂氨由尿素热解产生，在锅炉北侧增加尿素热解发生装置。</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取消了场内液氨储罐，减少了场内风险源。</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启动锅炉</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本期工程启动汽源来自一期2×660MW机组及启动锅炉（一期已有的2台50t/h），不新建启动锅炉。</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本期工程启动汽源来自一期2×660MW机组及启动锅炉（一期已有的2台50t/h），不新建启动锅炉。</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供氢站</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本期工程采用外购供氢方案，与一期公用供氢站，仅增加6组氢气钢瓶和一套汇流排及相应的厂区管道。</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本期工程采用外购供氢方案，与一期公用供氢站，仅增加6组氢气钢瓶和一套汇流排及相应的厂区管道。</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燃油系统</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一期工程采用轻油点火系统，已建有2×500m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轻油罐、油泵房内已设3台50%的供油泵，锅炉点火采用蒸汽加热启动的暖炉点火方案，二级点火方式（轻油小油枪+煤粉燃烧器），因此本期工程燃油系统仍采用0号轻柴油，不再考虑新增轻油罐及卸油等设施，仅新增1台供油泵。</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一期工程采用轻油点火系统，已建有2×500m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轻油罐、油泵房内已设3台50%的供油泵，锅炉点火采用蒸汽加热启动的暖炉点火方案，二级点火方式（轻油小油枪+煤粉燃烧器），因此本期工程燃油系统仍采用0号轻柴油，不再考虑新增轻油罐及卸油等设施，新增1台供油泵。</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298" w:type="pct"/>
            <w:vMerge w:val="continue"/>
            <w:tcBorders>
              <w:left w:val="single" w:color="auto" w:sz="6" w:space="0"/>
              <w:right w:val="single" w:color="auto" w:sz="4"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p>
        </w:tc>
        <w:tc>
          <w:tcPr>
            <w:tcW w:w="572" w:type="pct"/>
            <w:tcBorders>
              <w:top w:val="single" w:color="auto" w:sz="4" w:space="0"/>
              <w:left w:val="single" w:color="auto" w:sz="4" w:space="0"/>
              <w:bottom w:val="single" w:color="auto" w:sz="4"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送出工程</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一期已建成500kV屋外配电装置，本期工程扩建两台主变接入一期预留的间隔内。</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一期已建成500kV屋外配电装置，本期工程扩建两台主变接入一期预留的间隔内。</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r>
        <w:tblPrEx>
          <w:tblBorders>
            <w:top w:val="single" w:color="auto" w:sz="6" w:space="0"/>
            <w:left w:val="single" w:color="000000" w:sz="6" w:space="0"/>
            <w:bottom w:val="single" w:color="auto" w:sz="6" w:space="0"/>
            <w:right w:val="single" w:color="000000" w:sz="6" w:space="0"/>
            <w:insideH w:val="single" w:color="auto" w:sz="6" w:space="0"/>
            <w:insideV w:val="single" w:color="000000" w:sz="6" w:space="0"/>
          </w:tblBorders>
          <w:tblCellMar>
            <w:top w:w="0" w:type="dxa"/>
            <w:left w:w="28" w:type="dxa"/>
            <w:bottom w:w="0" w:type="dxa"/>
            <w:right w:w="28" w:type="dxa"/>
          </w:tblCellMar>
        </w:tblPrEx>
        <w:trPr>
          <w:cantSplit/>
        </w:trPr>
        <w:tc>
          <w:tcPr>
            <w:tcW w:w="871" w:type="pct"/>
            <w:gridSpan w:val="2"/>
            <w:tcBorders>
              <w:left w:val="single" w:color="auto" w:sz="6" w:space="0"/>
              <w:righ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公用工程</w:t>
            </w:r>
          </w:p>
        </w:tc>
        <w:tc>
          <w:tcPr>
            <w:tcW w:w="1708"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本期新建厂前区办公楼、职工宿舍、食堂、浴室等建筑。</w:t>
            </w:r>
          </w:p>
        </w:tc>
        <w:tc>
          <w:tcPr>
            <w:tcW w:w="1661" w:type="pct"/>
            <w:gridSpan w:val="2"/>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sz w:val="21"/>
                <w:szCs w:val="21"/>
              </w:rPr>
              <w:t>本期新建厂前区办公楼、职工宿舍、食堂、浴室等建筑。</w:t>
            </w:r>
          </w:p>
        </w:tc>
        <w:tc>
          <w:tcPr>
            <w:tcW w:w="758" w:type="pct"/>
            <w:tcBorders>
              <w:left w:val="single" w:color="auto" w:sz="6" w:space="0"/>
            </w:tcBorders>
            <w:noWrap w:val="0"/>
            <w:vAlign w:val="center"/>
          </w:tcPr>
          <w:p>
            <w:pPr>
              <w:pStyle w:val="18"/>
              <w:keepNext w:val="0"/>
              <w:keepLines w:val="0"/>
              <w:pageBreakBefore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与环评一致</w:t>
            </w:r>
          </w:p>
        </w:tc>
      </w:tr>
    </w:tbl>
    <w:p>
      <w:pPr>
        <w:pStyle w:val="8"/>
        <w:keepNext w:val="0"/>
        <w:keepLines w:val="0"/>
        <w:pageBreakBefore w:val="0"/>
        <w:widowControl w:val="0"/>
        <w:kinsoku/>
        <w:wordWrap/>
        <w:overflowPunct/>
        <w:topLinePunct w:val="0"/>
        <w:autoSpaceDE/>
        <w:autoSpaceDN/>
        <w:bidi w:val="0"/>
        <w:adjustRightInd/>
        <w:spacing w:after="0"/>
        <w:textAlignment w:val="auto"/>
        <w:rPr>
          <w:rFonts w:hint="default" w:ascii="宋体" w:hAnsi="宋体" w:eastAsia="宋体"/>
          <w:color w:val="auto"/>
          <w:sz w:val="24"/>
          <w:szCs w:val="24"/>
          <w:highlight w:val="red"/>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38" w:name="_Toc27807"/>
      <w:bookmarkStart w:id="39" w:name="_Toc31749"/>
      <w:r>
        <w:rPr>
          <w:rFonts w:hint="default" w:ascii="Times New Roman" w:hAnsi="Times New Roman" w:eastAsia="宋体" w:cs="Times New Roman"/>
          <w:color w:val="auto"/>
          <w:highlight w:val="none"/>
          <w:lang w:val="en-US" w:eastAsia="zh-CN"/>
        </w:rPr>
        <w:t>3.</w:t>
      </w:r>
      <w:r>
        <w:rPr>
          <w:rFonts w:hint="eastAsia" w:ascii="Times New Roman" w:hAnsi="Times New Roman" w:eastAsia="宋体" w:cs="Times New Roman"/>
          <w:color w:val="auto"/>
          <w:highlight w:val="none"/>
          <w:lang w:val="en-US" w:eastAsia="zh-CN"/>
        </w:rPr>
        <w:t>3</w:t>
      </w:r>
      <w:bookmarkEnd w:id="38"/>
      <w:r>
        <w:rPr>
          <w:rFonts w:hint="eastAsia" w:ascii="Times New Roman" w:hAnsi="Times New Roman" w:eastAsia="宋体" w:cs="Times New Roman"/>
          <w:color w:val="auto"/>
          <w:highlight w:val="none"/>
          <w:lang w:val="en-US" w:eastAsia="zh-CN"/>
        </w:rPr>
        <w:t>主要原辅材料及燃料</w:t>
      </w:r>
      <w:bookmarkEnd w:id="39"/>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default"/>
          <w:sz w:val="21"/>
          <w:szCs w:val="21"/>
          <w:lang w:val="en-US" w:eastAsia="zh-CN"/>
        </w:rPr>
      </w:pPr>
      <w:r>
        <w:rPr>
          <w:rFonts w:hint="eastAsia" w:ascii="黑体" w:hAnsi="黑体" w:eastAsia="黑体" w:cs="黑体"/>
          <w:color w:val="auto"/>
          <w:sz w:val="21"/>
          <w:szCs w:val="21"/>
          <w:highlight w:val="none"/>
          <w:lang w:val="en-US" w:eastAsia="zh-CN"/>
        </w:rPr>
        <w:t>原辅材料使用一览表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6"/>
        <w:gridCol w:w="2495"/>
        <w:gridCol w:w="1958"/>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6"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cs="Times New Roman"/>
                <w:color w:val="auto"/>
                <w:highlight w:val="none"/>
                <w:vertAlign w:val="baseline"/>
                <w:lang w:val="en-US" w:eastAsia="zh-CN"/>
              </w:rPr>
              <w:t>序号</w:t>
            </w:r>
          </w:p>
        </w:tc>
        <w:tc>
          <w:tcPr>
            <w:tcW w:w="1464"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cs="Times New Roman"/>
                <w:color w:val="auto"/>
                <w:highlight w:val="none"/>
                <w:vertAlign w:val="baseline"/>
                <w:lang w:val="en-US" w:eastAsia="zh-CN"/>
              </w:rPr>
              <w:t>原辅料名称</w:t>
            </w:r>
          </w:p>
        </w:tc>
        <w:tc>
          <w:tcPr>
            <w:tcW w:w="1149"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cs="Times New Roman"/>
                <w:color w:val="auto"/>
                <w:highlight w:val="none"/>
                <w:vertAlign w:val="baseline"/>
                <w:lang w:val="en-US" w:eastAsia="zh-CN"/>
              </w:rPr>
            </w:pPr>
            <w:r>
              <w:rPr>
                <w:rFonts w:hint="eastAsia" w:cs="Times New Roman"/>
                <w:color w:val="auto"/>
                <w:highlight w:val="none"/>
                <w:vertAlign w:val="baseline"/>
                <w:lang w:val="en-US" w:eastAsia="zh-CN"/>
              </w:rPr>
              <w:t>单位</w:t>
            </w:r>
          </w:p>
        </w:tc>
        <w:tc>
          <w:tcPr>
            <w:tcW w:w="1250"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cs="Times New Roman"/>
                <w:color w:val="auto"/>
                <w:highlight w:val="none"/>
                <w:vertAlign w:val="baseline"/>
                <w:lang w:val="en-US" w:eastAsia="zh-CN"/>
              </w:rPr>
              <w:t>实际使用量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6"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sz w:val="24"/>
              </w:rPr>
              <w:t>1</w:t>
            </w:r>
          </w:p>
        </w:tc>
        <w:tc>
          <w:tcPr>
            <w:tcW w:w="1464"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sz w:val="24"/>
              </w:rPr>
              <w:t>燃煤</w:t>
            </w:r>
          </w:p>
        </w:tc>
        <w:tc>
          <w:tcPr>
            <w:tcW w:w="1149"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color w:val="000000"/>
                <w:kern w:val="0"/>
                <w:sz w:val="24"/>
              </w:rPr>
              <w:t>t/a</w:t>
            </w:r>
          </w:p>
        </w:tc>
        <w:tc>
          <w:tcPr>
            <w:tcW w:w="1250"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sz w:val="24"/>
              </w:rPr>
              <w:t>2400000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6"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sz w:val="24"/>
              </w:rPr>
              <w:t>2</w:t>
            </w:r>
          </w:p>
        </w:tc>
        <w:tc>
          <w:tcPr>
            <w:tcW w:w="1464"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sz w:val="24"/>
              </w:rPr>
              <w:t>助燃油</w:t>
            </w:r>
          </w:p>
        </w:tc>
        <w:tc>
          <w:tcPr>
            <w:tcW w:w="1149"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color w:val="000000"/>
                <w:kern w:val="0"/>
                <w:sz w:val="24"/>
              </w:rPr>
              <w:t>t/a</w:t>
            </w:r>
          </w:p>
        </w:tc>
        <w:tc>
          <w:tcPr>
            <w:tcW w:w="1250"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sz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6"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Times New Roman" w:hAnsi="Times New Roman" w:eastAsia="宋体" w:cs="Times New Roman"/>
                <w:color w:val="auto"/>
                <w:highlight w:val="none"/>
                <w:vertAlign w:val="baseline"/>
                <w:lang w:val="en-US" w:eastAsia="zh-CN"/>
              </w:rPr>
            </w:pPr>
            <w:r>
              <w:rPr>
                <w:rFonts w:hint="eastAsia" w:cs="Times New Roman"/>
                <w:sz w:val="24"/>
                <w:lang w:val="en-US" w:eastAsia="zh-CN"/>
              </w:rPr>
              <w:t>3</w:t>
            </w:r>
          </w:p>
        </w:tc>
        <w:tc>
          <w:tcPr>
            <w:tcW w:w="1464"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cs="Times New Roman"/>
                <w:color w:val="auto"/>
                <w:highlight w:val="none"/>
                <w:vertAlign w:val="baseline"/>
                <w:lang w:val="en-US" w:eastAsia="zh-CN"/>
              </w:rPr>
            </w:pPr>
            <w:r>
              <w:rPr>
                <w:rFonts w:ascii="Times New Roman" w:hAnsi="Times New Roman" w:eastAsia="宋体" w:cs="Times New Roman"/>
                <w:sz w:val="24"/>
              </w:rPr>
              <w:t>石灰石</w:t>
            </w:r>
          </w:p>
        </w:tc>
        <w:tc>
          <w:tcPr>
            <w:tcW w:w="1149"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color w:val="000000"/>
                <w:kern w:val="0"/>
                <w:sz w:val="24"/>
              </w:rPr>
              <w:t>t/a</w:t>
            </w:r>
          </w:p>
        </w:tc>
        <w:tc>
          <w:tcPr>
            <w:tcW w:w="1250"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sz w:val="24"/>
              </w:rPr>
              <w:t>49000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36"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eastAsia" w:ascii="Times New Roman" w:hAnsi="Times New Roman" w:eastAsia="宋体" w:cs="Times New Roman"/>
                <w:color w:val="auto"/>
                <w:highlight w:val="none"/>
                <w:vertAlign w:val="baseline"/>
                <w:lang w:val="en-US" w:eastAsia="zh-CN"/>
              </w:rPr>
            </w:pPr>
            <w:r>
              <w:rPr>
                <w:rFonts w:hint="eastAsia" w:cs="Times New Roman"/>
                <w:sz w:val="24"/>
                <w:lang w:val="en-US" w:eastAsia="zh-CN"/>
              </w:rPr>
              <w:t>4</w:t>
            </w:r>
          </w:p>
        </w:tc>
        <w:tc>
          <w:tcPr>
            <w:tcW w:w="1464"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cs="Times New Roman"/>
                <w:color w:val="auto"/>
                <w:highlight w:val="none"/>
                <w:vertAlign w:val="baseline"/>
                <w:lang w:val="en-US" w:eastAsia="zh-CN"/>
              </w:rPr>
            </w:pPr>
            <w:r>
              <w:rPr>
                <w:rFonts w:ascii="Times New Roman" w:hAnsi="Times New Roman" w:eastAsia="宋体" w:cs="Times New Roman"/>
                <w:sz w:val="24"/>
              </w:rPr>
              <w:t>尿素</w:t>
            </w:r>
          </w:p>
        </w:tc>
        <w:tc>
          <w:tcPr>
            <w:tcW w:w="1149"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ascii="Times New Roman" w:hAnsi="Times New Roman" w:eastAsia="宋体" w:cs="Times New Roman"/>
                <w:color w:val="000000"/>
                <w:kern w:val="0"/>
                <w:sz w:val="24"/>
              </w:rPr>
              <w:t>t/a</w:t>
            </w:r>
          </w:p>
        </w:tc>
        <w:tc>
          <w:tcPr>
            <w:tcW w:w="1250" w:type="pct"/>
            <w:vAlign w:val="center"/>
          </w:tcPr>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rPr>
                <w:rFonts w:hint="default" w:ascii="Times New Roman" w:hAnsi="Times New Roman" w:eastAsia="宋体" w:cs="Times New Roman"/>
                <w:color w:val="auto"/>
                <w:highlight w:val="none"/>
                <w:vertAlign w:val="baseline"/>
                <w:lang w:val="en-US" w:eastAsia="zh-CN"/>
              </w:rPr>
            </w:pPr>
            <w:r>
              <w:rPr>
                <w:rFonts w:hint="eastAsia" w:ascii="Times New Roman" w:hAnsi="Times New Roman" w:eastAsia="宋体" w:cs="Times New Roman"/>
                <w:sz w:val="24"/>
              </w:rPr>
              <w:t>3000</w:t>
            </w:r>
          </w:p>
        </w:tc>
      </w:tr>
    </w:tbl>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40" w:name="_Toc16424"/>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1" w:name="_Toc21617"/>
      <w:r>
        <w:rPr>
          <w:rFonts w:hint="eastAsia" w:ascii="Times New Roman" w:hAnsi="Times New Roman" w:eastAsia="宋体" w:cs="Times New Roman"/>
          <w:color w:val="auto"/>
          <w:highlight w:val="none"/>
          <w:lang w:val="en-US" w:eastAsia="zh-CN"/>
        </w:rPr>
        <w:t>3.4水源及水平衡</w:t>
      </w:r>
      <w:bookmarkEnd w:id="41"/>
    </w:p>
    <w:p>
      <w:pPr>
        <w:jc w:val="center"/>
      </w:pPr>
      <w:r>
        <w:drawing>
          <wp:inline distT="0" distB="0" distL="114300" distR="114300">
            <wp:extent cx="7249795" cy="4487545"/>
            <wp:effectExtent l="9525" t="9525" r="17780" b="11430"/>
            <wp:docPr id="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1"/>
                    </pic:cNvPicPr>
                  </pic:nvPicPr>
                  <pic:blipFill>
                    <a:blip r:embed="rId9"/>
                    <a:stretch>
                      <a:fillRect/>
                    </a:stretch>
                  </pic:blipFill>
                  <pic:spPr>
                    <a:xfrm>
                      <a:off x="0" y="0"/>
                      <a:ext cx="7249795" cy="4487545"/>
                    </a:xfrm>
                    <a:prstGeom prst="rect">
                      <a:avLst/>
                    </a:prstGeom>
                    <a:noFill/>
                    <a:ln>
                      <a:solidFill>
                        <a:schemeClr val="tx1"/>
                      </a:solidFill>
                    </a:ln>
                  </pic:spPr>
                </pic:pic>
              </a:graphicData>
            </a:graphic>
          </wp:inline>
        </w:drawing>
      </w:r>
    </w:p>
    <w:p>
      <w:pPr>
        <w:pStyle w:val="8"/>
        <w:jc w:val="center"/>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图3-1本期工程生产用水水平衡图（单位：m</w:t>
      </w:r>
      <w:r>
        <w:rPr>
          <w:rFonts w:hint="eastAsia" w:ascii="黑体" w:hAnsi="黑体" w:eastAsia="黑体" w:cs="黑体"/>
          <w:sz w:val="21"/>
          <w:szCs w:val="21"/>
          <w:vertAlign w:val="superscript"/>
          <w:lang w:val="en-US" w:eastAsia="zh-CN"/>
        </w:rPr>
        <w:t>3</w:t>
      </w:r>
      <w:r>
        <w:rPr>
          <w:rFonts w:hint="eastAsia" w:ascii="黑体" w:hAnsi="黑体" w:eastAsia="黑体" w:cs="黑体"/>
          <w:sz w:val="21"/>
          <w:szCs w:val="21"/>
          <w:lang w:val="en-US" w:eastAsia="zh-CN"/>
        </w:rPr>
        <w:t>/h）</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drawing>
          <wp:inline distT="0" distB="0" distL="114300" distR="114300">
            <wp:extent cx="4952365" cy="572770"/>
            <wp:effectExtent l="9525" t="9525" r="16510" b="14605"/>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0"/>
                    <a:stretch>
                      <a:fillRect/>
                    </a:stretch>
                  </pic:blipFill>
                  <pic:spPr>
                    <a:xfrm>
                      <a:off x="0" y="0"/>
                      <a:ext cx="4952365" cy="572770"/>
                    </a:xfrm>
                    <a:prstGeom prst="rect">
                      <a:avLst/>
                    </a:prstGeom>
                    <a:noFill/>
                    <a:ln>
                      <a:solidFill>
                        <a:schemeClr val="tx1"/>
                      </a:solidFill>
                    </a:ln>
                  </pic:spPr>
                </pic:pic>
              </a:graphicData>
            </a:graphic>
          </wp:inline>
        </w:drawing>
      </w:r>
    </w:p>
    <w:p>
      <w:pPr>
        <w:pStyle w:val="8"/>
        <w:jc w:val="center"/>
        <w:rPr>
          <w:rFonts w:hint="eastAsia" w:ascii="黑体" w:hAnsi="黑体" w:eastAsia="黑体" w:cs="黑体"/>
          <w:b w:val="0"/>
          <w:bCs w:val="0"/>
          <w:sz w:val="21"/>
          <w:szCs w:val="21"/>
          <w:lang w:val="en-US" w:eastAsia="zh-CN"/>
        </w:rPr>
      </w:pPr>
      <w:r>
        <w:rPr>
          <w:rFonts w:hint="eastAsia" w:ascii="黑体" w:hAnsi="黑体" w:eastAsia="黑体" w:cs="黑体"/>
          <w:b w:val="0"/>
          <w:bCs w:val="0"/>
          <w:sz w:val="21"/>
          <w:szCs w:val="21"/>
          <w:lang w:val="en-US" w:eastAsia="zh-CN"/>
        </w:rPr>
        <w:t>图3-2本期工程生活用水水平衡图（单位：m</w:t>
      </w:r>
      <w:r>
        <w:rPr>
          <w:rFonts w:hint="eastAsia" w:ascii="黑体" w:hAnsi="黑体" w:eastAsia="黑体" w:cs="黑体"/>
          <w:b w:val="0"/>
          <w:bCs w:val="0"/>
          <w:sz w:val="21"/>
          <w:szCs w:val="21"/>
          <w:vertAlign w:val="superscript"/>
          <w:lang w:val="en-US" w:eastAsia="zh-CN"/>
        </w:rPr>
        <w:t>3</w:t>
      </w:r>
      <w:r>
        <w:rPr>
          <w:rFonts w:hint="eastAsia" w:ascii="黑体" w:hAnsi="黑体" w:eastAsia="黑体" w:cs="黑体"/>
          <w:b w:val="0"/>
          <w:bCs w:val="0"/>
          <w:sz w:val="21"/>
          <w:szCs w:val="21"/>
          <w:lang w:val="en-US" w:eastAsia="zh-CN"/>
        </w:rPr>
        <w:t>/h）</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2" w:name="_Toc1024"/>
      <w:r>
        <w:rPr>
          <w:rFonts w:hint="eastAsia" w:ascii="Times New Roman" w:hAnsi="Times New Roman" w:eastAsia="宋体" w:cs="Times New Roman"/>
          <w:color w:val="auto"/>
          <w:highlight w:val="none"/>
          <w:lang w:val="en-US" w:eastAsia="zh-CN"/>
        </w:rPr>
        <w:t>3.</w:t>
      </w:r>
      <w:r>
        <w:rPr>
          <w:rFonts w:hint="eastAsia" w:cs="Times New Roman"/>
          <w:color w:val="auto"/>
          <w:highlight w:val="none"/>
          <w:lang w:val="en-US" w:eastAsia="zh-CN"/>
        </w:rPr>
        <w:t>5</w:t>
      </w:r>
      <w:r>
        <w:rPr>
          <w:rFonts w:hint="eastAsia" w:ascii="Times New Roman" w:hAnsi="Times New Roman" w:eastAsia="宋体" w:cs="Times New Roman"/>
          <w:color w:val="auto"/>
          <w:highlight w:val="none"/>
          <w:lang w:val="en-US" w:eastAsia="zh-CN"/>
        </w:rPr>
        <w:t>生产工艺</w:t>
      </w:r>
      <w:bookmarkEnd w:id="40"/>
      <w:bookmarkEnd w:id="42"/>
    </w:p>
    <w:p>
      <w:pPr>
        <w:rPr>
          <w:rFonts w:hint="eastAsia"/>
          <w:highlight w:val="none"/>
          <w:lang w:val="en-US" w:eastAsia="zh-CN"/>
        </w:rPr>
      </w:pPr>
      <w:r>
        <w:rPr>
          <w:rFonts w:hint="eastAsia"/>
          <w:highlight w:val="none"/>
          <w:lang w:val="en-US" w:eastAsia="zh-CN"/>
        </w:rPr>
        <w:t>本工程工艺流程图见图3-3。煤炭由铁路运输方式运至厂内站，通过铁路专用线至煤场，燃料经输煤系统、制粉系统制成煤粉后，送到锅炉燃烧，锅炉烟气加热给水使之产生蒸汽，从而推动汽轮发电机组发电，产生的电能接入厂内配电装置，由500kV线路送出。蒸汽在汽轮机中做功后，蒸汽在凝汽器内被冷却为凝结水，经凝结水处理系统处理后进入给水回热加热器，经给水泵送入锅炉再次参与热力循环。</w:t>
      </w:r>
    </w:p>
    <w:p>
      <w:pPr>
        <w:rPr>
          <w:rFonts w:hint="eastAsia"/>
          <w:highlight w:val="none"/>
          <w:lang w:val="en-US" w:eastAsia="zh-CN"/>
        </w:rPr>
      </w:pPr>
      <w:r>
        <w:rPr>
          <w:rFonts w:hint="eastAsia"/>
          <w:highlight w:val="none"/>
          <w:lang w:val="en-US" w:eastAsia="zh-CN"/>
        </w:rPr>
        <w:t>燃料在锅炉中燃烧后形成的烟气经过SCR脱硝装置脱硝后进入静电除尘器，飞灰由除尘器收集后进入干灰库，烟气进入高效石灰石-石膏湿法脱硫系统脱硫后由冷却塔（烟塔合一）排放。</w:t>
      </w:r>
    </w:p>
    <w:p>
      <w:pPr>
        <w:rPr>
          <w:rFonts w:hint="eastAsia"/>
          <w:highlight w:val="none"/>
          <w:lang w:val="en-US" w:eastAsia="zh-CN"/>
        </w:rPr>
      </w:pPr>
      <w:r>
        <w:rPr>
          <w:rFonts w:hint="eastAsia"/>
          <w:highlight w:val="none"/>
          <w:lang w:val="en-US" w:eastAsia="zh-CN"/>
        </w:rPr>
        <w:t>收入干灰库的干灰由密封车运去综合利用。当灰渣利用不畅时，送至灰场贮存。炉渣由锅炉底部排出，利用水冷刮板捞渣机输送，进入渣仓贮存，装车外运供综合利用或送至灰场堆放。</w:t>
      </w:r>
    </w:p>
    <w:p>
      <w:pPr>
        <w:rPr>
          <w:rFonts w:hint="eastAsia"/>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highlight w:val="none"/>
          <w:lang w:val="en-US" w:eastAsia="zh-CN"/>
        </w:rPr>
        <w:t>冷却系统采用带自然通风冷却塔的二次循环供水系统，循环冷却水补给水取自淮北市经济开发区污水处理厂处理后的中水和淮水北调地表水。补给水经原水预处理站处理后进入循环水进水管道，在凝汽器内对汽轮机排汽进行冷却，吸收乏汽余热的循环水在冷却塔内与空气换热后再次进入凝汽器，从而对排汽实现循环冷却。</w:t>
      </w:r>
    </w:p>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highlight w:val="none"/>
        </w:rPr>
      </w:pPr>
      <w:r>
        <w:rPr>
          <w:highlight w:val="none"/>
        </w:rPr>
        <w:drawing>
          <wp:inline distT="0" distB="0" distL="114300" distR="114300">
            <wp:extent cx="8923655" cy="4919345"/>
            <wp:effectExtent l="9525" t="9525" r="20320" b="1143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1"/>
                    <a:stretch>
                      <a:fillRect/>
                    </a:stretch>
                  </pic:blipFill>
                  <pic:spPr>
                    <a:xfrm>
                      <a:off x="0" y="0"/>
                      <a:ext cx="8923655" cy="4919345"/>
                    </a:xfrm>
                    <a:prstGeom prst="rect">
                      <a:avLst/>
                    </a:prstGeom>
                    <a:noFill/>
                    <a:ln>
                      <a:solidFill>
                        <a:schemeClr val="tx1"/>
                      </a:solidFill>
                    </a:ln>
                  </pic:spPr>
                </pic:pic>
              </a:graphicData>
            </a:graphic>
          </wp:inline>
        </w:drawing>
      </w:r>
    </w:p>
    <w:p>
      <w:pPr>
        <w:pStyle w:val="8"/>
        <w:jc w:val="center"/>
        <w:rPr>
          <w:rFonts w:hint="eastAsia" w:ascii="黑体" w:hAnsi="黑体" w:eastAsia="黑体" w:cs="黑体"/>
          <w:b w:val="0"/>
          <w:bCs w:val="0"/>
          <w:color w:val="000000"/>
          <w:kern w:val="0"/>
          <w:sz w:val="21"/>
          <w:szCs w:val="21"/>
          <w:highlight w:val="none"/>
          <w:lang w:val="en-US" w:eastAsia="zh-CN" w:bidi="ar"/>
        </w:rPr>
      </w:pPr>
      <w:r>
        <w:rPr>
          <w:rFonts w:hint="eastAsia" w:ascii="黑体" w:hAnsi="黑体" w:eastAsia="黑体" w:cs="黑体"/>
          <w:b w:val="0"/>
          <w:bCs w:val="0"/>
          <w:color w:val="000000"/>
          <w:kern w:val="0"/>
          <w:sz w:val="21"/>
          <w:szCs w:val="21"/>
          <w:highlight w:val="none"/>
          <w:lang w:val="en-US" w:eastAsia="zh-CN" w:bidi="ar"/>
        </w:rPr>
        <w:t>图3-3本期工程生产工艺流程图</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3" w:name="_Toc1485"/>
      <w:r>
        <w:rPr>
          <w:rFonts w:hint="eastAsia" w:ascii="Times New Roman" w:hAnsi="Times New Roman" w:eastAsia="宋体" w:cs="Times New Roman"/>
          <w:color w:val="auto"/>
          <w:highlight w:val="none"/>
          <w:lang w:val="en-US" w:eastAsia="zh-CN"/>
        </w:rPr>
        <w:t>3.</w:t>
      </w:r>
      <w:r>
        <w:rPr>
          <w:rFonts w:hint="eastAsia" w:cs="Times New Roman"/>
          <w:color w:val="auto"/>
          <w:highlight w:val="none"/>
          <w:lang w:val="en-US" w:eastAsia="zh-CN"/>
        </w:rPr>
        <w:t>6</w:t>
      </w:r>
      <w:r>
        <w:rPr>
          <w:rFonts w:hint="eastAsia" w:ascii="Times New Roman" w:hAnsi="Times New Roman" w:eastAsia="宋体" w:cs="Times New Roman"/>
          <w:color w:val="auto"/>
          <w:highlight w:val="none"/>
          <w:lang w:val="en-US" w:eastAsia="zh-CN"/>
        </w:rPr>
        <w:t>项目变动情况</w:t>
      </w:r>
      <w:bookmarkEnd w:id="43"/>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default" w:cs="Times New Roman"/>
          <w:color w:val="auto"/>
          <w:kern w:val="0"/>
          <w:sz w:val="24"/>
          <w:szCs w:val="24"/>
          <w:highlight w:val="none"/>
          <w:lang w:val="en-US" w:eastAsia="zh-CN" w:bidi="ar"/>
        </w:rPr>
      </w:pPr>
      <w:r>
        <w:rPr>
          <w:rFonts w:hint="default" w:ascii="Times New Roman" w:hAnsi="Times New Roman" w:eastAsia="宋体" w:cs="Times New Roman"/>
          <w:i w:val="0"/>
          <w:iCs w:val="0"/>
          <w:caps w:val="0"/>
          <w:color w:val="auto"/>
          <w:spacing w:val="0"/>
          <w:kern w:val="0"/>
          <w:sz w:val="24"/>
          <w:szCs w:val="24"/>
          <w:shd w:val="clear" w:fill="FFFFFF"/>
          <w:lang w:val="en-US" w:eastAsia="zh-CN" w:bidi="ar"/>
        </w:rPr>
        <w:t>根据文件《关于印发污染影响类建设项目重大变动清单(试行)》的通知》（环办环评函[2020]688号）</w:t>
      </w:r>
      <w:r>
        <w:rPr>
          <w:rFonts w:hint="eastAsia" w:ascii="Times New Roman" w:hAnsi="Times New Roman" w:eastAsia="宋体" w:cs="Times New Roman"/>
          <w:i w:val="0"/>
          <w:iCs w:val="0"/>
          <w:caps w:val="0"/>
          <w:color w:val="auto"/>
          <w:spacing w:val="0"/>
          <w:kern w:val="0"/>
          <w:sz w:val="24"/>
          <w:szCs w:val="24"/>
          <w:shd w:val="clear" w:fill="FFFFFF"/>
          <w:lang w:val="en-US" w:eastAsia="zh-CN" w:bidi="ar"/>
        </w:rPr>
        <w:t>要求，从建设性质、规模、地点、生产工艺和环保措施5个方面分析：</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color w:val="auto"/>
          <w:sz w:val="21"/>
          <w:szCs w:val="21"/>
          <w:highlight w:val="none"/>
          <w:lang w:val="en-US" w:eastAsia="zh-CN"/>
        </w:rPr>
      </w:pPr>
      <w:r>
        <w:rPr>
          <w:rFonts w:hint="eastAsia" w:ascii="黑体" w:hAnsi="黑体" w:eastAsia="黑体" w:cs="黑体"/>
          <w:color w:val="auto"/>
          <w:sz w:val="21"/>
          <w:szCs w:val="21"/>
          <w:highlight w:val="none"/>
          <w:lang w:val="en-US" w:eastAsia="zh-CN"/>
        </w:rPr>
        <w:t>表3-3项目主要变动内容一览表</w:t>
      </w:r>
    </w:p>
    <w:tbl>
      <w:tblPr>
        <w:tblStyle w:val="24"/>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3"/>
        <w:gridCol w:w="4018"/>
        <w:gridCol w:w="4005"/>
        <w:gridCol w:w="4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分析内</w:t>
            </w:r>
            <w:r>
              <w:rPr>
                <w:rFonts w:hint="default" w:ascii="Times New Roman" w:hAnsi="Times New Roman" w:eastAsia="宋体" w:cs="Times New Roman"/>
                <w:sz w:val="21"/>
                <w:szCs w:val="21"/>
                <w:lang w:val="en-US" w:eastAsia="zh-CN"/>
              </w:rPr>
              <w:t>容</w:t>
            </w:r>
          </w:p>
        </w:tc>
        <w:tc>
          <w:tcPr>
            <w:tcW w:w="14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环评及批复要求</w:t>
            </w:r>
          </w:p>
        </w:tc>
        <w:tc>
          <w:tcPr>
            <w:tcW w:w="14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实际建设情</w:t>
            </w:r>
            <w:r>
              <w:rPr>
                <w:rFonts w:hint="default" w:ascii="Times New Roman" w:hAnsi="Times New Roman" w:eastAsia="宋体" w:cs="Times New Roman"/>
                <w:sz w:val="21"/>
                <w:szCs w:val="21"/>
                <w:lang w:val="en-US" w:eastAsia="zh-CN"/>
              </w:rPr>
              <w:t>况</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rPr>
              <w:t>建设性</w:t>
            </w:r>
            <w:r>
              <w:rPr>
                <w:rFonts w:hint="default" w:ascii="Times New Roman" w:hAnsi="Times New Roman" w:eastAsia="宋体" w:cs="Times New Roman"/>
                <w:sz w:val="21"/>
                <w:szCs w:val="21"/>
                <w:lang w:val="en-US" w:eastAsia="zh-CN"/>
              </w:rPr>
              <w:t>质</w:t>
            </w:r>
          </w:p>
        </w:tc>
        <w:tc>
          <w:tcPr>
            <w:tcW w:w="14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pacing w:val="0"/>
                <w:w w:val="100"/>
                <w:position w:val="0"/>
                <w:sz w:val="21"/>
                <w:szCs w:val="21"/>
              </w:rPr>
              <w:t>扩建</w:t>
            </w:r>
          </w:p>
        </w:tc>
        <w:tc>
          <w:tcPr>
            <w:tcW w:w="14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pacing w:val="0"/>
                <w:w w:val="100"/>
                <w:position w:val="0"/>
                <w:sz w:val="21"/>
                <w:szCs w:val="21"/>
              </w:rPr>
              <w:t>扩建</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建设规模</w:t>
            </w:r>
          </w:p>
        </w:tc>
        <w:tc>
          <w:tcPr>
            <w:tcW w:w="149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pacing w:val="0"/>
                <w:w w:val="100"/>
                <w:position w:val="0"/>
                <w:sz w:val="21"/>
                <w:szCs w:val="21"/>
                <w:lang w:val="en-US" w:eastAsia="en-US" w:bidi="en-US"/>
              </w:rPr>
              <w:t>1X1350MW</w:t>
            </w:r>
          </w:p>
        </w:tc>
        <w:tc>
          <w:tcPr>
            <w:tcW w:w="1489"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spacing w:val="0"/>
                <w:w w:val="100"/>
                <w:position w:val="0"/>
                <w:sz w:val="21"/>
                <w:szCs w:val="21"/>
                <w:lang w:val="en-US" w:eastAsia="en-US" w:bidi="en-US"/>
              </w:rPr>
              <w:t>1X1350MW</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建设地点</w:t>
            </w:r>
          </w:p>
        </w:tc>
        <w:tc>
          <w:tcPr>
            <w:tcW w:w="1494"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安徽省淮北市烈山区古饶镇</w:t>
            </w:r>
          </w:p>
        </w:tc>
        <w:tc>
          <w:tcPr>
            <w:tcW w:w="14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color w:val="000000"/>
                <w:kern w:val="0"/>
                <w:sz w:val="21"/>
                <w:szCs w:val="21"/>
                <w:lang w:val="en-US" w:eastAsia="zh-CN" w:bidi="ar"/>
              </w:rPr>
              <w:t>安徽省淮北市烈山区古饶镇</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生产工艺</w:t>
            </w:r>
          </w:p>
        </w:tc>
        <w:tc>
          <w:tcPr>
            <w:tcW w:w="1494"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煤炭由铁路运输方式运至厂内站，通过铁路专用线至煤场，燃料经输煤系统、制粉系统制成煤粉后，送到锅炉燃烧，锅炉烟气加热给水使之产生蒸汽，从而推动汽轮发电机组发电，产生的电能接入厂内配电装置，由500kV线路送出。蒸汽在汽轮机中做功后，乏汽在凝汽器内被冷却为凝结水，经凝结水处理系统处理后进入给水回热加热器，经给水泵送入锅炉再次参与热力循环。</w:t>
            </w:r>
          </w:p>
        </w:tc>
        <w:tc>
          <w:tcPr>
            <w:tcW w:w="1489"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lang w:val="en-US" w:eastAsia="zh-CN"/>
              </w:rPr>
              <w:t>煤炭由铁路运输方式运至厂内站，通过铁路专用线至煤场，燃料经输煤系统、制粉系统制成煤粉后，送到锅炉燃烧，锅炉烟气加热给水使之产生蒸汽，从而推动汽轮发电机组发电，产生的电能接入厂内配电装置，由500kV线路送出。蒸汽在汽轮机中做功后，乏汽在凝汽器内被冷却为凝结水，经凝结水处理系统处理后进入给水回热加热器，经给水泵送入锅炉再次参与热力循环。</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vMerge w:val="restar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环保措施</w:t>
            </w:r>
          </w:p>
        </w:tc>
        <w:tc>
          <w:tcPr>
            <w:tcW w:w="1494"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燃用设计煤种，锅炉烟气采用石灰石-石膏湿法脱硫；采用低氮燃烧技术及SCR工艺脱除氮氧化物，还原剂选用液氨；除尘采用双室五电场静电除尘器，脱硫塔后预留湿式电除尘位置；除尘、脱硫和脱硝协同脱除汞。</w:t>
            </w:r>
          </w:p>
        </w:tc>
        <w:tc>
          <w:tcPr>
            <w:tcW w:w="1489"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废气：锅炉烟气采用石灰石-石膏湿法脱硫；</w:t>
            </w:r>
            <w:r>
              <w:rPr>
                <w:rFonts w:hint="default" w:ascii="Times New Roman" w:hAnsi="Times New Roman" w:eastAsia="宋体" w:cs="Times New Roman"/>
                <w:sz w:val="21"/>
                <w:szCs w:val="21"/>
                <w:highlight w:val="none"/>
                <w:lang w:val="en-US" w:eastAsia="zh-CN"/>
              </w:rPr>
              <w:t>采用低氮燃烧技术及SCR工艺脱除氮氧化物，还原剂选用</w:t>
            </w:r>
            <w:r>
              <w:rPr>
                <w:rFonts w:hint="eastAsia" w:cs="Times New Roman"/>
                <w:sz w:val="21"/>
                <w:szCs w:val="21"/>
                <w:highlight w:val="none"/>
                <w:lang w:val="en-US" w:eastAsia="zh-CN"/>
              </w:rPr>
              <w:t>尿素制氨</w:t>
            </w:r>
            <w:r>
              <w:rPr>
                <w:rFonts w:hint="default" w:ascii="Times New Roman" w:hAnsi="Times New Roman" w:eastAsia="宋体" w:cs="Times New Roman"/>
                <w:sz w:val="21"/>
                <w:szCs w:val="21"/>
                <w:highlight w:val="none"/>
                <w:lang w:val="en-US" w:eastAsia="zh-CN"/>
              </w:rPr>
              <w:t>；除</w:t>
            </w:r>
            <w:r>
              <w:rPr>
                <w:rFonts w:hint="default" w:ascii="Times New Roman" w:hAnsi="Times New Roman" w:eastAsia="宋体" w:cs="Times New Roman"/>
                <w:sz w:val="21"/>
                <w:szCs w:val="21"/>
                <w:lang w:val="en-US" w:eastAsia="zh-CN"/>
              </w:rPr>
              <w:t>尘采用双室五电场静电除尘器，脱硫塔后预留湿式电除尘位置；除尘、脱硫和脱硝协同脱除汞。</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kern w:val="2"/>
                <w:sz w:val="21"/>
                <w:szCs w:val="21"/>
                <w:lang w:val="en-US" w:eastAsia="zh-CN" w:bidi="ar-SA"/>
              </w:rPr>
              <w:t>取消液氨储罐。项目增加尿素热解发生装置及尿素储罐，脱硝还原剂氨由尿素热解产生。减少了场内风险源，降低厂区环境风险。因此</w:t>
            </w:r>
            <w:r>
              <w:rPr>
                <w:rFonts w:hint="default" w:ascii="Times New Roman" w:hAnsi="Times New Roman" w:eastAsia="宋体" w:cs="Times New Roman"/>
                <w:b/>
                <w:bCs/>
                <w:kern w:val="2"/>
                <w:sz w:val="21"/>
                <w:szCs w:val="21"/>
                <w:lang w:val="en-US" w:eastAsia="zh-CN" w:bidi="ar-SA"/>
              </w:rPr>
              <w:t>不属于重大变动</w:t>
            </w:r>
            <w:r>
              <w:rPr>
                <w:rFonts w:hint="default"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p>
        </w:tc>
        <w:tc>
          <w:tcPr>
            <w:tcW w:w="1494"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highlight w:val="none"/>
                <w:lang w:val="en-US" w:eastAsia="zh-CN"/>
              </w:rPr>
              <w:t>废水：</w:t>
            </w:r>
            <w:r>
              <w:rPr>
                <w:rFonts w:hint="default" w:ascii="Times New Roman" w:hAnsi="Times New Roman" w:eastAsia="宋体" w:cs="Times New Roman"/>
                <w:sz w:val="21"/>
                <w:szCs w:val="21"/>
                <w:lang w:val="en-US" w:eastAsia="zh-CN"/>
              </w:rPr>
              <w:t>生活污水处理依托一期污水处理厂；本期项目生活污水通过自流或提升方式排入一期生活污水处理厂处理，处理后废水回用于场内绿化。</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脱硫废水在脱硫综合楼西侧建设一套脱硫废水处理系统，处理能力1×30m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/h，工艺采用“中和、絮凝、沉淀”等处理后，废水排入含煤废水回用水池回用，污泥经脱水后送至厂外处置。</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color w:val="000000" w:themeColor="text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在新建煤场的两端设置2个煤泥沉淀池（35m×15m×5.5m），北侧煤泥沉淀池旁设置一套40m3/h含煤废水处理设备</w:t>
            </w:r>
            <w:r>
              <w:rPr>
                <w:rFonts w:hint="eastAsia" w:cs="Times New Roman"/>
                <w:color w:val="000000" w:themeColor="text1"/>
                <w:sz w:val="21"/>
                <w:szCs w:val="21"/>
                <w:lang w:val="en-US" w:eastAsia="zh-CN"/>
                <w14:textFill>
                  <w14:solidFill>
                    <w14:schemeClr w14:val="tx1"/>
                  </w14:solidFill>
                </w14:textFill>
              </w:rPr>
              <w:t>。</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厂内设置1座2000m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废水贮存池，工业废水依托平山电厂一期项目工业废水处理系统，废水经处理后全部回用，不外排。</w:t>
            </w:r>
          </w:p>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原水处理系统</w:t>
            </w:r>
            <w:r>
              <w:rPr>
                <w:rFonts w:hint="default" w:ascii="Times New Roman" w:hAnsi="Times New Roman" w:eastAsia="宋体" w:cs="Times New Roman"/>
                <w:sz w:val="21"/>
                <w:szCs w:val="21"/>
              </w:rPr>
              <w:t>设置一套设置石灰混凝澄清处理系统</w:t>
            </w:r>
            <w:r>
              <w:rPr>
                <w:rFonts w:hint="default" w:ascii="Times New Roman" w:hAnsi="Times New Roman" w:eastAsia="宋体" w:cs="Times New Roman"/>
                <w:sz w:val="21"/>
                <w:szCs w:val="21"/>
                <w:lang w:val="en-US" w:eastAsia="zh-CN"/>
              </w:rPr>
              <w:t>。经软化后的冷却塔排水再回用于循环冷却系统补水。电厂产生的冷却塔排水可全部回用。</w:t>
            </w:r>
          </w:p>
        </w:tc>
        <w:tc>
          <w:tcPr>
            <w:tcW w:w="1489"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生活污水处理依托一期污水处理厂；本期项目生活污水通过自流或提升方式排入一期生活污水处理厂处理，处理后废水回用于场内绿化。</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脱硫废水在脱硫综合楼西侧建设一套脱硫废水处理系统，处理能力1×30m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/h，工艺采用“中和、絮凝、沉淀”等处理后，废水排入含煤废水回用水池回用，污泥经脱水后送至厂外处置。</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结合实际情况，</w:t>
            </w:r>
            <w:r>
              <w:rPr>
                <w:rFonts w:hint="default" w:ascii="Times New Roman" w:hAnsi="Times New Roman" w:eastAsia="宋体" w:cs="Times New Roman"/>
                <w:sz w:val="21"/>
                <w:szCs w:val="21"/>
              </w:rPr>
              <w:t>本期工程在新建煤场的</w:t>
            </w:r>
            <w:r>
              <w:rPr>
                <w:rFonts w:hint="default" w:ascii="Times New Roman" w:hAnsi="Times New Roman" w:eastAsia="宋体" w:cs="Times New Roman"/>
                <w:sz w:val="21"/>
                <w:szCs w:val="21"/>
                <w:lang w:val="en-US" w:eastAsia="zh-CN"/>
              </w:rPr>
              <w:t>西侧</w:t>
            </w:r>
            <w:r>
              <w:rPr>
                <w:rFonts w:hint="default" w:ascii="Times New Roman" w:hAnsi="Times New Roman" w:eastAsia="宋体" w:cs="Times New Roman"/>
                <w:sz w:val="21"/>
                <w:szCs w:val="21"/>
              </w:rPr>
              <w:t>设置</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个煤泥沉淀池，</w:t>
            </w:r>
            <w:r>
              <w:rPr>
                <w:rFonts w:hint="default" w:ascii="Times New Roman" w:hAnsi="Times New Roman" w:eastAsia="宋体" w:cs="Times New Roman"/>
                <w:sz w:val="21"/>
                <w:szCs w:val="21"/>
                <w:lang w:val="en-US" w:eastAsia="zh-CN"/>
              </w:rPr>
              <w:t>考虑一期工程</w:t>
            </w:r>
            <w:r>
              <w:rPr>
                <w:rFonts w:hint="default" w:ascii="Times New Roman" w:hAnsi="Times New Roman" w:eastAsia="宋体" w:cs="Times New Roman"/>
                <w:sz w:val="21"/>
                <w:szCs w:val="21"/>
              </w:rPr>
              <w:t>含煤废水处理</w:t>
            </w:r>
            <w:r>
              <w:rPr>
                <w:rFonts w:hint="default" w:ascii="Times New Roman" w:hAnsi="Times New Roman" w:eastAsia="宋体" w:cs="Times New Roman"/>
                <w:sz w:val="21"/>
                <w:szCs w:val="21"/>
                <w:lang w:val="en-US" w:eastAsia="zh-CN"/>
              </w:rPr>
              <w:t>设备处理能力，本期不新建</w:t>
            </w:r>
            <w:r>
              <w:rPr>
                <w:rFonts w:hint="default" w:ascii="Times New Roman" w:hAnsi="Times New Roman" w:eastAsia="宋体" w:cs="Times New Roman"/>
                <w:sz w:val="21"/>
                <w:szCs w:val="21"/>
              </w:rPr>
              <w:t>含煤废水处理设备</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依托一期</w:t>
            </w:r>
            <w:r>
              <w:rPr>
                <w:rFonts w:hint="default" w:ascii="Times New Roman" w:hAnsi="Times New Roman" w:eastAsia="宋体" w:cs="Times New Roman"/>
                <w:sz w:val="21"/>
                <w:szCs w:val="21"/>
              </w:rPr>
              <w:t>含煤废水处理</w:t>
            </w:r>
            <w:r>
              <w:rPr>
                <w:rFonts w:hint="default" w:ascii="Times New Roman" w:hAnsi="Times New Roman" w:eastAsia="宋体" w:cs="Times New Roman"/>
                <w:sz w:val="21"/>
                <w:szCs w:val="21"/>
                <w:lang w:val="en-US" w:eastAsia="zh-CN"/>
              </w:rPr>
              <w:t>系统，净化后废水用于煤场喷淋。</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center"/>
              <w:textAlignment w:val="auto"/>
              <w:outlineLvl w:val="9"/>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厂内设置1座2000m</w:t>
            </w:r>
            <w:r>
              <w:rPr>
                <w:rFonts w:hint="default" w:ascii="Times New Roman" w:hAnsi="Times New Roman" w:eastAsia="宋体" w:cs="Times New Roman"/>
                <w:sz w:val="21"/>
                <w:szCs w:val="21"/>
                <w:vertAlign w:val="superscript"/>
                <w:lang w:val="en-US" w:eastAsia="zh-CN"/>
              </w:rPr>
              <w:t>3</w:t>
            </w:r>
            <w:r>
              <w:rPr>
                <w:rFonts w:hint="default" w:ascii="Times New Roman" w:hAnsi="Times New Roman" w:eastAsia="宋体" w:cs="Times New Roman"/>
                <w:sz w:val="21"/>
                <w:szCs w:val="21"/>
                <w:lang w:val="en-US" w:eastAsia="zh-CN"/>
              </w:rPr>
              <w:t>废水贮存池，工业废水依托平山电厂一期项目工业废水处理系统，废水经处理后全部回用，不外排。</w:t>
            </w:r>
          </w:p>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原水处理系统</w:t>
            </w:r>
            <w:r>
              <w:rPr>
                <w:rFonts w:hint="default" w:ascii="Times New Roman" w:hAnsi="Times New Roman" w:eastAsia="宋体" w:cs="Times New Roman"/>
                <w:sz w:val="21"/>
                <w:szCs w:val="21"/>
              </w:rPr>
              <w:t>设置一套设置石灰混凝澄清处理系统</w:t>
            </w:r>
            <w:r>
              <w:rPr>
                <w:rFonts w:hint="default" w:ascii="Times New Roman" w:hAnsi="Times New Roman" w:eastAsia="宋体" w:cs="Times New Roman"/>
                <w:sz w:val="21"/>
                <w:szCs w:val="21"/>
                <w:lang w:val="en-US" w:eastAsia="zh-CN"/>
              </w:rPr>
              <w:t>。经软化后的冷却塔排水再回用于循环冷却系统补水。电厂产生的冷却塔排水可全部回用。</w:t>
            </w:r>
          </w:p>
        </w:tc>
        <w:tc>
          <w:tcPr>
            <w:tcW w:w="1512" w:type="pct"/>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含煤废水处理依托一期工程，不再新建；仅设置一座煤泥沉淀池。本期工程因煤场采用干煤棚，两端设置防风抑尘网，没有煤场雨水，煤场喷淋水基本被煤堆吸收，仅有少量栈桥冲洗水约10t/h，含煤废水水量较少，因此本期工程取消</w:t>
            </w:r>
            <w:r>
              <w:rPr>
                <w:rFonts w:hint="eastAsia" w:cs="Times New Roman"/>
                <w:kern w:val="2"/>
                <w:sz w:val="21"/>
                <w:szCs w:val="21"/>
                <w:lang w:val="en-US" w:eastAsia="zh-CN" w:bidi="ar-SA"/>
              </w:rPr>
              <w:t>1</w:t>
            </w:r>
            <w:r>
              <w:rPr>
                <w:rFonts w:hint="default" w:ascii="Times New Roman" w:hAnsi="Times New Roman" w:eastAsia="宋体" w:cs="Times New Roman"/>
                <w:kern w:val="2"/>
                <w:sz w:val="21"/>
                <w:szCs w:val="21"/>
                <w:lang w:val="en-US" w:eastAsia="zh-CN" w:bidi="ar-SA"/>
              </w:rPr>
              <w:t>座煤泥沉淀池、煤废水处理设施及煤污水回用水池，</w:t>
            </w:r>
            <w:r>
              <w:rPr>
                <w:rFonts w:hint="default" w:ascii="Times New Roman" w:hAnsi="Times New Roman" w:eastAsia="宋体" w:cs="Times New Roman"/>
                <w:sz w:val="21"/>
                <w:szCs w:val="21"/>
              </w:rPr>
              <w:t>在新建煤场的</w:t>
            </w:r>
            <w:r>
              <w:rPr>
                <w:rFonts w:hint="default" w:ascii="Times New Roman" w:hAnsi="Times New Roman" w:eastAsia="宋体" w:cs="Times New Roman"/>
                <w:sz w:val="21"/>
                <w:szCs w:val="21"/>
                <w:lang w:val="en-US" w:eastAsia="zh-CN"/>
              </w:rPr>
              <w:t>西侧</w:t>
            </w:r>
            <w:r>
              <w:rPr>
                <w:rFonts w:hint="default" w:ascii="Times New Roman" w:hAnsi="Times New Roman" w:eastAsia="宋体" w:cs="Times New Roman"/>
                <w:sz w:val="21"/>
                <w:szCs w:val="21"/>
              </w:rPr>
              <w:t>设置</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个煤泥沉淀池</w:t>
            </w:r>
            <w:r>
              <w:rPr>
                <w:rFonts w:hint="eastAsia" w:ascii="Times New Roman" w:hAnsi="Times New Roman" w:cs="Times New Roman"/>
                <w:sz w:val="21"/>
                <w:szCs w:val="21"/>
                <w:lang w:eastAsia="zh-CN"/>
              </w:rPr>
              <w:t>，</w:t>
            </w:r>
            <w:r>
              <w:rPr>
                <w:rFonts w:hint="default" w:ascii="Times New Roman" w:hAnsi="Times New Roman" w:eastAsia="宋体" w:cs="Times New Roman"/>
                <w:kern w:val="2"/>
                <w:sz w:val="21"/>
                <w:szCs w:val="21"/>
                <w:lang w:val="en-US" w:eastAsia="zh-CN" w:bidi="ar-SA"/>
              </w:rPr>
              <w:t>利用一期已建的含煤废水处理设施（1套40m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/h含煤废水处理设备）进行处理。二期煤场同步进行改造，采用干煤棚，两端设置防风抑尘网，没有煤场雨水，煤场喷淋水基本被煤堆吸收，仅有少量栈桥冲洗水约20t/h。一二期共有含煤废水约30t/h，在一期1套40m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h含煤废水处理设备处理能力之内。二期的煤水由运煤专业用泵提升送至一期沉煤池。分离出来的煤粒返回煤场，处理后的清水复用于煤场喷淋及栈桥冲洗循环使用，并采用处理后的脱硫废水和再生废水作为煤场喷淋及栈桥冲洗的补充水。减少了含煤废水的产生，项目生产废水均回收使用，无外排废水。不新增污染物种类及排放量。因此</w:t>
            </w:r>
            <w:r>
              <w:rPr>
                <w:rFonts w:hint="default" w:ascii="Times New Roman" w:hAnsi="Times New Roman" w:eastAsia="宋体" w:cs="Times New Roman"/>
                <w:b/>
                <w:bCs/>
                <w:kern w:val="2"/>
                <w:sz w:val="21"/>
                <w:szCs w:val="21"/>
                <w:lang w:val="en-US" w:eastAsia="zh-CN" w:bidi="ar-SA"/>
              </w:rPr>
              <w:t>不属于重大变动</w:t>
            </w:r>
            <w:r>
              <w:rPr>
                <w:rFonts w:hint="default" w:ascii="Times New Roman" w:hAnsi="Times New Roman" w:eastAsia="宋体" w:cs="Times New Roman"/>
                <w:kern w:val="2"/>
                <w:sz w:val="21"/>
                <w:szCs w:val="21"/>
                <w:lang w:val="en-US" w:eastAsia="zh-CN" w:bidi="ar-SA"/>
              </w:rPr>
              <w:t>。</w:t>
            </w:r>
          </w:p>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p>
        </w:tc>
        <w:tc>
          <w:tcPr>
            <w:tcW w:w="1494"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噪声：强化噪声污染防治。优先选用低噪声、振动小设备，优化厂区平面布置，合理布设高噪声设备。采取减振、吸声、隔声等措施，厂界噪声执行《工业企业厂界环境噪声排放标准》（GB12348-2008）3类区标准。</w:t>
            </w:r>
          </w:p>
        </w:tc>
        <w:tc>
          <w:tcPr>
            <w:tcW w:w="1489"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噪声：强化噪声污染防治。优先选用低噪声、振动小设备，优化厂区平面布置，合理布设高噪声设备。采取减振、吸声、隔声等措施，厂界噪声执行《工业企业厂界环境噪声排放标准》（GB12348-2008）3类区标准。</w:t>
            </w:r>
          </w:p>
        </w:tc>
        <w:tc>
          <w:tcPr>
            <w:tcW w:w="1512" w:type="pct"/>
            <w:noWrap w:val="0"/>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03" w:type="pct"/>
            <w:vMerge w:val="continue"/>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vertAlign w:val="baseline"/>
                <w:lang w:val="en-US" w:eastAsia="zh-CN"/>
              </w:rPr>
            </w:pPr>
          </w:p>
        </w:tc>
        <w:tc>
          <w:tcPr>
            <w:tcW w:w="1494"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固废：</w:t>
            </w:r>
            <w:r>
              <w:rPr>
                <w:rFonts w:hint="default" w:ascii="Times New Roman" w:hAnsi="Times New Roman" w:eastAsia="宋体" w:cs="Times New Roman"/>
                <w:kern w:val="2"/>
                <w:sz w:val="21"/>
                <w:szCs w:val="21"/>
                <w:lang w:val="en-US" w:eastAsia="zh-CN" w:bidi="ar-SA"/>
              </w:rPr>
              <w:t>严格落实固体废物分类处置和综合利用措施。采用灰渣分除，灰渣全部综合利用。本期工程不建设永久灰场，临时事故灰场依托一期工程建设的水冲干灰场。严格控制运输过程扬尘污染。脱硝系统产生的废催化剂等危险废物，应按危险废物管理要求收集、储存、运输和处置。针对本工程产生的废弃离子交换树脂、废脱硝废催化剂、废旧铅蓄电池</w:t>
            </w:r>
            <w:r>
              <w:rPr>
                <w:rFonts w:hint="eastAsia" w:cs="Times New Roman"/>
                <w:kern w:val="2"/>
                <w:sz w:val="21"/>
                <w:szCs w:val="21"/>
                <w:lang w:val="en-US" w:eastAsia="zh-CN" w:bidi="ar-SA"/>
              </w:rPr>
              <w:t>等</w:t>
            </w:r>
            <w:r>
              <w:rPr>
                <w:rFonts w:hint="default" w:ascii="Times New Roman" w:hAnsi="Times New Roman" w:eastAsia="宋体" w:cs="Times New Roman"/>
                <w:kern w:val="2"/>
                <w:sz w:val="21"/>
                <w:szCs w:val="21"/>
                <w:lang w:val="en-US" w:eastAsia="zh-CN" w:bidi="ar-SA"/>
              </w:rPr>
              <w:t>，拟在厂区内新建一座面积约450m</w:t>
            </w:r>
            <w:r>
              <w:rPr>
                <w:rFonts w:hint="default" w:ascii="Times New Roman" w:hAnsi="Times New Roman" w:eastAsia="宋体" w:cs="Times New Roman"/>
                <w:kern w:val="2"/>
                <w:sz w:val="21"/>
                <w:szCs w:val="21"/>
                <w:vertAlign w:val="superscript"/>
                <w:lang w:val="en-US" w:eastAsia="zh-CN" w:bidi="ar-SA"/>
              </w:rPr>
              <w:t>2</w:t>
            </w:r>
            <w:r>
              <w:rPr>
                <w:rFonts w:hint="default" w:ascii="Times New Roman" w:hAnsi="Times New Roman" w:eastAsia="宋体" w:cs="Times New Roman"/>
                <w:kern w:val="2"/>
                <w:sz w:val="21"/>
                <w:szCs w:val="21"/>
                <w:lang w:val="en-US" w:eastAsia="zh-CN" w:bidi="ar-SA"/>
              </w:rPr>
              <w:t>的危险废物暂存库用作贮存。</w:t>
            </w:r>
          </w:p>
        </w:tc>
        <w:tc>
          <w:tcPr>
            <w:tcW w:w="1489" w:type="pct"/>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固废：</w:t>
            </w:r>
            <w:r>
              <w:rPr>
                <w:rFonts w:hint="default" w:ascii="Times New Roman" w:hAnsi="Times New Roman" w:eastAsia="宋体" w:cs="Times New Roman"/>
                <w:kern w:val="2"/>
                <w:sz w:val="21"/>
                <w:szCs w:val="21"/>
                <w:lang w:val="en-US" w:eastAsia="zh-CN" w:bidi="ar-SA"/>
              </w:rPr>
              <w:t>严格落实固体废物分类处置和综合利用措施。采用灰渣分除，灰渣全部综合利用。本期工程不建设永久灰场，临时事故灰场依托一期工程建设的水冲干灰场。严格控制运输过程扬尘污染。</w:t>
            </w:r>
            <w:r>
              <w:rPr>
                <w:rFonts w:hint="default" w:ascii="Times New Roman" w:hAnsi="Times New Roman" w:eastAsia="宋体" w:cs="Times New Roman"/>
                <w:sz w:val="21"/>
                <w:szCs w:val="21"/>
                <w:lang w:val="en-US" w:eastAsia="zh-CN"/>
              </w:rPr>
              <w:t>项目在脱硫废水处置设施西侧设置1座200m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危废暂存间</w:t>
            </w:r>
            <w:r>
              <w:rPr>
                <w:rFonts w:hint="eastAsia" w:ascii="Times New Roman" w:hAnsi="Times New Roman" w:cs="Times New Roman"/>
                <w:sz w:val="21"/>
                <w:szCs w:val="21"/>
                <w:lang w:val="en-US" w:eastAsia="zh-CN"/>
              </w:rPr>
              <w:t>，项目脱硝催化剂更换时不在场内暂存，由处置单位直接转运</w:t>
            </w:r>
            <w:r>
              <w:rPr>
                <w:rFonts w:hint="default" w:ascii="Times New Roman" w:hAnsi="Times New Roman" w:eastAsia="宋体" w:cs="Times New Roman"/>
                <w:kern w:val="2"/>
                <w:sz w:val="21"/>
                <w:szCs w:val="21"/>
                <w:lang w:val="en-US" w:eastAsia="zh-CN" w:bidi="ar-SA"/>
              </w:rPr>
              <w:t>。</w:t>
            </w:r>
          </w:p>
        </w:tc>
        <w:tc>
          <w:tcPr>
            <w:tcW w:w="1512" w:type="pct"/>
            <w:noWrap w:val="0"/>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both"/>
              <w:textAlignment w:val="auto"/>
              <w:rPr>
                <w:rFonts w:hint="eastAsia" w:ascii="Times New Roman" w:hAnsi="Times New Roman" w:cs="Times New Roman"/>
                <w:kern w:val="2"/>
                <w:sz w:val="24"/>
                <w:szCs w:val="24"/>
                <w:lang w:val="en-US" w:eastAsia="zh-CN" w:bidi="ar-SA"/>
              </w:rPr>
            </w:pPr>
            <w:r>
              <w:rPr>
                <w:rFonts w:hint="eastAsia" w:cs="Times New Roman"/>
                <w:sz w:val="24"/>
                <w:szCs w:val="24"/>
                <w:lang w:val="en-US" w:eastAsia="zh-CN"/>
              </w:rPr>
              <w:t>环评及批复：</w:t>
            </w:r>
            <w:r>
              <w:rPr>
                <w:rFonts w:hint="default" w:ascii="Times New Roman" w:hAnsi="Times New Roman" w:eastAsia="宋体" w:cs="Times New Roman"/>
                <w:kern w:val="2"/>
                <w:sz w:val="24"/>
                <w:szCs w:val="24"/>
                <w:lang w:val="en-US" w:eastAsia="zh-CN" w:bidi="ar-SA"/>
              </w:rPr>
              <w:t>拟在厂区内新建一座面积约450m</w:t>
            </w:r>
            <w:r>
              <w:rPr>
                <w:rFonts w:hint="default" w:ascii="Times New Roman" w:hAnsi="Times New Roman" w:eastAsia="宋体" w:cs="Times New Roman"/>
                <w:kern w:val="2"/>
                <w:sz w:val="24"/>
                <w:szCs w:val="24"/>
                <w:vertAlign w:val="superscript"/>
                <w:lang w:val="en-US" w:eastAsia="zh-CN" w:bidi="ar-SA"/>
              </w:rPr>
              <w:t>2</w:t>
            </w:r>
            <w:r>
              <w:rPr>
                <w:rFonts w:hint="default" w:ascii="Times New Roman" w:hAnsi="Times New Roman" w:eastAsia="宋体" w:cs="Times New Roman"/>
                <w:kern w:val="2"/>
                <w:sz w:val="24"/>
                <w:szCs w:val="24"/>
                <w:lang w:val="en-US" w:eastAsia="zh-CN" w:bidi="ar-SA"/>
              </w:rPr>
              <w:t>的危险废物暂存库</w:t>
            </w:r>
            <w:r>
              <w:rPr>
                <w:rFonts w:hint="eastAsia" w:ascii="Times New Roman" w:hAnsi="Times New Roman" w:cs="Times New Roman"/>
                <w:kern w:val="2"/>
                <w:sz w:val="24"/>
                <w:szCs w:val="24"/>
                <w:lang w:val="en-US" w:eastAsia="zh-CN" w:bidi="ar-SA"/>
              </w:rPr>
              <w:t>用于</w:t>
            </w:r>
            <w:r>
              <w:rPr>
                <w:rFonts w:hint="default" w:ascii="Times New Roman" w:hAnsi="Times New Roman" w:eastAsia="宋体" w:cs="Times New Roman"/>
                <w:kern w:val="2"/>
                <w:sz w:val="24"/>
                <w:szCs w:val="24"/>
                <w:lang w:val="en-US" w:eastAsia="zh-CN" w:bidi="ar-SA"/>
              </w:rPr>
              <w:t>本工程产生的废弃离子交换树脂、废脱硝废催化剂、废旧铅蓄电池</w:t>
            </w:r>
            <w:r>
              <w:rPr>
                <w:rFonts w:hint="eastAsia" w:ascii="Times New Roman" w:hAnsi="Times New Roman" w:cs="Times New Roman"/>
                <w:kern w:val="2"/>
                <w:sz w:val="24"/>
                <w:szCs w:val="24"/>
                <w:lang w:val="en-US" w:eastAsia="zh-CN" w:bidi="ar-SA"/>
              </w:rPr>
              <w:t>。</w:t>
            </w:r>
          </w:p>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both"/>
              <w:textAlignment w:val="auto"/>
              <w:rPr>
                <w:rFonts w:hint="eastAsia" w:cs="Times New Roman"/>
                <w:sz w:val="24"/>
                <w:szCs w:val="24"/>
                <w:lang w:val="en-US" w:eastAsia="zh-CN"/>
              </w:rPr>
            </w:pPr>
            <w:r>
              <w:rPr>
                <w:rFonts w:hint="eastAsia" w:ascii="Times New Roman" w:hAnsi="Times New Roman" w:cs="Times New Roman"/>
                <w:kern w:val="2"/>
                <w:sz w:val="24"/>
                <w:szCs w:val="24"/>
                <w:lang w:val="en-US" w:eastAsia="zh-CN" w:bidi="ar-SA"/>
              </w:rPr>
              <w:t>实际建设：</w:t>
            </w:r>
            <w:r>
              <w:rPr>
                <w:rFonts w:hint="default" w:ascii="Times New Roman" w:hAnsi="Times New Roman" w:eastAsia="宋体" w:cs="Times New Roman"/>
                <w:sz w:val="24"/>
                <w:szCs w:val="24"/>
                <w:lang w:val="en-US" w:eastAsia="zh-CN"/>
              </w:rPr>
              <w:t>项目在脱硫废水处置设施西侧设置1座200m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危废暂存间</w:t>
            </w:r>
            <w:r>
              <w:rPr>
                <w:rFonts w:hint="eastAsia" w:cs="Times New Roman"/>
                <w:sz w:val="24"/>
                <w:szCs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4"/>
                <w:szCs w:val="24"/>
                <w:lang w:val="en-US" w:eastAsia="zh-CN"/>
              </w:rPr>
              <w:t>项目</w:t>
            </w:r>
            <w:r>
              <w:rPr>
                <w:rFonts w:hint="eastAsia" w:cs="Times New Roman"/>
                <w:sz w:val="24"/>
                <w:szCs w:val="24"/>
                <w:lang w:val="en-US" w:eastAsia="zh-CN"/>
              </w:rPr>
              <w:t>运营过程中</w:t>
            </w:r>
            <w:r>
              <w:rPr>
                <w:rFonts w:hint="default" w:ascii="Times New Roman" w:hAnsi="Times New Roman" w:eastAsia="宋体" w:cs="Times New Roman"/>
                <w:sz w:val="24"/>
                <w:szCs w:val="24"/>
                <w:lang w:val="en-US" w:eastAsia="zh-CN"/>
              </w:rPr>
              <w:t>脱硝催化剂更换时不在场内暂存，由处置单位直接转运</w:t>
            </w:r>
            <w:r>
              <w:rPr>
                <w:rFonts w:hint="eastAsia" w:cs="Times New Roman"/>
                <w:sz w:val="24"/>
                <w:szCs w:val="24"/>
                <w:lang w:val="en-US" w:eastAsia="zh-CN"/>
              </w:rPr>
              <w:t>。危废库仅暂存</w:t>
            </w:r>
            <w:r>
              <w:rPr>
                <w:rFonts w:hint="default" w:ascii="Times New Roman" w:hAnsi="Times New Roman" w:eastAsia="宋体" w:cs="Times New Roman"/>
                <w:kern w:val="2"/>
                <w:sz w:val="24"/>
                <w:szCs w:val="24"/>
                <w:lang w:val="en-US" w:eastAsia="zh-CN" w:bidi="ar-SA"/>
              </w:rPr>
              <w:t>工程产生的废弃离子交换树脂、废旧铅蓄电池</w:t>
            </w:r>
            <w:r>
              <w:rPr>
                <w:rFonts w:hint="eastAsia" w:ascii="Times New Roman" w:hAnsi="Times New Roman" w:cs="Times New Roman"/>
                <w:kern w:val="2"/>
                <w:sz w:val="24"/>
                <w:szCs w:val="24"/>
                <w:lang w:val="en-US" w:eastAsia="zh-CN" w:bidi="ar-SA"/>
              </w:rPr>
              <w:t>、废机油等危险废物。</w:t>
            </w:r>
            <w:r>
              <w:rPr>
                <w:rFonts w:hint="default" w:ascii="Times New Roman" w:hAnsi="Times New Roman" w:eastAsia="宋体" w:cs="Times New Roman"/>
                <w:sz w:val="24"/>
                <w:szCs w:val="24"/>
                <w:lang w:val="en-US" w:eastAsia="zh-CN"/>
              </w:rPr>
              <w:t>200m</w:t>
            </w:r>
            <w:r>
              <w:rPr>
                <w:rFonts w:hint="default" w:ascii="Times New Roman" w:hAnsi="Times New Roman" w:eastAsia="宋体" w:cs="Times New Roman"/>
                <w:sz w:val="24"/>
                <w:szCs w:val="24"/>
                <w:vertAlign w:val="superscript"/>
                <w:lang w:val="en-US" w:eastAsia="zh-CN"/>
              </w:rPr>
              <w:t>2</w:t>
            </w:r>
            <w:r>
              <w:rPr>
                <w:rFonts w:hint="default" w:ascii="Times New Roman" w:hAnsi="Times New Roman" w:eastAsia="宋体" w:cs="Times New Roman"/>
                <w:sz w:val="24"/>
                <w:szCs w:val="24"/>
                <w:lang w:val="en-US" w:eastAsia="zh-CN"/>
              </w:rPr>
              <w:t>危废暂存间</w:t>
            </w:r>
            <w:r>
              <w:rPr>
                <w:rFonts w:hint="eastAsia" w:ascii="Times New Roman" w:hAnsi="Times New Roman" w:cs="Times New Roman"/>
                <w:sz w:val="24"/>
                <w:szCs w:val="24"/>
                <w:lang w:val="en-US" w:eastAsia="zh-CN"/>
              </w:rPr>
              <w:t>能满足日常运营中产生的危废暂存要求。</w:t>
            </w:r>
            <w:r>
              <w:rPr>
                <w:rFonts w:hint="default" w:ascii="Times New Roman" w:hAnsi="Times New Roman" w:eastAsia="宋体" w:cs="Times New Roman"/>
                <w:kern w:val="2"/>
                <w:sz w:val="24"/>
                <w:szCs w:val="24"/>
                <w:lang w:val="en-US" w:eastAsia="zh-CN" w:bidi="ar-SA"/>
              </w:rPr>
              <w:t>不新增污染物种类及排放量。因此</w:t>
            </w:r>
            <w:r>
              <w:rPr>
                <w:rFonts w:hint="default" w:ascii="Times New Roman" w:hAnsi="Times New Roman" w:eastAsia="宋体" w:cs="Times New Roman"/>
                <w:b/>
                <w:bCs/>
                <w:kern w:val="2"/>
                <w:sz w:val="24"/>
                <w:szCs w:val="24"/>
                <w:lang w:val="en-US" w:eastAsia="zh-CN" w:bidi="ar-SA"/>
              </w:rPr>
              <w:t>不属于重大变动</w:t>
            </w:r>
            <w:r>
              <w:rPr>
                <w:rFonts w:hint="default" w:ascii="Times New Roman" w:hAnsi="Times New Roman" w:eastAsia="宋体" w:cs="Times New Roman"/>
                <w:kern w:val="2"/>
                <w:sz w:val="24"/>
                <w:szCs w:val="24"/>
                <w:lang w:val="en-US" w:eastAsia="zh-CN" w:bidi="ar-SA"/>
              </w:rPr>
              <w:t>。</w:t>
            </w:r>
          </w:p>
        </w:tc>
      </w:tr>
    </w:tbl>
    <w:p>
      <w:pPr>
        <w:pStyle w:val="8"/>
        <w:jc w:val="center"/>
        <w:rPr>
          <w:rFonts w:hint="eastAsia" w:ascii="黑体" w:hAnsi="黑体" w:eastAsia="黑体" w:cs="黑体"/>
          <w:b w:val="0"/>
          <w:bCs w:val="0"/>
          <w:color w:val="000000"/>
          <w:kern w:val="0"/>
          <w:sz w:val="21"/>
          <w:szCs w:val="21"/>
          <w:highlight w:val="none"/>
          <w:lang w:val="en-US" w:eastAsia="zh-CN" w:bidi="ar"/>
        </w:rPr>
      </w:pPr>
    </w:p>
    <w:p>
      <w:pPr>
        <w:pStyle w:val="8"/>
        <w:jc w:val="center"/>
        <w:rPr>
          <w:rFonts w:hint="eastAsia" w:ascii="黑体" w:hAnsi="黑体" w:eastAsia="黑体" w:cs="黑体"/>
          <w:b w:val="0"/>
          <w:bCs w:val="0"/>
          <w:color w:val="000000"/>
          <w:kern w:val="0"/>
          <w:sz w:val="21"/>
          <w:szCs w:val="21"/>
          <w:highlight w:val="none"/>
          <w:lang w:val="en-US" w:eastAsia="zh-CN" w:bidi="ar"/>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eastAsia" w:ascii="Times New Roman" w:hAnsi="Times New Roman" w:eastAsia="宋体" w:cs="Times New Roman"/>
          <w:color w:val="auto"/>
          <w:sz w:val="36"/>
          <w:szCs w:val="36"/>
          <w:highlight w:val="none"/>
          <w:lang w:val="en-US" w:eastAsia="zh-CN"/>
        </w:rPr>
      </w:pPr>
      <w:bookmarkStart w:id="44" w:name="_Toc24103"/>
      <w:r>
        <w:rPr>
          <w:rFonts w:hint="eastAsia" w:ascii="Times New Roman" w:hAnsi="Times New Roman" w:eastAsia="宋体" w:cs="Times New Roman"/>
          <w:color w:val="auto"/>
          <w:sz w:val="36"/>
          <w:szCs w:val="36"/>
          <w:highlight w:val="none"/>
          <w:lang w:val="en-US" w:eastAsia="zh-CN"/>
        </w:rPr>
        <w:t>四、环境保护设施</w:t>
      </w:r>
      <w:bookmarkEnd w:id="44"/>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5" w:name="_Toc20037"/>
      <w:r>
        <w:rPr>
          <w:rFonts w:hint="eastAsia" w:ascii="Times New Roman" w:hAnsi="Times New Roman" w:eastAsia="宋体" w:cs="Times New Roman"/>
          <w:color w:val="auto"/>
          <w:highlight w:val="none"/>
          <w:lang w:val="en-US" w:eastAsia="zh-CN"/>
        </w:rPr>
        <w:t>4.1污染物治理/处置设施</w:t>
      </w:r>
      <w:bookmarkEnd w:id="45"/>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6" w:name="_Toc6940"/>
      <w:r>
        <w:rPr>
          <w:rFonts w:hint="eastAsia" w:ascii="Times New Roman" w:hAnsi="Times New Roman" w:eastAsia="宋体" w:cs="Times New Roman"/>
          <w:color w:val="auto"/>
          <w:highlight w:val="none"/>
          <w:lang w:val="en-US" w:eastAsia="zh-CN"/>
        </w:rPr>
        <w:t>4.1.1废水</w:t>
      </w:r>
      <w:bookmarkEnd w:id="46"/>
    </w:p>
    <w:p>
      <w:pPr>
        <w:keepNext w:val="0"/>
        <w:keepLines w:val="0"/>
        <w:pageBreakBefore w:val="0"/>
        <w:widowControl/>
        <w:suppressLineNumbers w:val="0"/>
        <w:kinsoku/>
        <w:wordWrap/>
        <w:overflowPunct/>
        <w:topLinePunct w:val="0"/>
        <w:autoSpaceDE/>
        <w:autoSpaceDN/>
        <w:bidi w:val="0"/>
        <w:adjustRightInd/>
        <w:snapToGrid/>
        <w:ind w:firstLine="480" w:firstLineChars="200"/>
        <w:jc w:val="left"/>
        <w:textAlignment w:val="auto"/>
      </w:pPr>
      <w:r>
        <w:rPr>
          <w:rFonts w:hint="eastAsia" w:ascii="宋体" w:hAnsi="宋体" w:eastAsia="宋体" w:cs="宋体"/>
          <w:color w:val="000000"/>
          <w:kern w:val="0"/>
          <w:sz w:val="24"/>
          <w:szCs w:val="24"/>
          <w:lang w:val="en-US" w:eastAsia="zh-CN" w:bidi="ar"/>
        </w:rPr>
        <w:t>本期工程按照废水零排放设计，不设废水排放口。本工程生产过程中产生的排水有：工业废水、生活污水和冷却塔排水等。</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本期工程工业废水主要包括经常性废水和非经常性废水。经常性废水包括：超滤反洗排水、反渗透浓水、锅炉补给水处理再生废水、凝结水精处理混床再生废水、脱硫废水等。非经常性废水包括：锅炉化学清洗废水、空气预热器冲洗水、反渗透装置的化学清洗废水、煤污水等。</w:t>
      </w:r>
    </w:p>
    <w:p>
      <w:pPr>
        <w:keepNext w:val="0"/>
        <w:keepLines w:val="0"/>
        <w:widowControl/>
        <w:suppressLineNumbers w:val="0"/>
        <w:jc w:val="left"/>
      </w:pPr>
      <w:r>
        <w:rPr>
          <w:rFonts w:hint="eastAsia" w:ascii="Times New Roman" w:hAnsi="Times New Roman" w:eastAsia="宋体" w:cs="Times New Roman"/>
          <w:color w:val="000000"/>
          <w:kern w:val="0"/>
          <w:sz w:val="24"/>
          <w:szCs w:val="24"/>
          <w:lang w:val="en-US" w:eastAsia="zh-CN" w:bidi="ar"/>
        </w:rPr>
        <w:t>4.1</w:t>
      </w:r>
      <w:r>
        <w:rPr>
          <w:rFonts w:hint="default" w:ascii="Times New Roman" w:hAnsi="Times New Roman" w:eastAsia="宋体" w:cs="Times New Roman"/>
          <w:color w:val="000000"/>
          <w:kern w:val="0"/>
          <w:sz w:val="24"/>
          <w:szCs w:val="24"/>
          <w:lang w:val="en-US" w:eastAsia="zh-CN" w:bidi="ar"/>
        </w:rPr>
        <w:t>.1</w:t>
      </w:r>
      <w:r>
        <w:rPr>
          <w:rFonts w:hint="eastAsia" w:ascii="Times New Roman" w:hAnsi="Times New Roman" w:eastAsia="宋体" w:cs="Times New Roman"/>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生活污水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一期工程已设有</w:t>
      </w:r>
      <w:r>
        <w:rPr>
          <w:rFonts w:hint="default" w:ascii="Times New Roman" w:hAnsi="Times New Roman" w:eastAsia="宋体" w:cs="Times New Roman"/>
          <w:color w:val="000000"/>
          <w:kern w:val="0"/>
          <w:sz w:val="24"/>
          <w:szCs w:val="24"/>
          <w:lang w:val="en-US" w:eastAsia="zh-CN" w:bidi="ar"/>
        </w:rPr>
        <w:t>2×10m</w:t>
      </w:r>
      <w:r>
        <w:rPr>
          <w:rFonts w:hint="eastAsia"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/h</w:t>
      </w:r>
      <w:r>
        <w:rPr>
          <w:rFonts w:hint="eastAsia" w:ascii="宋体" w:hAnsi="宋体" w:eastAsia="宋体" w:cs="宋体"/>
          <w:color w:val="000000"/>
          <w:kern w:val="0"/>
          <w:sz w:val="24"/>
          <w:szCs w:val="24"/>
          <w:lang w:val="en-US" w:eastAsia="zh-CN" w:bidi="ar"/>
        </w:rPr>
        <w:t>生活污水处理站，本期工程不再新建。本期工程建设独立的生活污水管网，全厂的生活污水由各建筑物排出后，以自流或部分提升的方式送至一期生活污水处理站进行处理后回用，出水水质满足《城市污水再生利用城市杂用水水质》</w:t>
      </w:r>
      <w:r>
        <w:rPr>
          <w:rFonts w:hint="default" w:ascii="Times New Roman" w:hAnsi="Times New Roman" w:eastAsia="宋体" w:cs="Times New Roman"/>
          <w:color w:val="000000"/>
          <w:kern w:val="0"/>
          <w:sz w:val="24"/>
          <w:szCs w:val="24"/>
          <w:lang w:val="en-US" w:eastAsia="zh-CN" w:bidi="ar"/>
        </w:rPr>
        <w:t>(GB/T18920-2002)</w:t>
      </w:r>
      <w:r>
        <w:rPr>
          <w:rFonts w:hint="eastAsia" w:ascii="宋体" w:hAnsi="宋体" w:eastAsia="宋体" w:cs="宋体"/>
          <w:color w:val="000000"/>
          <w:kern w:val="0"/>
          <w:sz w:val="24"/>
          <w:szCs w:val="24"/>
          <w:lang w:val="en-US" w:eastAsia="zh-CN" w:bidi="ar"/>
        </w:rPr>
        <w:t>标准后用于厂区绿化。工艺流程示意图如下：</w:t>
      </w:r>
    </w:p>
    <w:p>
      <w:pPr>
        <w:keepNext/>
        <w:keepLines w:val="0"/>
        <w:pageBreakBefore w:val="0"/>
        <w:widowControl w:val="0"/>
        <w:kinsoku/>
        <w:wordWrap/>
        <w:overflowPunct/>
        <w:topLinePunct w:val="0"/>
        <w:autoSpaceDE/>
        <w:autoSpaceDN/>
        <w:bidi w:val="0"/>
        <w:adjustRightInd/>
        <w:snapToGrid/>
        <w:ind w:firstLine="0" w:firstLineChars="0"/>
        <w:jc w:val="center"/>
        <w:textAlignment w:val="auto"/>
        <w:outlineLvl w:val="9"/>
      </w:pPr>
      <w:r>
        <w:drawing>
          <wp:inline distT="0" distB="0" distL="114300" distR="114300">
            <wp:extent cx="4558030" cy="986790"/>
            <wp:effectExtent l="9525" t="9525" r="17145" b="1968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2"/>
                    <a:stretch>
                      <a:fillRect/>
                    </a:stretch>
                  </pic:blipFill>
                  <pic:spPr>
                    <a:xfrm>
                      <a:off x="0" y="0"/>
                      <a:ext cx="4558030" cy="986790"/>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图4-1</w:t>
      </w:r>
      <w:r>
        <w:rPr>
          <w:rFonts w:hint="eastAsia" w:ascii="黑体" w:hAnsi="黑体" w:eastAsia="黑体" w:cs="黑体"/>
          <w:color w:val="000000"/>
          <w:kern w:val="0"/>
          <w:sz w:val="21"/>
          <w:szCs w:val="21"/>
          <w:lang w:val="en-US" w:eastAsia="zh-CN" w:bidi="ar"/>
        </w:rPr>
        <w:t>生活污水处理站工艺流程</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冷却塔排水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本期工程采用带自然通风冷却塔的二次循环供水系统。</w:t>
      </w:r>
    </w:p>
    <w:p>
      <w:pPr>
        <w:keepNext w:val="0"/>
        <w:keepLines w:val="0"/>
        <w:widowControl/>
        <w:suppressLineNumbers w:val="0"/>
        <w:jc w:val="both"/>
      </w:pPr>
      <w:r>
        <w:rPr>
          <w:rFonts w:hint="eastAsia" w:ascii="宋体" w:hAnsi="宋体" w:eastAsia="宋体" w:cs="宋体"/>
          <w:color w:val="000000"/>
          <w:kern w:val="0"/>
          <w:sz w:val="24"/>
          <w:szCs w:val="24"/>
          <w:lang w:val="en-US" w:eastAsia="zh-CN" w:bidi="ar"/>
        </w:rPr>
        <w:t>冷却塔排水中</w:t>
      </w:r>
      <w:r>
        <w:rPr>
          <w:rFonts w:hint="default" w:ascii="Times New Roman" w:hAnsi="Times New Roman" w:eastAsia="宋体" w:cs="Times New Roman"/>
          <w:color w:val="000000"/>
          <w:kern w:val="0"/>
          <w:sz w:val="24"/>
          <w:szCs w:val="24"/>
          <w:lang w:val="en-US" w:eastAsia="zh-CN" w:bidi="ar"/>
        </w:rPr>
        <w:t>260t/h</w:t>
      </w:r>
      <w:r>
        <w:rPr>
          <w:rFonts w:hint="eastAsia" w:ascii="宋体" w:hAnsi="宋体" w:eastAsia="宋体" w:cs="宋体"/>
          <w:color w:val="000000"/>
          <w:kern w:val="0"/>
          <w:sz w:val="24"/>
          <w:szCs w:val="24"/>
          <w:lang w:val="en-US" w:eastAsia="zh-CN" w:bidi="ar"/>
        </w:rPr>
        <w:t>进入工业水池作为脱硫系统用水或工艺冲洗水等；其余部分</w:t>
      </w:r>
      <w:r>
        <w:rPr>
          <w:rFonts w:hint="default" w:ascii="Times New Roman" w:hAnsi="Times New Roman" w:eastAsia="宋体" w:cs="Times New Roman"/>
          <w:color w:val="000000"/>
          <w:kern w:val="0"/>
          <w:sz w:val="24"/>
          <w:szCs w:val="24"/>
          <w:lang w:val="en-US" w:eastAsia="zh-CN" w:bidi="ar"/>
        </w:rPr>
        <w:t>235t/h</w:t>
      </w:r>
      <w:r>
        <w:rPr>
          <w:rFonts w:hint="eastAsia" w:ascii="宋体" w:hAnsi="宋体" w:eastAsia="宋体" w:cs="宋体"/>
          <w:color w:val="000000"/>
          <w:kern w:val="0"/>
          <w:sz w:val="24"/>
          <w:szCs w:val="24"/>
          <w:lang w:val="en-US" w:eastAsia="zh-CN" w:bidi="ar"/>
        </w:rPr>
        <w:t>采用石灰混凝澄清处理技术进行软化处理，降低水中的硬度、难溶盐、硅等易结垢的指标，去除部分</w:t>
      </w:r>
      <w:r>
        <w:rPr>
          <w:rFonts w:hint="default" w:ascii="Times New Roman" w:hAnsi="Times New Roman" w:eastAsia="宋体" w:cs="Times New Roman"/>
          <w:color w:val="000000"/>
          <w:kern w:val="0"/>
          <w:sz w:val="24"/>
          <w:szCs w:val="24"/>
          <w:lang w:val="en-US" w:eastAsia="zh-CN" w:bidi="ar"/>
        </w:rPr>
        <w:t>COD</w:t>
      </w:r>
      <w:r>
        <w:rPr>
          <w:rFonts w:hint="eastAsia" w:ascii="宋体" w:hAnsi="宋体" w:eastAsia="宋体" w:cs="宋体"/>
          <w:color w:val="000000"/>
          <w:kern w:val="0"/>
          <w:sz w:val="24"/>
          <w:szCs w:val="24"/>
          <w:lang w:val="en-US" w:eastAsia="zh-CN" w:bidi="ar"/>
        </w:rPr>
        <w:t>等污染物。经软化后的冷却塔排水部分作为冷却塔补水，部分再经过滤、超滤、反渗透、除盐系统等处理措施后作为锅炉补给水处理系统的补水。电厂产生的冷却塔排水可全部回用。石灰混凝澄清处理系统的具体流程如下：</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drawing>
          <wp:inline distT="0" distB="0" distL="114300" distR="114300">
            <wp:extent cx="3987800" cy="1485900"/>
            <wp:effectExtent l="9525" t="9525" r="15875" b="15875"/>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3"/>
                    <a:stretch>
                      <a:fillRect/>
                    </a:stretch>
                  </pic:blipFill>
                  <pic:spPr>
                    <a:xfrm>
                      <a:off x="0" y="0"/>
                      <a:ext cx="3987800" cy="1485900"/>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图4-2石灰混凝澄清处理系统</w:t>
      </w:r>
      <w:r>
        <w:rPr>
          <w:rFonts w:hint="eastAsia" w:ascii="黑体" w:hAnsi="黑体" w:eastAsia="黑体" w:cs="黑体"/>
          <w:color w:val="000000"/>
          <w:kern w:val="0"/>
          <w:sz w:val="21"/>
          <w:szCs w:val="21"/>
          <w:lang w:val="en-US" w:eastAsia="zh-CN" w:bidi="ar"/>
        </w:rPr>
        <w:t>工艺流程</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w:t>
      </w:r>
      <w:r>
        <w:rPr>
          <w:rFonts w:hint="eastAsia"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经常性工业废水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1</w:t>
      </w:r>
      <w:r>
        <w:rPr>
          <w:rFonts w:hint="eastAsia" w:ascii="宋体" w:hAnsi="宋体" w:eastAsia="宋体" w:cs="宋体"/>
          <w:color w:val="000000"/>
          <w:kern w:val="0"/>
          <w:sz w:val="24"/>
          <w:szCs w:val="24"/>
          <w:lang w:val="en-US" w:eastAsia="zh-CN" w:bidi="ar"/>
        </w:rPr>
        <w:t>）锅炉补给水处理再生废水、凝结水精处理混床再生废水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锅炉补给水处理再生废水、凝结水精处理混床再生废水是在软水制备时阴、阳离子交换器及混合离子交换器再生、清洗等产生的酸碱废水，这类废水通常情况下仅</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不合格，锅炉补给水处理再生废水</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一般在</w:t>
      </w:r>
      <w:r>
        <w:rPr>
          <w:rFonts w:hint="default" w:ascii="Times New Roman" w:hAnsi="Times New Roman" w:eastAsia="宋体" w:cs="Times New Roman"/>
          <w:color w:val="000000"/>
          <w:kern w:val="0"/>
          <w:sz w:val="24"/>
          <w:szCs w:val="24"/>
          <w:lang w:val="en-US" w:eastAsia="zh-CN" w:bidi="ar"/>
        </w:rPr>
        <w:t>2-12</w:t>
      </w:r>
      <w:r>
        <w:rPr>
          <w:rFonts w:hint="eastAsia" w:ascii="宋体" w:hAnsi="宋体" w:eastAsia="宋体" w:cs="宋体"/>
          <w:color w:val="000000"/>
          <w:kern w:val="0"/>
          <w:sz w:val="24"/>
          <w:szCs w:val="24"/>
          <w:lang w:val="en-US" w:eastAsia="zh-CN" w:bidi="ar"/>
        </w:rPr>
        <w:t>，凝结水精处理混床再生废水</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一般在</w:t>
      </w:r>
      <w:r>
        <w:rPr>
          <w:rFonts w:hint="default" w:ascii="Times New Roman" w:hAnsi="Times New Roman" w:eastAsia="宋体" w:cs="Times New Roman"/>
          <w:color w:val="000000"/>
          <w:kern w:val="0"/>
          <w:sz w:val="24"/>
          <w:szCs w:val="24"/>
          <w:lang w:val="en-US" w:eastAsia="zh-CN" w:bidi="ar"/>
        </w:rPr>
        <w:t>2-6</w:t>
      </w:r>
      <w:r>
        <w:rPr>
          <w:rFonts w:hint="eastAsia" w:ascii="宋体" w:hAnsi="宋体" w:eastAsia="宋体" w:cs="宋体"/>
          <w:color w:val="000000"/>
          <w:kern w:val="0"/>
          <w:sz w:val="24"/>
          <w:szCs w:val="24"/>
          <w:lang w:val="en-US" w:eastAsia="zh-CN" w:bidi="ar"/>
        </w:rPr>
        <w:t>，这些废水只需酸、碱中和后就能满足回用标准。其主要流程为：</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drawing>
          <wp:inline distT="0" distB="0" distL="114300" distR="114300">
            <wp:extent cx="4838700" cy="958850"/>
            <wp:effectExtent l="9525" t="9525" r="15875" b="9525"/>
            <wp:docPr id="3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2"/>
                    <pic:cNvPicPr>
                      <a:picLocks noChangeAspect="1"/>
                    </pic:cNvPicPr>
                  </pic:nvPicPr>
                  <pic:blipFill>
                    <a:blip r:embed="rId14"/>
                    <a:stretch>
                      <a:fillRect/>
                    </a:stretch>
                  </pic:blipFill>
                  <pic:spPr>
                    <a:xfrm>
                      <a:off x="0" y="0"/>
                      <a:ext cx="4838700" cy="958850"/>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lang w:val="en-US" w:eastAsia="zh-CN"/>
        </w:rPr>
      </w:pPr>
      <w:r>
        <w:rPr>
          <w:rFonts w:hint="eastAsia" w:ascii="黑体" w:hAnsi="黑体" w:eastAsia="黑体" w:cs="黑体"/>
          <w:sz w:val="21"/>
          <w:szCs w:val="21"/>
          <w:lang w:val="en-US" w:eastAsia="zh-CN"/>
        </w:rPr>
        <w:t>图4-3锅炉补给水处理再生废水、凝结水精处理混床再生废水</w:t>
      </w:r>
      <w:r>
        <w:rPr>
          <w:rFonts w:hint="eastAsia" w:ascii="黑体" w:hAnsi="黑体" w:eastAsia="黑体" w:cs="黑体"/>
          <w:color w:val="000000"/>
          <w:kern w:val="0"/>
          <w:sz w:val="21"/>
          <w:szCs w:val="21"/>
          <w:lang w:val="en-US" w:eastAsia="zh-CN" w:bidi="ar"/>
        </w:rPr>
        <w:t>工艺流程</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w:t>
      </w:r>
      <w:r>
        <w:rPr>
          <w:rFonts w:hint="eastAsia" w:ascii="宋体" w:hAnsi="宋体" w:eastAsia="宋体" w:cs="宋体"/>
          <w:color w:val="000000"/>
          <w:kern w:val="0"/>
          <w:sz w:val="24"/>
          <w:szCs w:val="24"/>
          <w:lang w:val="en-US" w:eastAsia="zh-CN" w:bidi="ar"/>
        </w:rPr>
        <w:t>）超滤反洗水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超滤系统的反洗排水悬浮物含量高，本期工程新设一套石灰混凝澄清处理系统对超滤反洗排水进行处理，超滤反洗排水经处理后用于锅炉补给水或作为循环冷却塔水系统补水。该系统还能同时处理冷却塔排水。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）反渗透浓水</w:t>
      </w:r>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反渗透浓水含盐量较高，悬浮物等杂质很少。本工程反渗透浓水送至回用水池后用于渣系统、煤场喷淋等，处理流程如下：</w:t>
      </w:r>
    </w:p>
    <w:p>
      <w:pPr>
        <w:keepNext w:val="0"/>
        <w:keepLines w:val="0"/>
        <w:widowControl/>
        <w:suppressLineNumbers w:val="0"/>
        <w:jc w:val="center"/>
      </w:pPr>
      <w:r>
        <w:drawing>
          <wp:inline distT="0" distB="0" distL="114300" distR="114300">
            <wp:extent cx="3375660" cy="306070"/>
            <wp:effectExtent l="9525" t="9525" r="18415" b="14605"/>
            <wp:docPr id="3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
                    <pic:cNvPicPr>
                      <a:picLocks noChangeAspect="1"/>
                    </pic:cNvPicPr>
                  </pic:nvPicPr>
                  <pic:blipFill>
                    <a:blip r:embed="rId15"/>
                    <a:stretch>
                      <a:fillRect/>
                    </a:stretch>
                  </pic:blipFill>
                  <pic:spPr>
                    <a:xfrm>
                      <a:off x="0" y="0"/>
                      <a:ext cx="3375660" cy="306070"/>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图4-4反渗透浓水处理</w:t>
      </w:r>
      <w:r>
        <w:rPr>
          <w:rFonts w:hint="eastAsia" w:ascii="黑体" w:hAnsi="黑体" w:eastAsia="黑体" w:cs="黑体"/>
          <w:color w:val="000000"/>
          <w:kern w:val="0"/>
          <w:sz w:val="21"/>
          <w:szCs w:val="21"/>
          <w:lang w:val="en-US" w:eastAsia="zh-CN" w:bidi="ar"/>
        </w:rPr>
        <w:t>工艺流程</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）脱硫废水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石灰石湿法脱硫废水的杂质主要来自烟气和脱硫剂，其中烟气的杂质来源于煤的燃烧，脱硫剂的杂质来源于石灰石的溶解</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；由于煤中可能含有包括重金属元素在内的多种元素，如</w:t>
      </w:r>
      <w:r>
        <w:rPr>
          <w:rFonts w:hint="default" w:ascii="Times New Roman" w:hAnsi="Times New Roman" w:eastAsia="宋体" w:cs="Times New Roman"/>
          <w:color w:val="000000"/>
          <w:kern w:val="0"/>
          <w:sz w:val="24"/>
          <w:szCs w:val="24"/>
          <w:lang w:val="en-US" w:eastAsia="zh-CN" w:bidi="ar"/>
        </w:rPr>
        <w:t>F</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Cl</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Cd</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Pb</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Ni</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As</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Se</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Cr</w:t>
      </w:r>
      <w:r>
        <w:rPr>
          <w:rFonts w:hint="eastAsia" w:ascii="宋体" w:hAnsi="宋体" w:eastAsia="宋体" w:cs="宋体"/>
          <w:color w:val="000000"/>
          <w:kern w:val="0"/>
          <w:sz w:val="24"/>
          <w:szCs w:val="24"/>
          <w:lang w:val="en-US" w:eastAsia="zh-CN" w:bidi="ar"/>
        </w:rPr>
        <w:t>等，这些元素在炉膛内高温条件下进行一系列的化学反应，生成了多种不同的化合物。一部分化合物随炉渣排出炉膛，另外一部分随烟气进入脱硫装置吸收塔，溶解于吸收浆液中，并且在吸收浆液循环系统中不断浓缩，最终脱硫废水中的杂质含量较高。废水中含有的杂质主要包括悬浮物、过饱和的亚硫酸盐、硫酸盐以及重金属；其中有些是国家环保标准中要求控制的第一类污染物。脱硫废水中的各种重金属离子对环境有污染性，水质比较特殊，处理难度较大，因此，必须对脱硫废水进行单独处理。其处理工艺如下：</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drawing>
          <wp:inline distT="0" distB="0" distL="114300" distR="114300">
            <wp:extent cx="5346065" cy="1317625"/>
            <wp:effectExtent l="9525" t="9525" r="16510" b="19050"/>
            <wp:docPr id="3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4"/>
                    <pic:cNvPicPr>
                      <a:picLocks noChangeAspect="1"/>
                    </pic:cNvPicPr>
                  </pic:nvPicPr>
                  <pic:blipFill>
                    <a:blip r:embed="rId16"/>
                    <a:stretch>
                      <a:fillRect/>
                    </a:stretch>
                  </pic:blipFill>
                  <pic:spPr>
                    <a:xfrm>
                      <a:off x="0" y="0"/>
                      <a:ext cx="5346065" cy="1317625"/>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lang w:val="en-US" w:eastAsia="zh-CN"/>
        </w:rPr>
      </w:pPr>
      <w:r>
        <w:rPr>
          <w:rFonts w:hint="eastAsia" w:ascii="黑体" w:hAnsi="黑体" w:eastAsia="黑体" w:cs="黑体"/>
          <w:sz w:val="21"/>
          <w:szCs w:val="21"/>
          <w:lang w:val="en-US" w:eastAsia="zh-CN"/>
        </w:rPr>
        <w:t>图4-5脱硫废水处理</w:t>
      </w:r>
      <w:r>
        <w:rPr>
          <w:rFonts w:hint="eastAsia" w:ascii="黑体" w:hAnsi="黑体" w:eastAsia="黑体" w:cs="黑体"/>
          <w:color w:val="000000"/>
          <w:kern w:val="0"/>
          <w:sz w:val="21"/>
          <w:szCs w:val="21"/>
          <w:lang w:val="en-US" w:eastAsia="zh-CN" w:bidi="ar"/>
        </w:rPr>
        <w:t>工艺流程</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本期将新建一套</w:t>
      </w:r>
      <w:r>
        <w:rPr>
          <w:rFonts w:hint="default" w:ascii="Times New Roman" w:hAnsi="Times New Roman" w:eastAsia="宋体" w:cs="Times New Roman"/>
          <w:color w:val="000000"/>
          <w:kern w:val="0"/>
          <w:sz w:val="24"/>
          <w:szCs w:val="24"/>
          <w:lang w:val="en-US" w:eastAsia="zh-CN" w:bidi="ar"/>
        </w:rPr>
        <w:t>30m</w:t>
      </w:r>
      <w:r>
        <w:rPr>
          <w:rFonts w:hint="eastAsia" w:cs="Times New Roman"/>
          <w:color w:val="000000"/>
          <w:kern w:val="0"/>
          <w:sz w:val="24"/>
          <w:szCs w:val="24"/>
          <w:vertAlign w:val="superscript"/>
          <w:lang w:val="en-US" w:eastAsia="zh-CN" w:bidi="ar"/>
        </w:rPr>
        <w:t>3</w:t>
      </w:r>
      <w:r>
        <w:rPr>
          <w:rFonts w:hint="default" w:ascii="Times New Roman" w:hAnsi="Times New Roman" w:eastAsia="宋体" w:cs="Times New Roman"/>
          <w:color w:val="000000"/>
          <w:kern w:val="0"/>
          <w:sz w:val="24"/>
          <w:szCs w:val="24"/>
          <w:lang w:val="en-US" w:eastAsia="zh-CN" w:bidi="ar"/>
        </w:rPr>
        <w:t>/h</w:t>
      </w:r>
      <w:r>
        <w:rPr>
          <w:rFonts w:hint="eastAsia" w:ascii="宋体" w:hAnsi="宋体" w:eastAsia="宋体" w:cs="宋体"/>
          <w:color w:val="000000"/>
          <w:kern w:val="0"/>
          <w:sz w:val="24"/>
          <w:szCs w:val="24"/>
          <w:lang w:val="en-US" w:eastAsia="zh-CN" w:bidi="ar"/>
        </w:rPr>
        <w:t>脱硫废水处理设施。本期处理达标后的脱硫废水送至灰、渣系统或煤场回收利用。</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）含煤废水</w:t>
      </w:r>
    </w:p>
    <w:p>
      <w:pPr>
        <w:keepNext w:val="0"/>
        <w:keepLines w:val="0"/>
        <w:widowControl/>
        <w:suppressLineNumbers w:val="0"/>
        <w:jc w:val="left"/>
        <w:rPr>
          <w:color w:val="auto"/>
        </w:rPr>
      </w:pPr>
      <w:r>
        <w:rPr>
          <w:rFonts w:hint="eastAsia"/>
          <w:color w:val="auto"/>
          <w:lang w:val="en-US" w:eastAsia="zh-CN"/>
        </w:rPr>
        <w:t>含煤废水处理依托一期工程，不再新建；仅设置一座煤泥沉淀池</w:t>
      </w:r>
      <w:r>
        <w:rPr>
          <w:color w:val="auto"/>
        </w:rPr>
        <w:t>。</w:t>
      </w:r>
      <w:r>
        <w:rPr>
          <w:rFonts w:hint="eastAsia"/>
          <w:color w:val="auto"/>
        </w:rPr>
        <w:t>本期工程因煤场采用干煤棚，两端设置防风抑尘网，没有煤场雨水，煤场喷淋水基本被煤堆吸收，仅有少量栈桥冲洗水约10t/h，含煤废水水量较少，因此本期工程取消2座煤泥沉淀池、煤废水处理设施及煤污水回用水池，利用一期已建的含煤废水处理设施（1套40m</w:t>
      </w:r>
      <w:r>
        <w:rPr>
          <w:rFonts w:hint="eastAsia"/>
          <w:color w:val="auto"/>
          <w:vertAlign w:val="superscript"/>
        </w:rPr>
        <w:t>3</w:t>
      </w:r>
      <w:r>
        <w:rPr>
          <w:rFonts w:hint="eastAsia"/>
          <w:color w:val="auto"/>
        </w:rPr>
        <w:t>/h含煤废水处理设备）进行处理。二期的煤水由运煤专业用泵提升送至一期沉煤池。分离出来的煤粒返回煤场，处理后的清水复用于煤场喷淋及栈桥冲洗循环使用，并采用处理后的脱硫废水和再生废水作为煤场喷淋及栈桥冲洗的补充水。</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w:t>
      </w:r>
      <w:r>
        <w:rPr>
          <w:rFonts w:hint="eastAsia" w:cs="Times New Roman"/>
          <w:color w:val="000000"/>
          <w:kern w:val="0"/>
          <w:sz w:val="24"/>
          <w:szCs w:val="24"/>
          <w:lang w:val="en-US" w:eastAsia="zh-CN" w:bidi="ar"/>
        </w:rPr>
        <w:t>4</w:t>
      </w:r>
      <w:r>
        <w:rPr>
          <w:rFonts w:hint="eastAsia" w:ascii="宋体" w:hAnsi="宋体" w:eastAsia="宋体" w:cs="宋体"/>
          <w:color w:val="000000"/>
          <w:kern w:val="0"/>
          <w:sz w:val="24"/>
          <w:szCs w:val="24"/>
          <w:lang w:val="en-US" w:eastAsia="zh-CN" w:bidi="ar"/>
        </w:rPr>
        <w:t>非经常性废水</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本期工程非经常性废水主要包括锅炉空气预热器清洗排水、锅炉化学清洗排水等。此类废水水量较大、</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不合格、含有大量悬浮物和金属离子如铁、铜等，有时</w:t>
      </w:r>
      <w:r>
        <w:rPr>
          <w:rFonts w:hint="default" w:ascii="Times New Roman" w:hAnsi="Times New Roman" w:eastAsia="宋体" w:cs="Times New Roman"/>
          <w:color w:val="000000"/>
          <w:kern w:val="0"/>
          <w:sz w:val="24"/>
          <w:szCs w:val="24"/>
          <w:lang w:val="en-US" w:eastAsia="zh-CN" w:bidi="ar"/>
        </w:rPr>
        <w:t>COD</w:t>
      </w:r>
      <w:r>
        <w:rPr>
          <w:rFonts w:hint="eastAsia" w:ascii="宋体" w:hAnsi="宋体" w:eastAsia="宋体" w:cs="宋体"/>
          <w:color w:val="000000"/>
          <w:kern w:val="0"/>
          <w:sz w:val="24"/>
          <w:szCs w:val="24"/>
          <w:lang w:val="en-US" w:eastAsia="zh-CN" w:bidi="ar"/>
        </w:rPr>
        <w:t>也可能超标。因此除了</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调整，还要进行凝聚、澄清才能达标排放。这部分废水进入废水贮存池并经空气搅拌、曝气氧化</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必要时还应加入氧化剂氧化</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，然后用泵送入</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调整槽，加碱调节</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值，此时可发生如下反应：</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Fe</w:t>
      </w:r>
      <w:r>
        <w:rPr>
          <w:rFonts w:hint="default" w:ascii="Times New Roman" w:hAnsi="Times New Roman" w:eastAsia="宋体" w:cs="Times New Roman"/>
          <w:color w:val="000000"/>
          <w:kern w:val="0"/>
          <w:sz w:val="16"/>
          <w:szCs w:val="16"/>
          <w:lang w:val="en-US" w:eastAsia="zh-CN" w:bidi="ar"/>
        </w:rPr>
        <w:t>3+</w:t>
      </w:r>
      <w:r>
        <w:rPr>
          <w:rFonts w:hint="default" w:ascii="Times New Roman" w:hAnsi="Times New Roman" w:eastAsia="宋体" w:cs="Times New Roman"/>
          <w:color w:val="000000"/>
          <w:kern w:val="0"/>
          <w:sz w:val="24"/>
          <w:szCs w:val="24"/>
          <w:lang w:val="en-US" w:eastAsia="zh-CN" w:bidi="ar"/>
        </w:rPr>
        <w:t>+3OH</w:t>
      </w:r>
      <w:r>
        <w:rPr>
          <w:rFonts w:hint="default" w:ascii="Times New Roman" w:hAnsi="Times New Roman" w:eastAsia="宋体" w:cs="Times New Roman"/>
          <w:color w:val="000000"/>
          <w:kern w:val="0"/>
          <w:sz w:val="16"/>
          <w:szCs w:val="16"/>
          <w:lang w:val="en-US" w:eastAsia="zh-CN" w:bidi="ar"/>
        </w:rPr>
        <w:t>-</w:t>
      </w:r>
      <w:r>
        <w:rPr>
          <w:rFonts w:hint="default" w:ascii="Times New Roman" w:hAnsi="Times New Roman" w:eastAsia="宋体" w:cs="Times New Roman"/>
          <w:color w:val="000000"/>
          <w:kern w:val="0"/>
          <w:sz w:val="24"/>
          <w:szCs w:val="24"/>
          <w:lang w:val="en-US" w:eastAsia="zh-CN" w:bidi="ar"/>
        </w:rPr>
        <w:t>→Fe(OH)</w:t>
      </w:r>
      <w:r>
        <w:rPr>
          <w:rFonts w:hint="default" w:ascii="Times New Roman" w:hAnsi="Times New Roman" w:eastAsia="宋体" w:cs="Times New Roman"/>
          <w:color w:val="000000"/>
          <w:kern w:val="0"/>
          <w:sz w:val="16"/>
          <w:szCs w:val="16"/>
          <w:lang w:val="en-US" w:eastAsia="zh-CN" w:bidi="ar"/>
        </w:rPr>
        <w:t>3</w:t>
      </w:r>
      <w:r>
        <w:rPr>
          <w:rFonts w:hint="default" w:ascii="Times New Roman" w:hAnsi="Times New Roman" w:eastAsia="宋体" w:cs="Times New Roman"/>
          <w:color w:val="000000"/>
          <w:kern w:val="0"/>
          <w:sz w:val="24"/>
          <w:szCs w:val="24"/>
          <w:lang w:val="en-US" w:eastAsia="zh-CN" w:bidi="ar"/>
        </w:rPr>
        <w:t>↓</w:t>
      </w:r>
    </w:p>
    <w:p>
      <w:pPr>
        <w:keepNext w:val="0"/>
        <w:keepLines w:val="0"/>
        <w:widowControl/>
        <w:suppressLineNumbers w:val="0"/>
        <w:jc w:val="left"/>
      </w:pPr>
      <w:r>
        <w:rPr>
          <w:rFonts w:hint="eastAsia" w:ascii="宋体" w:hAnsi="宋体" w:eastAsia="宋体" w:cs="宋体"/>
          <w:color w:val="000000"/>
          <w:kern w:val="0"/>
          <w:sz w:val="24"/>
          <w:szCs w:val="24"/>
          <w:lang w:val="en-US" w:eastAsia="zh-CN" w:bidi="ar"/>
        </w:rPr>
        <w:t>在合适的</w:t>
      </w:r>
      <w:r>
        <w:rPr>
          <w:rFonts w:hint="default" w:ascii="Times New Roman" w:hAnsi="Times New Roman" w:eastAsia="宋体" w:cs="Times New Roman"/>
          <w:color w:val="000000"/>
          <w:kern w:val="0"/>
          <w:sz w:val="24"/>
          <w:szCs w:val="24"/>
          <w:lang w:val="en-US" w:eastAsia="zh-CN" w:bidi="ar"/>
        </w:rPr>
        <w:t>pH</w:t>
      </w:r>
      <w:r>
        <w:rPr>
          <w:rFonts w:hint="eastAsia" w:ascii="宋体" w:hAnsi="宋体" w:eastAsia="宋体" w:cs="宋体"/>
          <w:color w:val="000000"/>
          <w:kern w:val="0"/>
          <w:sz w:val="24"/>
          <w:szCs w:val="24"/>
          <w:lang w:val="en-US" w:eastAsia="zh-CN" w:bidi="ar"/>
        </w:rPr>
        <w:t>条件下，废水中产生了具有相当吸附能力的、大量的</w:t>
      </w:r>
      <w:r>
        <w:rPr>
          <w:rFonts w:hint="default" w:ascii="Times New Roman" w:hAnsi="Times New Roman" w:eastAsia="宋体" w:cs="Times New Roman"/>
          <w:color w:val="000000"/>
          <w:kern w:val="0"/>
          <w:sz w:val="24"/>
          <w:szCs w:val="24"/>
          <w:lang w:val="en-US" w:eastAsia="zh-CN" w:bidi="ar"/>
        </w:rPr>
        <w:t>Fe(OH)</w:t>
      </w:r>
      <w:r>
        <w:rPr>
          <w:rFonts w:hint="default" w:ascii="Times New Roman" w:hAnsi="Times New Roman" w:eastAsia="宋体" w:cs="Times New Roman"/>
          <w:color w:val="000000"/>
          <w:kern w:val="0"/>
          <w:sz w:val="16"/>
          <w:szCs w:val="16"/>
          <w:lang w:val="en-US" w:eastAsia="zh-CN" w:bidi="ar"/>
        </w:rPr>
        <w:t>3</w:t>
      </w:r>
      <w:r>
        <w:rPr>
          <w:rFonts w:hint="eastAsia" w:ascii="宋体" w:hAnsi="宋体" w:eastAsia="宋体" w:cs="宋体"/>
          <w:color w:val="000000"/>
          <w:kern w:val="0"/>
          <w:sz w:val="24"/>
          <w:szCs w:val="24"/>
          <w:lang w:val="en-US" w:eastAsia="zh-CN" w:bidi="ar"/>
        </w:rPr>
        <w:t>絮状物，它能起到较好的去除悬浊物的效果。此后废水依次流入反应槽、絮凝槽，分别加入凝聚剂和助凝剂，进一步加强絮凝效果。加药后的废水进入斜板澄清器澄清，清水上升至上部集水装置</w:t>
      </w:r>
      <w:r>
        <w:rPr>
          <w:rFonts w:hint="default" w:ascii="Times New Roman" w:hAnsi="Times New Roman" w:eastAsia="宋体" w:cs="Times New Roman"/>
          <w:color w:val="000000"/>
          <w:kern w:val="0"/>
          <w:sz w:val="24"/>
          <w:szCs w:val="24"/>
          <w:lang w:val="en-US" w:eastAsia="zh-CN" w:bidi="ar"/>
        </w:rPr>
        <w:t>(</w:t>
      </w:r>
      <w:r>
        <w:rPr>
          <w:rFonts w:hint="eastAsia" w:ascii="宋体" w:hAnsi="宋体" w:eastAsia="宋体" w:cs="宋体"/>
          <w:color w:val="000000"/>
          <w:kern w:val="0"/>
          <w:sz w:val="24"/>
          <w:szCs w:val="24"/>
          <w:lang w:val="en-US" w:eastAsia="zh-CN" w:bidi="ar"/>
        </w:rPr>
        <w:t>上部清水</w:t>
      </w:r>
      <w:r>
        <w:rPr>
          <w:rFonts w:hint="default" w:ascii="Times New Roman" w:hAnsi="Times New Roman" w:eastAsia="宋体" w:cs="Times New Roman"/>
          <w:color w:val="000000"/>
          <w:kern w:val="0"/>
          <w:sz w:val="24"/>
          <w:szCs w:val="24"/>
          <w:lang w:val="en-US" w:eastAsia="zh-CN" w:bidi="ar"/>
        </w:rPr>
        <w:t>SS&lt;50mg/L)</w:t>
      </w:r>
      <w:r>
        <w:rPr>
          <w:rFonts w:hint="eastAsia" w:ascii="宋体" w:hAnsi="宋体" w:eastAsia="宋体" w:cs="宋体"/>
          <w:color w:val="000000"/>
          <w:kern w:val="0"/>
          <w:sz w:val="24"/>
          <w:szCs w:val="24"/>
          <w:lang w:val="en-US" w:eastAsia="zh-CN" w:bidi="ar"/>
        </w:rPr>
        <w:t>，自流入中和池，直至达标回用。斜板澄清池底部污泥经泥浆泵送至循环水混凝澄清处理系统的污泥池、脱水机，最终的泥饼由汽车外运处置。处理流程如下：</w:t>
      </w:r>
    </w:p>
    <w:p>
      <w:pPr>
        <w:keepNext w:val="0"/>
        <w:keepLines w:val="0"/>
        <w:pageBreakBefore w:val="0"/>
        <w:widowControl/>
        <w:suppressLineNumbers w:val="0"/>
        <w:kinsoku/>
        <w:wordWrap/>
        <w:overflowPunct/>
        <w:topLinePunct w:val="0"/>
        <w:autoSpaceDE/>
        <w:autoSpaceDN/>
        <w:bidi w:val="0"/>
        <w:adjustRightInd/>
        <w:snapToGrid/>
        <w:ind w:firstLine="0" w:firstLineChars="0"/>
        <w:jc w:val="center"/>
        <w:textAlignment w:val="auto"/>
      </w:pPr>
      <w:r>
        <w:drawing>
          <wp:inline distT="0" distB="0" distL="114300" distR="114300">
            <wp:extent cx="5032375" cy="1061085"/>
            <wp:effectExtent l="9525" t="9525" r="12700" b="21590"/>
            <wp:docPr id="3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5"/>
                    <pic:cNvPicPr>
                      <a:picLocks noChangeAspect="1"/>
                    </pic:cNvPicPr>
                  </pic:nvPicPr>
                  <pic:blipFill>
                    <a:blip r:embed="rId17"/>
                    <a:stretch>
                      <a:fillRect/>
                    </a:stretch>
                  </pic:blipFill>
                  <pic:spPr>
                    <a:xfrm>
                      <a:off x="0" y="0"/>
                      <a:ext cx="5032375" cy="1061085"/>
                    </a:xfrm>
                    <a:prstGeom prst="rect">
                      <a:avLst/>
                    </a:prstGeom>
                    <a:noFill/>
                    <a:ln>
                      <a:solidFill>
                        <a:schemeClr val="tx1"/>
                      </a:solid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rPr>
          <w:rFonts w:hint="eastAsia" w:ascii="黑体" w:hAnsi="黑体" w:eastAsia="黑体" w:cs="黑体"/>
          <w:sz w:val="21"/>
          <w:szCs w:val="21"/>
          <w:lang w:val="en-US" w:eastAsia="zh-CN"/>
        </w:rPr>
        <w:t>图4-6非经常性废水处理</w:t>
      </w:r>
      <w:r>
        <w:rPr>
          <w:rFonts w:hint="eastAsia" w:ascii="黑体" w:hAnsi="黑体" w:eastAsia="黑体" w:cs="黑体"/>
          <w:color w:val="000000"/>
          <w:kern w:val="0"/>
          <w:sz w:val="21"/>
          <w:szCs w:val="21"/>
          <w:lang w:val="en-US" w:eastAsia="zh-CN" w:bidi="ar"/>
        </w:rPr>
        <w:t>工艺流程</w:t>
      </w:r>
    </w:p>
    <w:p>
      <w:pPr>
        <w:keepNext w:val="0"/>
        <w:keepLines w:val="0"/>
        <w:widowControl/>
        <w:suppressLineNumbers w:val="0"/>
        <w:jc w:val="left"/>
      </w:pPr>
      <w:r>
        <w:rPr>
          <w:rFonts w:hint="default" w:ascii="Times New Roman" w:hAnsi="Times New Roman" w:eastAsia="宋体" w:cs="Times New Roman"/>
          <w:color w:val="000000"/>
          <w:kern w:val="0"/>
          <w:sz w:val="24"/>
          <w:szCs w:val="24"/>
          <w:lang w:val="en-US" w:eastAsia="zh-CN" w:bidi="ar"/>
        </w:rPr>
        <w:t>4.</w:t>
      </w:r>
      <w:r>
        <w:rPr>
          <w:rFonts w:hint="eastAsia" w:ascii="Times New Roman" w:hAnsi="Times New Roman" w:eastAsia="宋体" w:cs="Times New Roman"/>
          <w:color w:val="000000"/>
          <w:kern w:val="0"/>
          <w:sz w:val="24"/>
          <w:szCs w:val="24"/>
          <w:lang w:val="en-US" w:eastAsia="zh-CN" w:bidi="ar"/>
        </w:rPr>
        <w:t>1.1</w:t>
      </w:r>
      <w:r>
        <w:rPr>
          <w:rFonts w:hint="default" w:ascii="Times New Roman" w:hAnsi="Times New Roman" w:eastAsia="宋体" w:cs="Times New Roman"/>
          <w:color w:val="000000"/>
          <w:kern w:val="0"/>
          <w:sz w:val="24"/>
          <w:szCs w:val="24"/>
          <w:lang w:val="en-US" w:eastAsia="zh-CN" w:bidi="ar"/>
        </w:rPr>
        <w:t>.</w:t>
      </w:r>
      <w:r>
        <w:rPr>
          <w:rFonts w:hint="eastAsia" w:cs="Times New Roman"/>
          <w:color w:val="000000"/>
          <w:kern w:val="0"/>
          <w:sz w:val="24"/>
          <w:szCs w:val="24"/>
          <w:lang w:val="en-US" w:eastAsia="zh-CN" w:bidi="ar"/>
        </w:rPr>
        <w:t>5</w:t>
      </w:r>
      <w:r>
        <w:rPr>
          <w:rFonts w:hint="eastAsia" w:ascii="宋体" w:hAnsi="宋体" w:eastAsia="宋体" w:cs="宋体"/>
          <w:color w:val="000000"/>
          <w:kern w:val="0"/>
          <w:sz w:val="24"/>
          <w:szCs w:val="24"/>
          <w:lang w:val="en-US" w:eastAsia="zh-CN" w:bidi="ar"/>
        </w:rPr>
        <w:t>废水处理设施</w:t>
      </w:r>
    </w:p>
    <w:p>
      <w:pPr>
        <w:keepNext w:val="0"/>
        <w:keepLines w:val="0"/>
        <w:widowControl/>
        <w:suppressLineNumbers w:val="0"/>
        <w:jc w:val="both"/>
        <w:rPr>
          <w:color w:val="auto"/>
        </w:rPr>
      </w:pPr>
      <w:r>
        <w:rPr>
          <w:rFonts w:hint="eastAsia" w:ascii="宋体" w:hAnsi="宋体" w:eastAsia="宋体" w:cs="宋体"/>
          <w:color w:val="auto"/>
          <w:kern w:val="0"/>
          <w:sz w:val="24"/>
          <w:szCs w:val="24"/>
          <w:lang w:val="en-US" w:eastAsia="zh-CN" w:bidi="ar"/>
        </w:rPr>
        <w:t>一期工程原有工业废水处理系统的处理能力完全可满足扩建后全厂的工业废水处理，本期不再新增废水处理设备；由于</w:t>
      </w:r>
      <w:r>
        <w:rPr>
          <w:rFonts w:hint="default" w:ascii="Times New Roman" w:hAnsi="Times New Roman" w:eastAsia="宋体" w:cs="Times New Roman"/>
          <w:color w:val="auto"/>
          <w:kern w:val="0"/>
          <w:sz w:val="24"/>
          <w:szCs w:val="24"/>
          <w:lang w:val="en-US" w:eastAsia="zh-CN" w:bidi="ar"/>
        </w:rPr>
        <w:t>1350MW</w:t>
      </w:r>
      <w:r>
        <w:rPr>
          <w:rFonts w:hint="eastAsia" w:ascii="宋体" w:hAnsi="宋体" w:eastAsia="宋体" w:cs="宋体"/>
          <w:color w:val="auto"/>
          <w:kern w:val="0"/>
          <w:sz w:val="24"/>
          <w:szCs w:val="24"/>
          <w:lang w:val="en-US" w:eastAsia="zh-CN" w:bidi="ar"/>
        </w:rPr>
        <w:t>机组的锅炉化学清洗排水量较大，本期新增一座</w:t>
      </w:r>
      <w:r>
        <w:rPr>
          <w:rFonts w:hint="default" w:ascii="Times New Roman" w:hAnsi="Times New Roman" w:eastAsia="宋体" w:cs="Times New Roman"/>
          <w:color w:val="auto"/>
          <w:kern w:val="0"/>
          <w:sz w:val="24"/>
          <w:szCs w:val="24"/>
          <w:lang w:val="en-US" w:eastAsia="zh-CN" w:bidi="ar"/>
        </w:rPr>
        <w:t>2000m</w:t>
      </w:r>
      <w:r>
        <w:rPr>
          <w:rFonts w:hint="eastAsia"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废水贮存池，全厂的废水贮存池总容积达到</w:t>
      </w:r>
      <w:r>
        <w:rPr>
          <w:rFonts w:hint="default" w:ascii="Times New Roman" w:hAnsi="Times New Roman" w:eastAsia="宋体" w:cs="Times New Roman"/>
          <w:color w:val="auto"/>
          <w:kern w:val="0"/>
          <w:sz w:val="24"/>
          <w:szCs w:val="24"/>
          <w:lang w:val="en-US" w:eastAsia="zh-CN" w:bidi="ar"/>
        </w:rPr>
        <w:t>10000m</w:t>
      </w:r>
      <w:r>
        <w:rPr>
          <w:rFonts w:hint="eastAsia"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w:t>
      </w:r>
    </w:p>
    <w:p>
      <w:pPr>
        <w:keepNext w:val="0"/>
        <w:keepLines w:val="0"/>
        <w:widowControl/>
        <w:suppressLineNumbers w:val="0"/>
        <w:jc w:val="left"/>
        <w:rPr>
          <w:rFonts w:hint="eastAsia" w:ascii="宋体" w:hAnsi="宋体" w:eastAsia="宋体" w:cs="宋体"/>
          <w:color w:val="auto"/>
          <w:kern w:val="0"/>
          <w:sz w:val="24"/>
          <w:szCs w:val="24"/>
          <w:lang w:val="en-US" w:eastAsia="zh-CN" w:bidi="ar"/>
        </w:rPr>
      </w:pPr>
      <w:r>
        <w:rPr>
          <w:rFonts w:hint="eastAsia" w:ascii="宋体" w:hAnsi="宋体" w:eastAsia="宋体" w:cs="宋体"/>
          <w:color w:val="auto"/>
          <w:kern w:val="0"/>
          <w:sz w:val="24"/>
          <w:szCs w:val="24"/>
          <w:lang w:val="en-US" w:eastAsia="zh-CN" w:bidi="ar"/>
        </w:rPr>
        <w:t>在本期机组的炉后部分设一机组排水槽，其有效容积为</w:t>
      </w:r>
      <w:r>
        <w:rPr>
          <w:rFonts w:hint="default" w:ascii="Times New Roman" w:hAnsi="Times New Roman" w:eastAsia="宋体" w:cs="Times New Roman"/>
          <w:color w:val="auto"/>
          <w:kern w:val="0"/>
          <w:sz w:val="24"/>
          <w:szCs w:val="24"/>
          <w:lang w:val="en-US" w:eastAsia="zh-CN" w:bidi="ar"/>
        </w:rPr>
        <w:t>500m</w:t>
      </w:r>
      <w:r>
        <w:rPr>
          <w:rFonts w:hint="eastAsia"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w:t>
      </w:r>
      <w:r>
        <w:rPr>
          <w:rFonts w:hint="eastAsia" w:ascii="宋体" w:hAnsi="宋体" w:cs="宋体"/>
          <w:color w:val="auto"/>
          <w:kern w:val="0"/>
          <w:sz w:val="24"/>
          <w:szCs w:val="24"/>
          <w:lang w:val="en-US" w:eastAsia="zh-CN" w:bidi="ar"/>
        </w:rPr>
        <w:t>并与</w:t>
      </w:r>
      <w:r>
        <w:rPr>
          <w:rFonts w:hint="eastAsia" w:ascii="宋体" w:hAnsi="宋体" w:eastAsia="宋体" w:cs="宋体"/>
          <w:color w:val="auto"/>
          <w:kern w:val="0"/>
          <w:sz w:val="24"/>
          <w:szCs w:val="24"/>
          <w:lang w:val="en-US" w:eastAsia="zh-CN" w:bidi="ar"/>
        </w:rPr>
        <w:t>新增的</w:t>
      </w:r>
      <w:r>
        <w:rPr>
          <w:rFonts w:hint="default" w:ascii="Times New Roman" w:hAnsi="Times New Roman" w:eastAsia="宋体" w:cs="Times New Roman"/>
          <w:color w:val="auto"/>
          <w:kern w:val="0"/>
          <w:sz w:val="24"/>
          <w:szCs w:val="24"/>
          <w:lang w:val="en-US" w:eastAsia="zh-CN" w:bidi="ar"/>
        </w:rPr>
        <w:t>2000m</w:t>
      </w:r>
      <w:r>
        <w:rPr>
          <w:rFonts w:hint="eastAsia" w:ascii="Times New Roman" w:hAnsi="Times New Roman" w:eastAsia="宋体" w:cs="Times New Roman"/>
          <w:color w:val="auto"/>
          <w:kern w:val="0"/>
          <w:sz w:val="24"/>
          <w:szCs w:val="24"/>
          <w:vertAlign w:val="superscript"/>
          <w:lang w:val="en-US" w:eastAsia="zh-CN" w:bidi="ar"/>
        </w:rPr>
        <w:t>3</w:t>
      </w:r>
      <w:r>
        <w:rPr>
          <w:rFonts w:hint="eastAsia" w:ascii="宋体" w:hAnsi="宋体" w:eastAsia="宋体" w:cs="宋体"/>
          <w:color w:val="auto"/>
          <w:kern w:val="0"/>
          <w:sz w:val="24"/>
          <w:szCs w:val="24"/>
          <w:lang w:val="en-US" w:eastAsia="zh-CN" w:bidi="ar"/>
        </w:rPr>
        <w:t>废水贮存池合并布置。</w:t>
      </w:r>
    </w:p>
    <w:p>
      <w:pPr>
        <w:pStyle w:val="8"/>
        <w:rPr>
          <w:rFonts w:hint="eastAsia"/>
          <w:lang w:val="en-US" w:eastAsia="zh-C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vertAlign w:val="baseline"/>
              </w:rPr>
            </w:pPr>
            <w:r>
              <w:drawing>
                <wp:inline distT="0" distB="0" distL="114300" distR="114300">
                  <wp:extent cx="2592070" cy="1886585"/>
                  <wp:effectExtent l="0" t="0" r="11430" b="5715"/>
                  <wp:docPr id="44" name="图片 13"/>
                  <wp:cNvGraphicFramePr/>
                  <a:graphic xmlns:a="http://schemas.openxmlformats.org/drawingml/2006/main">
                    <a:graphicData uri="http://schemas.openxmlformats.org/drawingml/2006/picture">
                      <pic:pic xmlns:pic="http://schemas.openxmlformats.org/drawingml/2006/picture">
                        <pic:nvPicPr>
                          <pic:cNvPr id="44" name="图片 13"/>
                          <pic:cNvPicPr/>
                        </pic:nvPicPr>
                        <pic:blipFill>
                          <a:blip r:embed="rId18"/>
                          <a:stretch>
                            <a:fillRect/>
                          </a:stretch>
                        </pic:blipFill>
                        <pic:spPr>
                          <a:xfrm>
                            <a:off x="0" y="0"/>
                            <a:ext cx="2592070" cy="1886585"/>
                          </a:xfrm>
                          <a:prstGeom prst="rect">
                            <a:avLst/>
                          </a:prstGeom>
                          <a:noFill/>
                          <a:ln>
                            <a:noFill/>
                          </a:ln>
                        </pic:spPr>
                      </pic:pic>
                    </a:graphicData>
                  </a:graphic>
                </wp:inline>
              </w:drawing>
            </w:r>
          </w:p>
        </w:tc>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drawing>
                <wp:inline distT="0" distB="0" distL="114300" distR="114300">
                  <wp:extent cx="2592070" cy="1886585"/>
                  <wp:effectExtent l="0" t="0" r="11430" b="5715"/>
                  <wp:docPr id="45" name="图片 14"/>
                  <wp:cNvGraphicFramePr/>
                  <a:graphic xmlns:a="http://schemas.openxmlformats.org/drawingml/2006/main">
                    <a:graphicData uri="http://schemas.openxmlformats.org/drawingml/2006/picture">
                      <pic:pic xmlns:pic="http://schemas.openxmlformats.org/drawingml/2006/picture">
                        <pic:nvPicPr>
                          <pic:cNvPr id="45" name="图片 14"/>
                          <pic:cNvPicPr/>
                        </pic:nvPicPr>
                        <pic:blipFill>
                          <a:blip r:embed="rId19"/>
                          <a:stretch>
                            <a:fillRect/>
                          </a:stretch>
                        </pic:blipFill>
                        <pic:spPr>
                          <a:xfrm>
                            <a:off x="0" y="0"/>
                            <a:ext cx="2592070" cy="18865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脱硫废水调节池</w:t>
            </w:r>
          </w:p>
        </w:tc>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vertAlign w:val="baseline"/>
              </w:rPr>
            </w:pPr>
            <w:r>
              <w:rPr>
                <w:rFonts w:hint="eastAsia" w:ascii="Times New Roman" w:hAnsi="Times New Roman" w:eastAsia="宋体" w:cs="Times New Roman"/>
                <w:vertAlign w:val="baseline"/>
                <w:lang w:val="en-US" w:eastAsia="zh-CN"/>
              </w:rPr>
              <w:t>废水贮存池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eastAsia="zh-CN"/>
              </w:rPr>
            </w:pPr>
            <w:r>
              <w:rPr>
                <w:rFonts w:hint="eastAsia" w:eastAsia="宋体"/>
                <w:vertAlign w:val="baseline"/>
                <w:lang w:eastAsia="zh-CN"/>
              </w:rPr>
              <w:drawing>
                <wp:inline distT="0" distB="0" distL="114300" distR="114300">
                  <wp:extent cx="2592070" cy="1922145"/>
                  <wp:effectExtent l="0" t="0" r="11430" b="8255"/>
                  <wp:docPr id="46" name="图片 46" descr="63ff831dfc938f440b4bc79a699ce3a"/>
                  <wp:cNvGraphicFramePr/>
                  <a:graphic xmlns:a="http://schemas.openxmlformats.org/drawingml/2006/main">
                    <a:graphicData uri="http://schemas.openxmlformats.org/drawingml/2006/picture">
                      <pic:pic xmlns:pic="http://schemas.openxmlformats.org/drawingml/2006/picture">
                        <pic:nvPicPr>
                          <pic:cNvPr id="46" name="图片 46" descr="63ff831dfc938f440b4bc79a699ce3a"/>
                          <pic:cNvPicPr/>
                        </pic:nvPicPr>
                        <pic:blipFill>
                          <a:blip r:embed="rId20"/>
                          <a:stretch>
                            <a:fillRect/>
                          </a:stretch>
                        </pic:blipFill>
                        <pic:spPr>
                          <a:xfrm>
                            <a:off x="0" y="0"/>
                            <a:ext cx="2592070" cy="1922145"/>
                          </a:xfrm>
                          <a:prstGeom prst="rect">
                            <a:avLst/>
                          </a:prstGeom>
                        </pic:spPr>
                      </pic:pic>
                    </a:graphicData>
                  </a:graphic>
                </wp:inline>
              </w:drawing>
            </w:r>
          </w:p>
        </w:tc>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vertAlign w:val="baseline"/>
                <w:lang w:eastAsia="zh-CN"/>
              </w:rPr>
            </w:pPr>
            <w:r>
              <w:rPr>
                <w:rFonts w:hint="eastAsia" w:eastAsia="宋体"/>
                <w:vertAlign w:val="baseline"/>
                <w:lang w:eastAsia="zh-CN"/>
              </w:rPr>
              <w:drawing>
                <wp:inline distT="0" distB="0" distL="114300" distR="114300">
                  <wp:extent cx="2592070" cy="1886585"/>
                  <wp:effectExtent l="0" t="0" r="11430" b="5715"/>
                  <wp:docPr id="47" name="图片 47" descr="332da80089c1e518b25bde182198ac9"/>
                  <wp:cNvGraphicFramePr/>
                  <a:graphic xmlns:a="http://schemas.openxmlformats.org/drawingml/2006/main">
                    <a:graphicData uri="http://schemas.openxmlformats.org/drawingml/2006/picture">
                      <pic:pic xmlns:pic="http://schemas.openxmlformats.org/drawingml/2006/picture">
                        <pic:nvPicPr>
                          <pic:cNvPr id="47" name="图片 47" descr="332da80089c1e518b25bde182198ac9"/>
                          <pic:cNvPicPr/>
                        </pic:nvPicPr>
                        <pic:blipFill>
                          <a:blip r:embed="rId21"/>
                          <a:stretch>
                            <a:fillRect/>
                          </a:stretch>
                        </pic:blipFill>
                        <pic:spPr>
                          <a:xfrm>
                            <a:off x="0" y="0"/>
                            <a:ext cx="2592070" cy="18865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含煤废水回用池</w:t>
            </w:r>
          </w:p>
        </w:tc>
        <w:tc>
          <w:tcPr>
            <w:tcW w:w="4261" w:type="dxa"/>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eastAsia="宋体"/>
                <w:vertAlign w:val="baseline"/>
                <w:lang w:val="en-US" w:eastAsia="zh-CN"/>
              </w:rPr>
            </w:pPr>
            <w:r>
              <w:rPr>
                <w:rFonts w:hint="eastAsia"/>
                <w:vertAlign w:val="baseline"/>
                <w:lang w:val="en-US" w:eastAsia="zh-CN"/>
              </w:rPr>
              <w:t>含煤废水处理设施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2"/>
            <w:vAlign w:val="center"/>
          </w:tcPr>
          <w:p>
            <w:pPr>
              <w:pStyle w:val="8"/>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vertAlign w:val="baseline"/>
              </w:rPr>
            </w:pPr>
            <w:r>
              <w:rPr>
                <w:rFonts w:hint="eastAsia" w:eastAsia="宋体"/>
                <w:vertAlign w:val="baseline"/>
                <w:lang w:eastAsia="zh-CN"/>
              </w:rPr>
              <w:drawing>
                <wp:inline distT="0" distB="0" distL="114300" distR="114300">
                  <wp:extent cx="2592070" cy="1886585"/>
                  <wp:effectExtent l="0" t="0" r="11430" b="5715"/>
                  <wp:docPr id="48" name="图片 48" descr="4d989248c06cbd7c6a31b7205dd39aa"/>
                  <wp:cNvGraphicFramePr/>
                  <a:graphic xmlns:a="http://schemas.openxmlformats.org/drawingml/2006/main">
                    <a:graphicData uri="http://schemas.openxmlformats.org/drawingml/2006/picture">
                      <pic:pic xmlns:pic="http://schemas.openxmlformats.org/drawingml/2006/picture">
                        <pic:nvPicPr>
                          <pic:cNvPr id="48" name="图片 48" descr="4d989248c06cbd7c6a31b7205dd39aa"/>
                          <pic:cNvPicPr/>
                        </pic:nvPicPr>
                        <pic:blipFill>
                          <a:blip r:embed="rId22"/>
                          <a:stretch>
                            <a:fillRect/>
                          </a:stretch>
                        </pic:blipFill>
                        <pic:spPr>
                          <a:xfrm>
                            <a:off x="0" y="0"/>
                            <a:ext cx="2592070" cy="188658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2"/>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vertAlign w:val="baseline"/>
              </w:rPr>
            </w:pPr>
            <w:r>
              <w:rPr>
                <w:rFonts w:hint="eastAsia"/>
                <w:vertAlign w:val="baseline"/>
                <w:lang w:val="en-US" w:eastAsia="zh-CN"/>
              </w:rPr>
              <w:t>生活污水处理站</w:t>
            </w:r>
          </w:p>
        </w:tc>
      </w:tr>
    </w:tbl>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图4-7废水处理措施</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47" w:name="_Toc755"/>
      <w:r>
        <w:rPr>
          <w:rFonts w:hint="eastAsia" w:cs="Times New Roman"/>
          <w:color w:val="auto"/>
          <w:highlight w:val="none"/>
          <w:lang w:val="en-US" w:eastAsia="zh-CN"/>
        </w:rPr>
        <w:t>4.1.2废气</w:t>
      </w:r>
      <w:bookmarkEnd w:id="47"/>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eastAsia"/>
          <w:color w:val="auto"/>
          <w:highlight w:val="none"/>
          <w:lang w:val="en-US" w:eastAsia="zh-CN"/>
        </w:rPr>
      </w:pPr>
      <w:r>
        <w:rPr>
          <w:rFonts w:hint="eastAsia"/>
          <w:color w:val="auto"/>
          <w:highlight w:val="none"/>
          <w:lang w:val="en-US" w:eastAsia="zh-CN"/>
        </w:rPr>
        <w:t>本期项目废气污染源主要为锅炉烟气污染物，采取的防治措施主要有：</w:t>
      </w:r>
    </w:p>
    <w:p>
      <w:pPr>
        <w:keepNext w:val="0"/>
        <w:keepLines w:val="0"/>
        <w:pageBreakBefore w:val="0"/>
        <w:widowControl/>
        <w:suppressLineNumbers w:val="0"/>
        <w:kinsoku/>
        <w:wordWrap/>
        <w:overflowPunct/>
        <w:topLinePunct w:val="0"/>
        <w:autoSpaceDE/>
        <w:autoSpaceDN/>
        <w:bidi w:val="0"/>
        <w:adjustRightInd/>
        <w:snapToGrid/>
        <w:jc w:val="left"/>
        <w:textAlignment w:val="auto"/>
        <w:rPr>
          <w:color w:val="auto"/>
          <w:highlight w:val="none"/>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1</w:t>
      </w:r>
      <w:r>
        <w:rPr>
          <w:rFonts w:hint="eastAsia" w:ascii="宋体" w:hAnsi="宋体" w:eastAsia="宋体" w:cs="宋体"/>
          <w:color w:val="auto"/>
          <w:kern w:val="0"/>
          <w:sz w:val="24"/>
          <w:szCs w:val="24"/>
          <w:highlight w:val="none"/>
          <w:lang w:val="en-US" w:eastAsia="zh-CN" w:bidi="ar"/>
        </w:rPr>
        <w:t>）高效五电场低低温静电除尘器（全电场采用高频电源）</w:t>
      </w:r>
      <w:r>
        <w:rPr>
          <w:rFonts w:hint="default" w:ascii="Times New Roman" w:hAnsi="Times New Roman" w:eastAsia="宋体" w:cs="Times New Roman"/>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脱硫系统三层屋脊除雾器。</w:t>
      </w:r>
    </w:p>
    <w:p>
      <w:pPr>
        <w:keepNext w:val="0"/>
        <w:keepLines w:val="0"/>
        <w:pageBreakBefore w:val="0"/>
        <w:widowControl/>
        <w:suppressLineNumbers w:val="0"/>
        <w:kinsoku/>
        <w:wordWrap/>
        <w:overflowPunct/>
        <w:topLinePunct w:val="0"/>
        <w:autoSpaceDE/>
        <w:autoSpaceDN/>
        <w:bidi w:val="0"/>
        <w:adjustRightInd/>
        <w:snapToGrid/>
        <w:jc w:val="left"/>
        <w:textAlignment w:val="auto"/>
        <w:rPr>
          <w:color w:val="auto"/>
          <w:highlight w:val="none"/>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2</w:t>
      </w:r>
      <w:r>
        <w:rPr>
          <w:rFonts w:hint="eastAsia" w:ascii="宋体" w:hAnsi="宋体" w:eastAsia="宋体" w:cs="宋体"/>
          <w:color w:val="auto"/>
          <w:kern w:val="0"/>
          <w:sz w:val="24"/>
          <w:szCs w:val="24"/>
          <w:highlight w:val="none"/>
          <w:lang w:val="en-US" w:eastAsia="zh-CN" w:bidi="ar"/>
        </w:rPr>
        <w:t>）高效石灰石</w:t>
      </w:r>
      <w:r>
        <w:rPr>
          <w:rFonts w:hint="default" w:ascii="Times New Roman" w:hAnsi="Times New Roman" w:eastAsia="宋体" w:cs="Times New Roman"/>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石膏湿法脱硫，单塔（</w:t>
      </w:r>
      <w:r>
        <w:rPr>
          <w:rFonts w:hint="default" w:ascii="Times New Roman" w:hAnsi="Times New Roman" w:eastAsia="宋体" w:cs="Times New Roman"/>
          <w:color w:val="auto"/>
          <w:kern w:val="0"/>
          <w:sz w:val="24"/>
          <w:szCs w:val="24"/>
          <w:highlight w:val="none"/>
          <w:lang w:val="en-US" w:eastAsia="zh-CN" w:bidi="ar"/>
        </w:rPr>
        <w:t>5</w:t>
      </w:r>
      <w:r>
        <w:rPr>
          <w:rFonts w:hint="eastAsia" w:ascii="宋体" w:hAnsi="宋体" w:eastAsia="宋体" w:cs="宋体"/>
          <w:color w:val="auto"/>
          <w:kern w:val="0"/>
          <w:sz w:val="24"/>
          <w:szCs w:val="24"/>
          <w:highlight w:val="none"/>
          <w:lang w:val="en-US" w:eastAsia="zh-CN" w:bidi="ar"/>
        </w:rPr>
        <w:t>层喷淋塔），根据来煤含硫量变化情况可通过投入全部喷淋层，提高浆液循环量进一步提高脱硫效率达</w:t>
      </w:r>
      <w:r>
        <w:rPr>
          <w:rFonts w:hint="default" w:ascii="Times New Roman" w:hAnsi="Times New Roman" w:eastAsia="宋体" w:cs="Times New Roman"/>
          <w:color w:val="auto"/>
          <w:kern w:val="0"/>
          <w:sz w:val="24"/>
          <w:szCs w:val="24"/>
          <w:highlight w:val="none"/>
          <w:lang w:val="en-US" w:eastAsia="zh-CN" w:bidi="ar"/>
        </w:rPr>
        <w:t>98%</w:t>
      </w:r>
      <w:r>
        <w:rPr>
          <w:rFonts w:hint="eastAsia" w:ascii="宋体" w:hAnsi="宋体" w:eastAsia="宋体" w:cs="宋体"/>
          <w:color w:val="auto"/>
          <w:kern w:val="0"/>
          <w:sz w:val="24"/>
          <w:szCs w:val="24"/>
          <w:highlight w:val="none"/>
          <w:lang w:val="en-US" w:eastAsia="zh-CN" w:bidi="ar"/>
        </w:rPr>
        <w:t>以上。</w:t>
      </w:r>
    </w:p>
    <w:p>
      <w:pPr>
        <w:keepNext w:val="0"/>
        <w:keepLines w:val="0"/>
        <w:pageBreakBefore w:val="0"/>
        <w:widowControl/>
        <w:suppressLineNumbers w:val="0"/>
        <w:kinsoku/>
        <w:wordWrap/>
        <w:overflowPunct/>
        <w:topLinePunct w:val="0"/>
        <w:autoSpaceDE/>
        <w:autoSpaceDN/>
        <w:bidi w:val="0"/>
        <w:adjustRightInd/>
        <w:snapToGrid/>
        <w:jc w:val="left"/>
        <w:textAlignment w:val="auto"/>
        <w:rPr>
          <w:color w:val="auto"/>
          <w:highlight w:val="none"/>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3</w:t>
      </w:r>
      <w:r>
        <w:rPr>
          <w:rFonts w:hint="eastAsia" w:ascii="宋体" w:hAnsi="宋体" w:eastAsia="宋体" w:cs="宋体"/>
          <w:color w:val="auto"/>
          <w:kern w:val="0"/>
          <w:sz w:val="24"/>
          <w:szCs w:val="24"/>
          <w:highlight w:val="none"/>
          <w:lang w:val="en-US" w:eastAsia="zh-CN" w:bidi="ar"/>
        </w:rPr>
        <w:t>）低氮燃烧器，同步安装</w:t>
      </w:r>
      <w:r>
        <w:rPr>
          <w:rFonts w:hint="default" w:ascii="Times New Roman" w:hAnsi="Times New Roman" w:eastAsia="宋体" w:cs="Times New Roman"/>
          <w:color w:val="auto"/>
          <w:kern w:val="0"/>
          <w:sz w:val="24"/>
          <w:szCs w:val="24"/>
          <w:highlight w:val="none"/>
          <w:lang w:val="en-US" w:eastAsia="zh-CN" w:bidi="ar"/>
        </w:rPr>
        <w:t>SCR</w:t>
      </w:r>
      <w:r>
        <w:rPr>
          <w:rFonts w:hint="eastAsia" w:ascii="宋体" w:hAnsi="宋体" w:eastAsia="宋体" w:cs="宋体"/>
          <w:color w:val="auto"/>
          <w:kern w:val="0"/>
          <w:sz w:val="24"/>
          <w:szCs w:val="24"/>
          <w:highlight w:val="none"/>
          <w:lang w:val="en-US" w:eastAsia="zh-CN" w:bidi="ar"/>
        </w:rPr>
        <w:t>脱硝装置，脱硝还原剂采用氨，</w:t>
      </w:r>
      <w:r>
        <w:rPr>
          <w:rFonts w:hint="eastAsia" w:ascii="Times New Roman" w:hAnsi="Times New Roman"/>
          <w:color w:val="auto"/>
          <w:highlight w:val="none"/>
          <w:lang w:val="en-US" w:eastAsia="zh-CN"/>
        </w:rPr>
        <w:t>氨由尿素热解制氨产生</w:t>
      </w:r>
      <w:r>
        <w:rPr>
          <w:rFonts w:hint="eastAsia" w:ascii="宋体" w:hAnsi="宋体" w:eastAsia="宋体" w:cs="宋体"/>
          <w:color w:val="auto"/>
          <w:kern w:val="0"/>
          <w:sz w:val="24"/>
          <w:szCs w:val="24"/>
          <w:highlight w:val="none"/>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jc w:val="left"/>
        <w:textAlignment w:val="auto"/>
        <w:rPr>
          <w:color w:val="auto"/>
          <w:highlight w:val="none"/>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4</w:t>
      </w: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SCR</w:t>
      </w:r>
      <w:r>
        <w:rPr>
          <w:rFonts w:hint="eastAsia" w:ascii="宋体" w:hAnsi="宋体" w:eastAsia="宋体" w:cs="宋体"/>
          <w:color w:val="auto"/>
          <w:kern w:val="0"/>
          <w:sz w:val="24"/>
          <w:szCs w:val="24"/>
          <w:highlight w:val="none"/>
          <w:lang w:val="en-US" w:eastAsia="zh-CN" w:bidi="ar"/>
        </w:rPr>
        <w:t>脱硝、低低温静电除尘器和石灰石</w:t>
      </w:r>
      <w:r>
        <w:rPr>
          <w:rFonts w:hint="default" w:ascii="Times New Roman" w:hAnsi="Times New Roman" w:eastAsia="宋体" w:cs="Times New Roman"/>
          <w:color w:val="auto"/>
          <w:kern w:val="0"/>
          <w:sz w:val="24"/>
          <w:szCs w:val="24"/>
          <w:highlight w:val="none"/>
          <w:lang w:val="en-US" w:eastAsia="zh-CN" w:bidi="ar"/>
        </w:rPr>
        <w:t>-</w:t>
      </w:r>
      <w:r>
        <w:rPr>
          <w:rFonts w:hint="eastAsia" w:ascii="宋体" w:hAnsi="宋体" w:eastAsia="宋体" w:cs="宋体"/>
          <w:color w:val="auto"/>
          <w:kern w:val="0"/>
          <w:sz w:val="24"/>
          <w:szCs w:val="24"/>
          <w:highlight w:val="none"/>
          <w:lang w:val="en-US" w:eastAsia="zh-CN" w:bidi="ar"/>
        </w:rPr>
        <w:t>石膏湿法脱硫可联合脱汞。</w:t>
      </w:r>
    </w:p>
    <w:p>
      <w:pPr>
        <w:keepNext w:val="0"/>
        <w:keepLines w:val="0"/>
        <w:pageBreakBefore w:val="0"/>
        <w:widowControl/>
        <w:suppressLineNumbers w:val="0"/>
        <w:kinsoku/>
        <w:wordWrap/>
        <w:overflowPunct/>
        <w:topLinePunct w:val="0"/>
        <w:autoSpaceDE/>
        <w:autoSpaceDN/>
        <w:bidi w:val="0"/>
        <w:adjustRightInd/>
        <w:snapToGrid/>
        <w:jc w:val="left"/>
        <w:textAlignment w:val="auto"/>
        <w:rPr>
          <w:rFonts w:hint="eastAsia"/>
          <w:color w:val="auto"/>
          <w:highlight w:val="none"/>
          <w:lang w:val="en-US" w:eastAsia="zh-CN"/>
        </w:rPr>
      </w:pPr>
      <w:r>
        <w:rPr>
          <w:rFonts w:hint="eastAsia" w:ascii="宋体" w:hAnsi="宋体" w:eastAsia="宋体" w:cs="宋体"/>
          <w:color w:val="auto"/>
          <w:kern w:val="0"/>
          <w:sz w:val="24"/>
          <w:szCs w:val="24"/>
          <w:highlight w:val="none"/>
          <w:lang w:val="en-US" w:eastAsia="zh-CN" w:bidi="ar"/>
        </w:rPr>
        <w:t>（</w:t>
      </w:r>
      <w:r>
        <w:rPr>
          <w:rFonts w:hint="default" w:ascii="Times New Roman" w:hAnsi="Times New Roman" w:eastAsia="宋体" w:cs="Times New Roman"/>
          <w:color w:val="auto"/>
          <w:kern w:val="0"/>
          <w:sz w:val="24"/>
          <w:szCs w:val="24"/>
          <w:highlight w:val="none"/>
          <w:lang w:val="en-US" w:eastAsia="zh-CN" w:bidi="ar"/>
        </w:rPr>
        <w:t>5</w:t>
      </w:r>
      <w:r>
        <w:rPr>
          <w:rFonts w:hint="eastAsia" w:ascii="宋体" w:hAnsi="宋体" w:eastAsia="宋体" w:cs="宋体"/>
          <w:color w:val="auto"/>
          <w:kern w:val="0"/>
          <w:sz w:val="24"/>
          <w:szCs w:val="24"/>
          <w:highlight w:val="none"/>
          <w:lang w:val="en-US" w:eastAsia="zh-CN" w:bidi="ar"/>
        </w:rPr>
        <w:t>）锅炉烟气采用一座高</w:t>
      </w:r>
      <w:r>
        <w:rPr>
          <w:rFonts w:hint="default" w:ascii="Times New Roman" w:hAnsi="Times New Roman" w:eastAsia="宋体" w:cs="Times New Roman"/>
          <w:color w:val="auto"/>
          <w:kern w:val="0"/>
          <w:sz w:val="24"/>
          <w:szCs w:val="24"/>
          <w:highlight w:val="none"/>
          <w:lang w:val="en-US" w:eastAsia="zh-CN" w:bidi="ar"/>
        </w:rPr>
        <w:t>210m</w:t>
      </w:r>
      <w:r>
        <w:rPr>
          <w:rFonts w:hint="eastAsia" w:ascii="宋体" w:hAnsi="宋体" w:eastAsia="宋体" w:cs="宋体"/>
          <w:color w:val="auto"/>
          <w:kern w:val="0"/>
          <w:sz w:val="24"/>
          <w:szCs w:val="24"/>
          <w:highlight w:val="none"/>
          <w:lang w:val="en-US" w:eastAsia="zh-CN" w:bidi="ar"/>
        </w:rPr>
        <w:t>、出口直径约</w:t>
      </w:r>
      <w:r>
        <w:rPr>
          <w:rFonts w:hint="default" w:ascii="Times New Roman" w:hAnsi="Times New Roman" w:eastAsia="宋体" w:cs="Times New Roman"/>
          <w:color w:val="auto"/>
          <w:kern w:val="0"/>
          <w:sz w:val="24"/>
          <w:szCs w:val="24"/>
          <w:highlight w:val="none"/>
          <w:lang w:val="en-US" w:eastAsia="zh-CN" w:bidi="ar"/>
        </w:rPr>
        <w:t>97.1m</w:t>
      </w:r>
      <w:r>
        <w:rPr>
          <w:rFonts w:hint="eastAsia" w:ascii="宋体" w:hAnsi="宋体" w:eastAsia="宋体" w:cs="宋体"/>
          <w:color w:val="auto"/>
          <w:kern w:val="0"/>
          <w:sz w:val="24"/>
          <w:szCs w:val="24"/>
          <w:highlight w:val="none"/>
          <w:lang w:val="en-US" w:eastAsia="zh-CN" w:bidi="ar"/>
        </w:rPr>
        <w:t>的冷却塔排放，有利于大气污染物的烟气抬升和扩散</w:t>
      </w:r>
      <w:r>
        <w:rPr>
          <w:rFonts w:hint="eastAsia"/>
          <w:color w:val="auto"/>
          <w:highlight w:val="none"/>
          <w:lang w:val="en-US" w:eastAsia="zh-CN"/>
        </w:rPr>
        <w:t>。</w:t>
      </w:r>
    </w:p>
    <w:p>
      <w:pPr>
        <w:pStyle w:val="5"/>
        <w:keepNext/>
        <w:keepLines w:val="0"/>
        <w:pageBreakBefore w:val="0"/>
        <w:widowControl w:val="0"/>
        <w:kinsoku/>
        <w:wordWrap/>
        <w:overflowPunct/>
        <w:topLinePunct w:val="0"/>
        <w:autoSpaceDE/>
        <w:autoSpaceDN/>
        <w:bidi w:val="0"/>
        <w:adjustRightInd/>
        <w:snapToGrid/>
        <w:ind w:firstLine="0" w:firstLineChars="0"/>
        <w:textAlignment w:val="auto"/>
        <w:outlineLvl w:val="2"/>
        <w:rPr>
          <w:highlight w:val="none"/>
        </w:rPr>
      </w:pPr>
      <w:bookmarkStart w:id="48" w:name="_Toc30059"/>
      <w:bookmarkStart w:id="49" w:name="_Toc11934"/>
      <w:bookmarkStart w:id="50" w:name="_Toc5911"/>
      <w:bookmarkStart w:id="51" w:name="_Toc2429"/>
      <w:bookmarkStart w:id="52" w:name="_Toc13013"/>
      <w:bookmarkStart w:id="53" w:name="_Toc27334"/>
      <w:r>
        <w:rPr>
          <w:rFonts w:hint="eastAsia" w:cs="Times New Roman"/>
          <w:color w:val="auto"/>
          <w:highlight w:val="none"/>
          <w:lang w:val="en-US" w:eastAsia="zh-CN"/>
        </w:rPr>
        <w:t>4.1.2.1</w:t>
      </w:r>
      <w:r>
        <w:rPr>
          <w:highlight w:val="none"/>
        </w:rPr>
        <w:t>除尘系统</w:t>
      </w:r>
      <w:bookmarkEnd w:id="48"/>
      <w:bookmarkEnd w:id="49"/>
      <w:bookmarkEnd w:id="50"/>
    </w:p>
    <w:p>
      <w:pPr>
        <w:ind w:firstLine="480"/>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锅炉配套建设两台</w:t>
      </w:r>
      <w:r>
        <w:rPr>
          <w:rFonts w:hint="default" w:ascii="Times New Roman" w:hAnsi="Times New Roman" w:eastAsia="宋体" w:cs="Times New Roman"/>
          <w:color w:val="000000"/>
          <w:highlight w:val="none"/>
          <w:lang w:eastAsia="zh-CN"/>
        </w:rPr>
        <w:t>四室五电场</w:t>
      </w:r>
      <w:r>
        <w:rPr>
          <w:rFonts w:hint="default" w:ascii="Times New Roman" w:hAnsi="Times New Roman" w:eastAsia="宋体" w:cs="Times New Roman"/>
          <w:color w:val="000000"/>
          <w:highlight w:val="none"/>
          <w:lang w:val="en-US" w:eastAsia="zh-CN"/>
        </w:rPr>
        <w:t>低低温干式</w:t>
      </w:r>
      <w:r>
        <w:rPr>
          <w:rFonts w:hint="default" w:ascii="Times New Roman" w:hAnsi="Times New Roman" w:eastAsia="宋体" w:cs="Times New Roman"/>
          <w:color w:val="000000"/>
          <w:highlight w:val="none"/>
        </w:rPr>
        <w:t>尘器，除尘器全部电源选用高频电源</w:t>
      </w:r>
      <w:r>
        <w:rPr>
          <w:rFonts w:hint="default" w:ascii="Times New Roman" w:hAnsi="Times New Roman" w:eastAsia="宋体" w:cs="Times New Roman"/>
          <w:color w:val="000000"/>
          <w:highlight w:val="none"/>
          <w:lang w:eastAsia="zh-CN"/>
        </w:rPr>
        <w:t>，</w:t>
      </w:r>
      <w:r>
        <w:rPr>
          <w:rFonts w:hint="default" w:ascii="Times New Roman" w:hAnsi="Times New Roman" w:eastAsia="宋体" w:cs="Times New Roman"/>
          <w:color w:val="000000"/>
          <w:highlight w:val="none"/>
        </w:rPr>
        <w:t>除尘器前设低温省煤器，采用浓相正压气力输灰系统。</w:t>
      </w:r>
    </w:p>
    <w:p>
      <w:pPr>
        <w:ind w:firstLine="480"/>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两台除尘器的总宽度（包括外侧楼梯平台）142.1m，除尘器第一排柱到最后排柱长度为33m</w:t>
      </w:r>
      <w:r>
        <w:rPr>
          <w:rFonts w:hint="default" w:ascii="Times New Roman" w:hAnsi="Times New Roman" w:eastAsia="宋体" w:cs="Times New Roman"/>
          <w:color w:val="000000"/>
          <w:highlight w:val="none"/>
          <w:lang w:eastAsia="zh-CN"/>
        </w:rPr>
        <w:t>，</w:t>
      </w:r>
      <w:r>
        <w:rPr>
          <w:rFonts w:hint="default" w:ascii="Times New Roman" w:hAnsi="Times New Roman" w:eastAsia="宋体" w:cs="Times New Roman"/>
          <w:color w:val="000000"/>
          <w:highlight w:val="none"/>
        </w:rPr>
        <w:t>除尘器每个室的宽度为16.9m。比集尘面积不小于</w:t>
      </w:r>
      <w:r>
        <w:rPr>
          <w:rFonts w:hint="default" w:ascii="Times New Roman" w:hAnsi="Times New Roman" w:eastAsia="宋体" w:cs="Times New Roman"/>
          <w:color w:val="000000"/>
          <w:highlight w:val="none"/>
          <w:u w:val="none"/>
        </w:rPr>
        <w:t>150</w:t>
      </w:r>
      <w:r>
        <w:rPr>
          <w:rFonts w:hint="default" w:ascii="Times New Roman" w:hAnsi="Times New Roman" w:eastAsia="宋体" w:cs="Times New Roman"/>
          <w:color w:val="000000"/>
          <w:highlight w:val="none"/>
        </w:rPr>
        <w:t>m</w:t>
      </w:r>
      <w:r>
        <w:rPr>
          <w:rFonts w:hint="default" w:ascii="Times New Roman" w:hAnsi="Times New Roman" w:eastAsia="宋体" w:cs="Times New Roman"/>
          <w:color w:val="000000"/>
          <w:highlight w:val="none"/>
          <w:vertAlign w:val="superscript"/>
        </w:rPr>
        <w:t>2</w:t>
      </w:r>
      <w:r>
        <w:rPr>
          <w:rFonts w:hint="default" w:ascii="Times New Roman" w:hAnsi="Times New Roman" w:eastAsia="宋体" w:cs="Times New Roman"/>
          <w:color w:val="000000"/>
          <w:highlight w:val="none"/>
        </w:rPr>
        <w:t>/m</w:t>
      </w:r>
      <w:r>
        <w:rPr>
          <w:rFonts w:hint="default" w:ascii="Times New Roman" w:hAnsi="Times New Roman" w:eastAsia="宋体" w:cs="Times New Roman"/>
          <w:color w:val="000000"/>
          <w:highlight w:val="none"/>
          <w:vertAlign w:val="superscript"/>
        </w:rPr>
        <w:t>3</w:t>
      </w:r>
      <w:r>
        <w:rPr>
          <w:rFonts w:hint="default" w:ascii="Times New Roman" w:hAnsi="Times New Roman" w:eastAsia="宋体" w:cs="Times New Roman"/>
          <w:color w:val="000000"/>
          <w:highlight w:val="none"/>
        </w:rPr>
        <w:t>/s</w:t>
      </w:r>
      <w:r>
        <w:rPr>
          <w:rFonts w:hint="default" w:ascii="Times New Roman" w:hAnsi="Times New Roman" w:eastAsia="宋体" w:cs="Times New Roman"/>
          <w:color w:val="000000"/>
          <w:highlight w:val="none"/>
          <w:lang w:eastAsia="zh-CN"/>
        </w:rPr>
        <w:t>。</w:t>
      </w:r>
      <w:r>
        <w:rPr>
          <w:rFonts w:hint="default" w:ascii="Times New Roman" w:hAnsi="Times New Roman" w:eastAsia="宋体" w:cs="Times New Roman"/>
          <w:color w:val="000000"/>
          <w:highlight w:val="none"/>
        </w:rPr>
        <w:t>设计除尘效率不小于99.9</w:t>
      </w:r>
      <w:r>
        <w:rPr>
          <w:rFonts w:hint="default" w:ascii="Times New Roman" w:hAnsi="Times New Roman" w:eastAsia="宋体" w:cs="Times New Roman"/>
          <w:color w:val="000000"/>
          <w:highlight w:val="none"/>
          <w:lang w:val="en-US" w:eastAsia="zh-CN"/>
        </w:rPr>
        <w:t>59</w:t>
      </w:r>
      <w:r>
        <w:rPr>
          <w:rFonts w:hint="default" w:ascii="Times New Roman" w:hAnsi="Times New Roman" w:eastAsia="宋体" w:cs="Times New Roman"/>
          <w:color w:val="000000"/>
          <w:highlight w:val="none"/>
        </w:rPr>
        <w:t>%。每台除尘器设（40）只灰斗，每只灰斗只设一个排灰口。</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表4-1除尘系统的主要设计参数</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589"/>
        <w:gridCol w:w="2822"/>
        <w:gridCol w:w="971"/>
        <w:gridCol w:w="1328"/>
        <w:gridCol w:w="1328"/>
        <w:gridCol w:w="13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blHeader/>
          <w:jc w:val="center"/>
        </w:trPr>
        <w:tc>
          <w:tcPr>
            <w:tcW w:w="352" w:type="pct"/>
            <w:vAlign w:val="center"/>
          </w:tcPr>
          <w:p>
            <w:pPr>
              <w:pStyle w:val="38"/>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序号</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项目</w:t>
            </w:r>
          </w:p>
        </w:tc>
        <w:tc>
          <w:tcPr>
            <w:tcW w:w="580" w:type="pct"/>
            <w:vAlign w:val="center"/>
          </w:tcPr>
          <w:p>
            <w:pPr>
              <w:pStyle w:val="38"/>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单位</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设计煤种</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校核煤种1</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b/>
                <w:bCs/>
                <w:color w:val="000000" w:themeColor="text1"/>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sz w:val="21"/>
                <w:szCs w:val="21"/>
                <w:highlight w:val="none"/>
                <w14:textFill>
                  <w14:solidFill>
                    <w14:schemeClr w14:val="tx1"/>
                  </w14:solidFill>
                </w14:textFill>
              </w:rPr>
              <w:t>校核煤种2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设计效率（95℃）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99.962</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99.961</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设计效率（105℃）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99.9606</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99.9609</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设计效率（130℃）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99.9394</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99.9398</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2</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入口烟气量</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Nm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/s</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1068</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1066</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3</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保证效率（95℃</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，入口烟气量加</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保证效率（105℃</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，入口烟气量加</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保证效率（130℃</w:t>
            </w:r>
            <w:r>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t>，入口烟气量加</w:t>
            </w: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10%）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99.917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出口排放浓度（95℃）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mg/Nm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出口排放浓度（105℃）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mg/Nm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20</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20</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出口排放浓度（130℃）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mg/Nm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30</w:t>
            </w:r>
          </w:p>
        </w:tc>
        <w:tc>
          <w:tcPr>
            <w:tcW w:w="793"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30</w:t>
            </w:r>
          </w:p>
        </w:tc>
        <w:tc>
          <w:tcPr>
            <w:tcW w:w="792" w:type="pct"/>
            <w:vAlign w:val="center"/>
          </w:tcPr>
          <w:p>
            <w:pPr>
              <w:pStyle w:val="7"/>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6</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本体阻力</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Pa</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7</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本体漏风率</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8</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噪声</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dB</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外形尺寸</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m×m×m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33×142.1×34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10</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有效断面积</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11</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长、高比</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12</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室数/电场数</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13</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通道数</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个</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14</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单个电场的有效长度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前两电场5m/后三电场4.5m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电场的总有效长度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电场的有效高度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电场的有效宽度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4*16.4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16</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总的有效收尘面积（按投影面积计算）</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231240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17</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比集尘面积/一个供电区不工作时的比集尘面积（95℃）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160.62</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152.59</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160.92</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152.88</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163.22</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比集尘面积/一个供电区不工作时的比集尘面积（105℃）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156.37</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148.55</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156.67</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148.83</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158.90</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比集尘面积/一个供电区不工作时的比集尘面积（130℃）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146.67</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139.34</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146.95</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139.60</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149.04</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141.59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18</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驱进速度/一个供电区不工作时的驱进速度（95℃）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cm/sec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4.90</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5.11</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4.88</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5.1</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4.81</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驱进速度/一个供电区不工作时的驱进速度（105℃）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cm/sec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5.01</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5.05</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5.01</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5.04</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4.92</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驱进速度/一个供电区不工作时的驱进速度（130℃）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cm/sec</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5.05</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5.09</w:t>
            </w:r>
          </w:p>
        </w:tc>
        <w:tc>
          <w:tcPr>
            <w:tcW w:w="793"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5.05</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5.08</w:t>
            </w:r>
          </w:p>
        </w:tc>
        <w:tc>
          <w:tcPr>
            <w:tcW w:w="792" w:type="pct"/>
            <w:vAlign w:val="center"/>
          </w:tcPr>
          <w:p>
            <w:pPr>
              <w:pStyle w:val="39"/>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4.98</w:t>
            </w:r>
          </w:p>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1</w:t>
            </w:r>
            <w:r>
              <w:rPr>
                <w:rFonts w:hint="eastAsia" w:cs="Times New Roman"/>
                <w:color w:val="000000" w:themeColor="text1"/>
                <w:sz w:val="21"/>
                <w:szCs w:val="21"/>
                <w:highlight w:val="none"/>
                <w:lang w:val="en-US" w:eastAsia="zh-CN"/>
                <w14:textFill>
                  <w14:solidFill>
                    <w14:schemeClr w14:val="tx1"/>
                  </w14:solidFill>
                </w14:textFill>
              </w:rPr>
              <w:t>9</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烟气流速（95℃）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0.73</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0.73</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烟气流速（105℃）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0.75</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0.75</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烟气流速（130℃）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0.80</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0.80</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0.79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20</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烟气停留时间（95℃）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32.12</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32.18</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32.64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烟气停留时间（105℃）</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31.27</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31.33</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31.78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烟气停留时间（130℃）</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sec</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29.33</w:t>
            </w:r>
          </w:p>
        </w:tc>
        <w:tc>
          <w:tcPr>
            <w:tcW w:w="793"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29.39</w:t>
            </w:r>
          </w:p>
        </w:tc>
        <w:tc>
          <w:tcPr>
            <w:tcW w:w="792"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29.81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21</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阳极系统</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阳极板型式及材质</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480C/SPCC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同极间距</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阳极板规格：高×宽×厚</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m×mm×mm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15*480*1.5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单个电场阳极板块数</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3360／3024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阳极板总有效面积</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r>
              <w:rPr>
                <w:rFonts w:hint="default" w:ascii="Times New Roman" w:hAnsi="Times New Roman" w:eastAsia="宋体" w:cs="Times New Roman"/>
                <w:color w:val="000000" w:themeColor="text1"/>
                <w:sz w:val="21"/>
                <w:szCs w:val="21"/>
                <w:highlight w:val="none"/>
                <w:vertAlign w:val="superscript"/>
                <w14:textFill>
                  <w14:solidFill>
                    <w14:schemeClr w14:val="tx1"/>
                  </w14:solidFill>
                </w14:textFill>
              </w:rPr>
              <w:t>2</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231240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振打方式/最小振打加速度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侧部振打/150g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振打装置的数量</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套</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restar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lang w:val="en-US" w:eastAsia="zh-CN" w:bidi="ar-SA"/>
                <w14:textFill>
                  <w14:solidFill>
                    <w14:schemeClr w14:val="tx1"/>
                  </w14:solidFill>
                </w14:textFill>
              </w:rPr>
            </w:pPr>
            <w:r>
              <w:rPr>
                <w:rFonts w:hint="eastAsia" w:cs="Times New Roman"/>
                <w:color w:val="000000" w:themeColor="text1"/>
                <w:sz w:val="21"/>
                <w:szCs w:val="21"/>
                <w:highlight w:val="none"/>
                <w:lang w:val="en-US" w:eastAsia="zh-CN" w:bidi="ar-SA"/>
                <w14:textFill>
                  <w14:solidFill>
                    <w14:schemeClr w14:val="tx1"/>
                  </w14:solidFill>
                </w14:textFill>
              </w:rPr>
              <w:t>22</w:t>
            </w: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阴极系统</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阴极线型式及材质</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eastAsia" w:ascii="Times New Roman" w:hAnsi="Times New Roman" w:eastAsia="宋体" w:cs="Times New Roman"/>
                <w:color w:val="000000" w:themeColor="text1"/>
                <w:sz w:val="21"/>
                <w:szCs w:val="21"/>
                <w:highlight w:val="none"/>
                <w:lang w:val="en-US" w:eastAsia="zh-CN"/>
                <w14:textFill>
                  <w14:solidFill>
                    <w14:schemeClr w14:val="tx1"/>
                  </w14:solidFill>
                </w14:textFill>
              </w:rPr>
            </w:pPr>
            <w:r>
              <w:rPr>
                <w:rFonts w:hint="eastAsia" w:cs="Times New Roman"/>
                <w:color w:val="000000" w:themeColor="text1"/>
                <w:sz w:val="21"/>
                <w:szCs w:val="21"/>
                <w:highlight w:val="none"/>
                <w:lang w:val="en-US" w:eastAsia="zh-CN"/>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一至四电场RSB/SPCC，五电场RS小刺线/SPCC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沿气流方向阴极线间距</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阴极线总长度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m</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231240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振打方式/最小振打加速度</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顶部传动、侧部机械振打/50g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jc w:val="center"/>
        </w:trPr>
        <w:tc>
          <w:tcPr>
            <w:tcW w:w="352" w:type="pct"/>
            <w:vMerge w:val="continue"/>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687"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振打装置的数量</w:t>
            </w:r>
          </w:p>
        </w:tc>
        <w:tc>
          <w:tcPr>
            <w:tcW w:w="580" w:type="pct"/>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14:textFill>
                  <w14:solidFill>
                    <w14:schemeClr w14:val="tx1"/>
                  </w14:solidFill>
                </w14:textFill>
              </w:rPr>
              <w:t>套</w:t>
            </w:r>
          </w:p>
        </w:tc>
        <w:tc>
          <w:tcPr>
            <w:tcW w:w="2380" w:type="pct"/>
            <w:gridSpan w:val="3"/>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14:textFill>
                  <w14:solidFill>
                    <w14:schemeClr w14:val="tx1"/>
                  </w14:solidFill>
                </w14:textFill>
              </w:rPr>
              <w:t>40</w:t>
            </w:r>
          </w:p>
        </w:tc>
      </w:tr>
    </w:tbl>
    <w:p>
      <w:pPr>
        <w:pStyle w:val="8"/>
        <w:rPr>
          <w:highlight w:val="none"/>
        </w:rPr>
      </w:pPr>
    </w:p>
    <w:p>
      <w:pPr>
        <w:pStyle w:val="34"/>
        <w:spacing w:after="0"/>
        <w:jc w:val="both"/>
        <w:rPr>
          <w:rFonts w:hint="default"/>
          <w:highlight w:val="none"/>
          <w:lang w:val="en-US" w:eastAsia="zh-CN"/>
        </w:rPr>
      </w:pPr>
      <w:r>
        <w:rPr>
          <w:rFonts w:hint="default"/>
          <w:highlight w:val="none"/>
          <w:lang w:val="en-US" w:eastAsia="zh-CN"/>
        </w:rPr>
        <w:drawing>
          <wp:inline distT="0" distB="0" distL="114300" distR="114300">
            <wp:extent cx="5304790" cy="3978910"/>
            <wp:effectExtent l="0" t="0" r="3810" b="8890"/>
            <wp:docPr id="13" name="图片 16" descr="IMG_0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6" descr="IMG_0567"/>
                    <pic:cNvPicPr>
                      <a:picLocks noChangeAspect="1"/>
                    </pic:cNvPicPr>
                  </pic:nvPicPr>
                  <pic:blipFill>
                    <a:blip r:embed="rId23"/>
                    <a:stretch>
                      <a:fillRect/>
                    </a:stretch>
                  </pic:blipFill>
                  <pic:spPr>
                    <a:xfrm>
                      <a:off x="0" y="0"/>
                      <a:ext cx="5304790" cy="3978910"/>
                    </a:xfrm>
                    <a:prstGeom prst="rect">
                      <a:avLst/>
                    </a:prstGeom>
                    <a:noFill/>
                    <a:ln>
                      <a:noFill/>
                    </a:ln>
                  </pic:spPr>
                </pic:pic>
              </a:graphicData>
            </a:graphic>
          </wp:inline>
        </w:drawing>
      </w:r>
      <w:r>
        <w:rPr>
          <w:rFonts w:hint="default"/>
          <w:highlight w:val="none"/>
          <w:lang w:val="en-US" w:eastAsia="zh-CN"/>
        </w:rPr>
        <w:drawing>
          <wp:inline distT="0" distB="0" distL="114300" distR="114300">
            <wp:extent cx="5329555" cy="3997325"/>
            <wp:effectExtent l="0" t="0" r="4445" b="3175"/>
            <wp:docPr id="17" name="图片 17" descr="IMG_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IMG_1035"/>
                    <pic:cNvPicPr>
                      <a:picLocks noChangeAspect="1"/>
                    </pic:cNvPicPr>
                  </pic:nvPicPr>
                  <pic:blipFill>
                    <a:blip r:embed="rId24"/>
                    <a:stretch>
                      <a:fillRect/>
                    </a:stretch>
                  </pic:blipFill>
                  <pic:spPr>
                    <a:xfrm>
                      <a:off x="0" y="0"/>
                      <a:ext cx="5329555" cy="3997325"/>
                    </a:xfrm>
                    <a:prstGeom prst="rect">
                      <a:avLst/>
                    </a:prstGeom>
                    <a:noFill/>
                    <a:ln>
                      <a:noFill/>
                    </a:ln>
                  </pic:spPr>
                </pic:pic>
              </a:graphicData>
            </a:graphic>
          </wp:inline>
        </w:drawing>
      </w:r>
    </w:p>
    <w:p>
      <w:pPr>
        <w:pStyle w:val="34"/>
        <w:spacing w:after="0"/>
        <w:jc w:val="center"/>
        <w:rPr>
          <w:highlight w:val="none"/>
        </w:rPr>
      </w:pPr>
      <w:r>
        <w:rPr>
          <w:rFonts w:hint="eastAsia"/>
          <w:highlight w:val="none"/>
          <w:lang w:val="en-US" w:eastAsia="zh-CN"/>
        </w:rPr>
        <w:t>图4-8</w:t>
      </w:r>
      <w:r>
        <w:rPr>
          <w:highlight w:val="none"/>
        </w:rPr>
        <w:t>静电除尘器</w:t>
      </w:r>
    </w:p>
    <w:p>
      <w:pPr>
        <w:pStyle w:val="5"/>
        <w:keepNext/>
        <w:keepLines w:val="0"/>
        <w:pageBreakBefore w:val="0"/>
        <w:widowControl w:val="0"/>
        <w:tabs>
          <w:tab w:val="left" w:pos="506"/>
        </w:tabs>
        <w:kinsoku/>
        <w:wordWrap/>
        <w:overflowPunct/>
        <w:topLinePunct w:val="0"/>
        <w:autoSpaceDE/>
        <w:autoSpaceDN/>
        <w:bidi w:val="0"/>
        <w:adjustRightInd/>
        <w:snapToGrid/>
        <w:ind w:firstLine="0" w:firstLineChars="0"/>
        <w:textAlignment w:val="auto"/>
        <w:outlineLvl w:val="2"/>
        <w:rPr>
          <w:highlight w:val="none"/>
        </w:rPr>
      </w:pPr>
      <w:bookmarkStart w:id="54" w:name="_Toc21559"/>
      <w:bookmarkStart w:id="55" w:name="_Toc32301"/>
      <w:r>
        <w:rPr>
          <w:rFonts w:hint="eastAsia" w:cs="Times New Roman"/>
          <w:color w:val="auto"/>
          <w:highlight w:val="none"/>
          <w:lang w:val="en-US" w:eastAsia="zh-CN"/>
        </w:rPr>
        <w:t>4.1.2.</w:t>
      </w:r>
      <w:r>
        <w:rPr>
          <w:rFonts w:hint="eastAsia"/>
          <w:highlight w:val="none"/>
          <w:lang w:val="en-US" w:eastAsia="zh-CN"/>
        </w:rPr>
        <w:t>2</w:t>
      </w:r>
      <w:r>
        <w:rPr>
          <w:highlight w:val="none"/>
        </w:rPr>
        <w:t>脱硫系统</w:t>
      </w:r>
      <w:bookmarkEnd w:id="54"/>
      <w:bookmarkEnd w:id="55"/>
    </w:p>
    <w:p>
      <w:pPr>
        <w:ind w:firstLine="480"/>
        <w:rPr>
          <w:highlight w:val="none"/>
        </w:rPr>
      </w:pPr>
      <w:r>
        <w:rPr>
          <w:highlight w:val="none"/>
        </w:rPr>
        <w:t>平山电厂</w:t>
      </w:r>
      <w:r>
        <w:rPr>
          <w:rFonts w:hint="eastAsia"/>
          <w:highlight w:val="none"/>
          <w:lang w:val="en-US" w:eastAsia="zh-CN"/>
        </w:rPr>
        <w:t>二</w:t>
      </w:r>
      <w:r>
        <w:rPr>
          <w:highlight w:val="none"/>
        </w:rPr>
        <w:t>期工程采用石灰石-石膏湿法脱硫工艺，1炉1塔的布置方案，为机组配置一套石灰石</w:t>
      </w:r>
      <w:r>
        <w:rPr>
          <w:rFonts w:hint="eastAsia"/>
          <w:highlight w:val="none"/>
          <w:lang w:val="en-US" w:eastAsia="zh-CN"/>
        </w:rPr>
        <w:t>-</w:t>
      </w:r>
      <w:r>
        <w:rPr>
          <w:highlight w:val="none"/>
        </w:rPr>
        <w:t>石膏湿法脱硫装置（FGD），不设GGH，不设增压风机，不设烟气旁路，设计脱硫效率不小于9</w:t>
      </w:r>
      <w:r>
        <w:rPr>
          <w:rFonts w:hint="eastAsia"/>
          <w:highlight w:val="none"/>
          <w:lang w:val="en-US" w:eastAsia="zh-CN"/>
        </w:rPr>
        <w:t>9.04</w:t>
      </w:r>
      <w:r>
        <w:rPr>
          <w:highlight w:val="none"/>
        </w:rPr>
        <w:t>%。整套脱硫装置由上海电气电站环保工程有限公司建设，包括：石灰石浆液制备系统、烟气系统、吸收塔系统、石膏脱水及储存系统、浆液疏排系统、公用系统（工艺水系统、压缩空气系统）、废水处理系统。</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表4-2</w:t>
      </w:r>
      <w:r>
        <w:rPr>
          <w:rFonts w:hint="eastAsia" w:ascii="黑体" w:hAnsi="黑体" w:eastAsia="黑体" w:cs="黑体"/>
          <w:sz w:val="21"/>
          <w:szCs w:val="21"/>
          <w:highlight w:val="none"/>
        </w:rPr>
        <w:t>脱硫系统</w:t>
      </w:r>
      <w:r>
        <w:rPr>
          <w:rFonts w:hint="eastAsia" w:ascii="黑体" w:hAnsi="黑体" w:eastAsia="黑体" w:cs="黑体"/>
          <w:sz w:val="21"/>
          <w:szCs w:val="21"/>
          <w:highlight w:val="none"/>
          <w:lang w:val="en-US" w:eastAsia="zh-CN"/>
        </w:rPr>
        <w:t>主要设计参数</w:t>
      </w:r>
    </w:p>
    <w:tbl>
      <w:tblPr>
        <w:tblStyle w:val="23"/>
        <w:tblW w:w="5214"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94"/>
        <w:gridCol w:w="3380"/>
        <w:gridCol w:w="1322"/>
        <w:gridCol w:w="1777"/>
        <w:gridCol w:w="1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tblHeader/>
          <w:jc w:val="center"/>
        </w:trPr>
        <w:tc>
          <w:tcPr>
            <w:tcW w:w="399"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序号</w:t>
            </w:r>
          </w:p>
        </w:tc>
        <w:tc>
          <w:tcPr>
            <w:tcW w:w="194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项目名称</w:t>
            </w:r>
          </w:p>
        </w:tc>
        <w:tc>
          <w:tcPr>
            <w:tcW w:w="762"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单位</w:t>
            </w:r>
          </w:p>
        </w:tc>
        <w:tc>
          <w:tcPr>
            <w:tcW w:w="102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设计煤种</w:t>
            </w:r>
          </w:p>
        </w:tc>
        <w:tc>
          <w:tcPr>
            <w:tcW w:w="864"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校核煤种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w:t>
            </w:r>
          </w:p>
        </w:tc>
        <w:tc>
          <w:tcPr>
            <w:tcW w:w="4600" w:type="pct"/>
            <w:gridSpan w:val="4"/>
            <w:vAlign w:val="center"/>
          </w:tcPr>
          <w:p>
            <w:pPr>
              <w:pStyle w:val="13"/>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i w:val="0"/>
                <w:iCs w:val="0"/>
                <w:color w:val="000000" w:themeColor="text1"/>
                <w:sz w:val="21"/>
                <w:szCs w:val="21"/>
                <w:highlight w:val="none"/>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highlight w:val="none"/>
                <w14:textFill>
                  <w14:solidFill>
                    <w14:schemeClr w14:val="tx1"/>
                  </w14:solidFill>
                </w14:textFill>
              </w:rPr>
              <w:t>性能数据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FGD入口烟气数据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烟气量（标态，湿基，6％O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4337430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4232250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烟气量（标态，湿基，实际含氧量）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4043880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3945552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烟气量（标态，干基，6％O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4028040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3917800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烟气量（标态，干基，实际含氧量）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3756600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3652200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7</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FGD工艺设计烟温</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92</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最低烟温</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87</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最高烟温</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故障烟温</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故障时间</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min</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空塔烟气流速</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m/s</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3.595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3.489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吸收塔内径</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22</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吸收塔运行总重</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5800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15</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FGD入口处烟气成份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，标态，干烟气</w:t>
            </w:r>
          </w:p>
        </w:tc>
        <w:tc>
          <w:tcPr>
            <w:tcW w:w="2651" w:type="pct"/>
            <w:gridSpan w:val="3"/>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17</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CO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13.256</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13.509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6.000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19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80.664</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80.460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0.081</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0.031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实际O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，标态，湿烟气</w:t>
            </w:r>
          </w:p>
        </w:tc>
        <w:tc>
          <w:tcPr>
            <w:tcW w:w="2651" w:type="pct"/>
            <w:gridSpan w:val="3"/>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CO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13.207</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13.413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4.562</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4.545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75.042</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74.576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25</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0.081</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0.031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O</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vol-%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7.109</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27</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FGD入口处污染物浓度（6％O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，标态，干基）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2063.9</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29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3</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51.60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·HClasCl</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·HFasF</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·最大烟尘浓度</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33</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一般数据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锅炉BMCR工况下总压损（含尘运行）</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Pa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1700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35</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·吸收塔（包括除雾器）</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Pa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1550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·全部烟道</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Pa</w:t>
            </w:r>
          </w:p>
        </w:tc>
        <w:tc>
          <w:tcPr>
            <w:tcW w:w="1024" w:type="pct"/>
            <w:vAlign w:val="center"/>
          </w:tcPr>
          <w:p>
            <w:pPr>
              <w:pStyle w:val="21"/>
              <w:keepNext w:val="0"/>
              <w:keepLines w:val="0"/>
              <w:pageBreakBefore w:val="0"/>
              <w:widowControl w:val="0"/>
              <w:kinsoku/>
              <w:wordWrap/>
              <w:overflowPunct/>
              <w:topLinePunct w:val="0"/>
              <w:autoSpaceDE/>
              <w:autoSpaceDN/>
              <w:bidi w:val="0"/>
              <w:adjustRightInd w:val="0"/>
              <w:spacing w:beforeLines="0" w:afterLines="0"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150</w:t>
            </w:r>
          </w:p>
        </w:tc>
        <w:tc>
          <w:tcPr>
            <w:tcW w:w="864" w:type="pct"/>
            <w:vAlign w:val="center"/>
          </w:tcPr>
          <w:p>
            <w:pPr>
              <w:pStyle w:val="21"/>
              <w:keepNext w:val="0"/>
              <w:keepLines w:val="0"/>
              <w:pageBreakBefore w:val="0"/>
              <w:widowControl w:val="0"/>
              <w:kinsoku/>
              <w:wordWrap/>
              <w:overflowPunct/>
              <w:topLinePunct w:val="0"/>
              <w:autoSpaceDE/>
              <w:autoSpaceDN/>
              <w:bidi w:val="0"/>
              <w:adjustRightInd w:val="0"/>
              <w:spacing w:beforeLines="0" w:afterLines="0"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37</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化学计量比CaCO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/去除的SO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mol/mol</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≈1.03</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脱除率</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99.04</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39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液气比（入口湿烟气，标况）</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L/Nm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17.65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排烟冷却塔前烟温</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46</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烟道内衬长时间抗热温度/时间</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℃/min</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180/30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180/30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烟气脱硫装置可用率</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99</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运行人员总数</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消耗品</w:t>
            </w:r>
          </w:p>
        </w:tc>
        <w:tc>
          <w:tcPr>
            <w:tcW w:w="2651" w:type="pct"/>
            <w:gridSpan w:val="3"/>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45</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石灰石粉</w:t>
            </w:r>
            <w:r>
              <w:rPr>
                <w:rFonts w:hint="default" w:ascii="Times New Roman" w:hAnsi="Times New Roman" w:eastAsia="宋体" w:cs="Times New Roman"/>
                <w:bCs/>
                <w:color w:val="000000" w:themeColor="text1"/>
                <w:kern w:val="0"/>
                <w:sz w:val="21"/>
                <w:szCs w:val="21"/>
                <w:highlight w:val="none"/>
                <w14:textFill>
                  <w14:solidFill>
                    <w14:schemeClr w14:val="tx1"/>
                  </w14:solidFill>
                </w14:textFill>
              </w:rPr>
              <w:t>（规定品质）</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总耗水量：</w:t>
            </w:r>
          </w:p>
        </w:tc>
        <w:tc>
          <w:tcPr>
            <w:tcW w:w="2651" w:type="pct"/>
            <w:gridSpan w:val="3"/>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47</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－工艺水</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143</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工业水（含设备冷却水）</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49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－生活水</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电耗：</w:t>
            </w:r>
          </w:p>
        </w:tc>
        <w:tc>
          <w:tcPr>
            <w:tcW w:w="2651" w:type="pct"/>
            <w:gridSpan w:val="3"/>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电耗（所有连续运行设备轴功率）</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kW</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7800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5980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仪用压缩空气</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/min</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杂用压缩空气</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/min</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设备冷却水量（系统内自行解决）</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w:t>
            </w:r>
          </w:p>
        </w:tc>
        <w:tc>
          <w:tcPr>
            <w:tcW w:w="1889" w:type="pct"/>
            <w:gridSpan w:val="2"/>
            <w:vAlign w:val="center"/>
          </w:tcPr>
          <w:p>
            <w:pPr>
              <w:pStyle w:val="13"/>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55</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冷却水入口温度（最高）</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39</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56</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蒸汽（如果有，每台机组）</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t/h</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57</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FGD出口污染物浓度（6％O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，标态，干基）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SOx以SO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表示</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59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3</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HCl以Cl表示</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微量</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61</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HF以F表示</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微量</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微量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i/>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i/>
                <w:color w:val="000000" w:themeColor="text1"/>
                <w:kern w:val="0"/>
                <w:sz w:val="21"/>
                <w:szCs w:val="21"/>
                <w:highlight w:val="none"/>
                <w:lang w:val="en-US" w:eastAsia="zh-CN"/>
                <w14:textFill>
                  <w14:solidFill>
                    <w14:schemeClr w14:val="tx1"/>
                  </w14:solidFill>
                </w14:textFill>
              </w:rPr>
              <w:t>62</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i/>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出口烟尘和装置出口液滴中粉尘浓度的总和</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4.8</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63</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NH</w:t>
            </w:r>
            <w:r>
              <w:rPr>
                <w:rFonts w:hint="default" w:ascii="Times New Roman" w:hAnsi="Times New Roman" w:eastAsia="宋体" w:cs="Times New Roman"/>
                <w:color w:val="000000" w:themeColor="text1"/>
                <w:kern w:val="0"/>
                <w:sz w:val="21"/>
                <w:szCs w:val="21"/>
                <w:highlight w:val="none"/>
                <w:vertAlign w:val="subscript"/>
                <w14:textFill>
                  <w14:solidFill>
                    <w14:schemeClr w14:val="tx1"/>
                  </w14:solidFill>
                </w14:textFill>
              </w:rPr>
              <w:t>3</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64</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除雾器出口液滴含量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14:textFill>
                  <w14:solidFill>
                    <w14:schemeClr w14:val="tx1"/>
                  </w14:solidFill>
                </w14:textFill>
              </w:rPr>
              <w:t>3</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65</w:t>
            </w:r>
          </w:p>
        </w:tc>
        <w:tc>
          <w:tcPr>
            <w:tcW w:w="1948" w:type="pct"/>
            <w:vAlign w:val="center"/>
          </w:tcPr>
          <w:p>
            <w:pPr>
              <w:pStyle w:val="40"/>
              <w:keepNext w:val="0"/>
              <w:keepLines w:val="0"/>
              <w:pageBreakBefore w:val="0"/>
              <w:widowControl w:val="0"/>
              <w:kinsoku/>
              <w:wordWrap/>
              <w:overflowPunct/>
              <w:topLinePunct w:val="0"/>
              <w:autoSpaceDE/>
              <w:autoSpaceDN/>
              <w:bidi w:val="0"/>
              <w:adjustRightInd w:val="0"/>
              <w:snapToGrid w:val="0"/>
              <w:spacing w:line="240" w:lineRule="auto"/>
              <w:ind w:left="0"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最小液滴尺寸</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μm</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66</w:t>
            </w:r>
          </w:p>
        </w:tc>
        <w:tc>
          <w:tcPr>
            <w:tcW w:w="4600" w:type="pct"/>
            <w:gridSpan w:val="4"/>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噪音等级（最大值）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67</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浆液循环泵（距声源1米远处测量）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dB（A）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68</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氧化风机（距声源1米远处测量）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dB（A）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85</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69</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其余设备（距声源1米远处测量）</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dB（A）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97" w:hRule="atLeast"/>
          <w:jc w:val="center"/>
        </w:trPr>
        <w:tc>
          <w:tcPr>
            <w:tcW w:w="399"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70</w:t>
            </w:r>
          </w:p>
        </w:tc>
        <w:tc>
          <w:tcPr>
            <w:tcW w:w="1948"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控制室、办公室房间最大噪声水平</w:t>
            </w:r>
          </w:p>
        </w:tc>
        <w:tc>
          <w:tcPr>
            <w:tcW w:w="762"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dB（A）</w:t>
            </w:r>
          </w:p>
        </w:tc>
        <w:tc>
          <w:tcPr>
            <w:tcW w:w="102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60</w:t>
            </w:r>
          </w:p>
        </w:tc>
        <w:tc>
          <w:tcPr>
            <w:tcW w:w="864" w:type="pct"/>
            <w:vAlign w:val="center"/>
          </w:tcPr>
          <w:p>
            <w:pPr>
              <w:keepNext w:val="0"/>
              <w:keepLines w:val="0"/>
              <w:pageBreakBefore w:val="0"/>
              <w:widowControl w:val="0"/>
              <w:kinsoku/>
              <w:wordWrap/>
              <w:overflowPunct/>
              <w:topLinePunct w:val="0"/>
              <w:autoSpaceDE/>
              <w:autoSpaceDN/>
              <w:bidi w:val="0"/>
              <w:adjustRightInd w:val="0"/>
              <w:spacing w:line="240" w:lineRule="auto"/>
              <w:ind w:firstLine="0" w:firstLineChars="0"/>
              <w:jc w:val="center"/>
              <w:textAlignment w:val="baseline"/>
              <w:outlineLvl w:val="9"/>
              <w:rPr>
                <w:rFonts w:hint="default" w:ascii="Times New Roman" w:hAnsi="Times New Roman" w:eastAsia="宋体" w:cs="Times New Roman"/>
                <w:color w:val="000000" w:themeColor="text1"/>
                <w:kern w:val="0"/>
                <w:sz w:val="21"/>
                <w:szCs w:val="21"/>
                <w:highlight w:val="none"/>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14:textFill>
                  <w14:solidFill>
                    <w14:schemeClr w14:val="tx1"/>
                  </w14:solidFill>
                </w14:textFill>
              </w:rPr>
              <w:t>60</w:t>
            </w:r>
          </w:p>
        </w:tc>
      </w:tr>
    </w:tbl>
    <w:p>
      <w:pPr>
        <w:keepNext/>
        <w:keepLines/>
        <w:pageBreakBefore w:val="0"/>
        <w:widowControl w:val="0"/>
        <w:kinsoku/>
        <w:wordWrap/>
        <w:overflowPunct/>
        <w:topLinePunct w:val="0"/>
        <w:autoSpaceDE/>
        <w:autoSpaceDN/>
        <w:bidi w:val="0"/>
        <w:adjustRightInd/>
        <w:snapToGrid/>
        <w:ind w:firstLine="0" w:firstLineChars="0"/>
        <w:textAlignment w:val="auto"/>
        <w:outlineLvl w:val="9"/>
        <w:rPr>
          <w:rFonts w:hint="eastAsia" w:ascii="Times New Roman" w:hAnsi="Times New Roman"/>
          <w:bCs/>
          <w:highlight w:val="none"/>
        </w:rPr>
      </w:pPr>
      <w:r>
        <w:rPr>
          <w:rFonts w:hint="eastAsia"/>
          <w:bCs/>
          <w:highlight w:val="none"/>
          <w:lang w:eastAsia="zh-CN"/>
        </w:rPr>
        <w:t>（</w:t>
      </w:r>
      <w:r>
        <w:rPr>
          <w:rFonts w:hint="eastAsia"/>
          <w:bCs/>
          <w:highlight w:val="none"/>
          <w:lang w:val="en-US" w:eastAsia="zh-CN"/>
        </w:rPr>
        <w:t>1</w:t>
      </w:r>
      <w:r>
        <w:rPr>
          <w:rFonts w:hint="eastAsia"/>
          <w:bCs/>
          <w:highlight w:val="none"/>
          <w:lang w:eastAsia="zh-CN"/>
        </w:rPr>
        <w:t>）</w:t>
      </w:r>
      <w:r>
        <w:rPr>
          <w:rFonts w:hint="eastAsia" w:ascii="Times New Roman" w:hAnsi="Times New Roman"/>
          <w:bCs/>
          <w:highlight w:val="none"/>
        </w:rPr>
        <w:t>石灰石粉卸料及贮存系统</w:t>
      </w:r>
    </w:p>
    <w:p>
      <w:pPr>
        <w:ind w:firstLine="480"/>
        <w:rPr>
          <w:rFonts w:hint="default" w:ascii="Times New Roman" w:hAnsi="Times New Roman" w:eastAsia="宋体" w:cs="Times New Roman"/>
          <w:szCs w:val="24"/>
          <w:highlight w:val="none"/>
        </w:rPr>
      </w:pPr>
      <w:r>
        <w:rPr>
          <w:rFonts w:hint="default" w:ascii="Times New Roman" w:hAnsi="Times New Roman" w:eastAsia="宋体" w:cs="Times New Roman"/>
          <w:szCs w:val="24"/>
          <w:highlight w:val="none"/>
        </w:rPr>
        <w:t>平山电厂脱硫剂采用外购成品石灰石粉。粒径</w:t>
      </w:r>
      <w:r>
        <w:rPr>
          <w:rFonts w:hint="default" w:ascii="Times New Roman" w:hAnsi="Times New Roman" w:eastAsia="宋体" w:cs="Times New Roman"/>
          <w:color w:val="000000"/>
          <w:kern w:val="0"/>
          <w:szCs w:val="24"/>
          <w:highlight w:val="none"/>
        </w:rPr>
        <w:t>325目，过筛率≮80%</w:t>
      </w:r>
      <w:r>
        <w:rPr>
          <w:rFonts w:hint="default" w:ascii="Times New Roman" w:hAnsi="Times New Roman" w:eastAsia="宋体" w:cs="Times New Roman"/>
          <w:szCs w:val="24"/>
          <w:highlight w:val="none"/>
        </w:rPr>
        <w:t>石灰石粉经密封罐装车送至石灰粉仓内，工程设2个石灰石粉储仓，有效容积按2台炉燃用脱硫设计煤种BMCR工况不小于</w:t>
      </w:r>
      <w:r>
        <w:rPr>
          <w:rFonts w:hint="default" w:ascii="Times New Roman" w:hAnsi="Times New Roman" w:eastAsia="宋体" w:cs="Times New Roman"/>
          <w:szCs w:val="24"/>
          <w:highlight w:val="none"/>
          <w:lang w:val="en-US" w:eastAsia="zh-CN"/>
        </w:rPr>
        <w:t>5</w:t>
      </w:r>
      <w:r>
        <w:rPr>
          <w:rFonts w:hint="default" w:ascii="Times New Roman" w:hAnsi="Times New Roman" w:eastAsia="宋体" w:cs="Times New Roman"/>
          <w:szCs w:val="24"/>
          <w:highlight w:val="none"/>
        </w:rPr>
        <w:t>天的石灰石耗量设计。</w:t>
      </w:r>
    </w:p>
    <w:p>
      <w:pPr>
        <w:ind w:firstLine="480"/>
        <w:rPr>
          <w:rFonts w:hint="default" w:ascii="Times New Roman" w:hAnsi="Times New Roman" w:eastAsia="宋体" w:cs="Times New Roman"/>
          <w:szCs w:val="24"/>
          <w:highlight w:val="none"/>
        </w:rPr>
      </w:pPr>
      <w:r>
        <w:rPr>
          <w:rFonts w:hint="default" w:ascii="Times New Roman" w:hAnsi="Times New Roman" w:eastAsia="宋体" w:cs="Times New Roman"/>
          <w:color w:val="000000"/>
          <w:kern w:val="0"/>
          <w:szCs w:val="24"/>
          <w:highlight w:val="none"/>
        </w:rPr>
        <w:t>石灰石粉仓顶部设有布袋除尘器、压力真空释放阀、库顶料位计、库顶电动检修起吊设施等，石灰石粉仓设有气化风机和电加热器气化系统，确保仓内石灰石粉通畅排出。每座石灰石粉仓应至少具有一个与粉罐车卸粉管道的接口。气化风机配备3台罗茨风机，两用一备。</w:t>
      </w:r>
    </w:p>
    <w:p>
      <w:pPr>
        <w:ind w:firstLine="480" w:firstLineChars="200"/>
        <w:rPr>
          <w:rFonts w:hint="default" w:ascii="Times New Roman" w:hAnsi="Times New Roman" w:eastAsia="宋体" w:cs="Times New Roman"/>
          <w:color w:val="000000"/>
          <w:kern w:val="0"/>
          <w:szCs w:val="24"/>
          <w:highlight w:val="none"/>
        </w:rPr>
      </w:pPr>
      <w:r>
        <w:rPr>
          <w:rFonts w:hint="default" w:ascii="Times New Roman" w:hAnsi="Times New Roman" w:eastAsia="宋体" w:cs="Times New Roman"/>
          <w:color w:val="000000"/>
          <w:kern w:val="0"/>
          <w:szCs w:val="24"/>
          <w:highlight w:val="none"/>
        </w:rPr>
        <w:t>石灰石粉卸料区域设置两路DN50杂用压缩空气管道，并设置减压阀、隔离阀及与罐车接头等，满足粉罐车卸粉用气需要。</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highlight w:val="none"/>
        </w:rPr>
      </w:pPr>
      <w:r>
        <w:rPr>
          <w:rFonts w:hint="eastAsia"/>
          <w:highlight w:val="none"/>
          <w:lang w:eastAsia="zh-CN"/>
        </w:rPr>
        <w:t>（</w:t>
      </w:r>
      <w:r>
        <w:rPr>
          <w:rFonts w:hint="eastAsia"/>
          <w:highlight w:val="none"/>
          <w:lang w:val="en-US" w:eastAsia="zh-CN"/>
        </w:rPr>
        <w:t>2</w:t>
      </w:r>
      <w:r>
        <w:rPr>
          <w:rFonts w:hint="eastAsia"/>
          <w:highlight w:val="none"/>
          <w:lang w:eastAsia="zh-CN"/>
        </w:rPr>
        <w:t>）</w:t>
      </w:r>
      <w:r>
        <w:rPr>
          <w:highlight w:val="none"/>
        </w:rPr>
        <w:t>石灰石浆液制备系统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000000"/>
          <w:kern w:val="0"/>
          <w:szCs w:val="24"/>
          <w:highlight w:val="none"/>
        </w:rPr>
      </w:pPr>
      <w:r>
        <w:rPr>
          <w:rFonts w:hint="default" w:ascii="Times New Roman" w:hAnsi="Times New Roman" w:eastAsia="宋体" w:cs="Times New Roman"/>
          <w:color w:val="000000"/>
          <w:kern w:val="0"/>
          <w:szCs w:val="24"/>
          <w:highlight w:val="none"/>
        </w:rPr>
        <w:t>石灰石粉仓配有两个出料口，出料口设有流化防堵装置。本工程设2个石灰石浆液箱，石灰石浆液箱的总容量按1台锅炉BMCR工况燃用脱硫设计煤种时脱硫系统6小时的浆液消耗量设计。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000000"/>
          <w:kern w:val="0"/>
          <w:szCs w:val="24"/>
          <w:highlight w:val="none"/>
        </w:rPr>
      </w:pPr>
      <w:r>
        <w:rPr>
          <w:rFonts w:hint="default" w:ascii="Times New Roman" w:hAnsi="Times New Roman" w:eastAsia="宋体" w:cs="Times New Roman"/>
          <w:color w:val="000000"/>
          <w:kern w:val="0"/>
          <w:szCs w:val="24"/>
          <w:highlight w:val="none"/>
        </w:rPr>
        <w:t>单台石灰石浆液泵的容量按锅炉燃用脱硫设计煤种，BMCR工况时100%的石灰石浆液耗量及系统再循环量设计，共设置2台，1用1备。通过石灰石浆液泵将浆液送至吸收塔。石灰石浆液给料设有一条回路，石灰石浆液给料通过给料控制阀送入吸收塔，而其他浆液则由给料回路再循环回石灰石浆液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000000"/>
          <w:kern w:val="0"/>
          <w:szCs w:val="24"/>
          <w:highlight w:val="red"/>
        </w:rPr>
      </w:pPr>
      <w:r>
        <w:rPr>
          <w:rFonts w:hint="default" w:ascii="Times New Roman" w:hAnsi="Times New Roman" w:eastAsia="宋体" w:cs="Times New Roman"/>
          <w:color w:val="000000"/>
          <w:kern w:val="0"/>
          <w:szCs w:val="24"/>
          <w:highlight w:val="none"/>
        </w:rPr>
        <w:t>制浆区设置1座石灰石浆液排污坑，2台排污坑泵（1运1备）。</w:t>
      </w:r>
    </w:p>
    <w:p>
      <w:pPr>
        <w:pStyle w:val="33"/>
        <w:rPr>
          <w:highlight w:val="none"/>
        </w:rPr>
      </w:pPr>
      <w:r>
        <w:rPr>
          <w:highlight w:val="none"/>
        </w:rPr>
        <w:drawing>
          <wp:inline distT="0" distB="0" distL="114300" distR="114300">
            <wp:extent cx="5274310" cy="3956050"/>
            <wp:effectExtent l="0" t="0" r="8890" b="6350"/>
            <wp:docPr id="25" name="图片 18" descr="IMG_1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8" descr="IMG_1064"/>
                    <pic:cNvPicPr>
                      <a:picLocks noChangeAspect="1"/>
                    </pic:cNvPicPr>
                  </pic:nvPicPr>
                  <pic:blipFill>
                    <a:blip r:embed="rId25"/>
                    <a:stretch>
                      <a:fillRect/>
                    </a:stretch>
                  </pic:blipFill>
                  <pic:spPr>
                    <a:xfrm>
                      <a:off x="0" y="0"/>
                      <a:ext cx="5274310" cy="3956050"/>
                    </a:xfrm>
                    <a:prstGeom prst="rect">
                      <a:avLst/>
                    </a:prstGeom>
                    <a:noFill/>
                    <a:ln>
                      <a:noFill/>
                    </a:ln>
                  </pic:spPr>
                </pic:pic>
              </a:graphicData>
            </a:graphic>
          </wp:inline>
        </w:drawing>
      </w:r>
    </w:p>
    <w:p>
      <w:pPr>
        <w:pStyle w:val="33"/>
        <w:keepNext w:val="0"/>
        <w:keepLines w:val="0"/>
        <w:pageBreakBefore w:val="0"/>
        <w:widowControl w:val="0"/>
        <w:kinsoku/>
        <w:wordWrap/>
        <w:overflowPunct/>
        <w:topLinePunct w:val="0"/>
        <w:autoSpaceDE/>
        <w:autoSpaceDN/>
        <w:bidi w:val="0"/>
        <w:adjustRightInd/>
        <w:snapToGrid/>
        <w:spacing w:line="360" w:lineRule="auto"/>
        <w:textAlignment w:val="auto"/>
        <w:rPr>
          <w:highlight w:val="none"/>
        </w:rPr>
      </w:pPr>
      <w:r>
        <w:rPr>
          <w:rFonts w:hint="eastAsia" w:ascii="Times New Roman" w:hAnsi="Times New Roman" w:eastAsia="黑体"/>
          <w:kern w:val="0"/>
          <w:sz w:val="21"/>
          <w:szCs w:val="21"/>
          <w:highlight w:val="none"/>
          <w:lang w:val="en-US" w:eastAsia="zh-CN"/>
        </w:rPr>
        <w:t>图</w:t>
      </w:r>
      <w:r>
        <w:rPr>
          <w:rFonts w:hint="eastAsia" w:eastAsia="黑体"/>
          <w:kern w:val="0"/>
          <w:sz w:val="21"/>
          <w:szCs w:val="21"/>
          <w:highlight w:val="none"/>
          <w:lang w:val="en-US" w:eastAsia="zh-CN"/>
        </w:rPr>
        <w:t>4-9</w:t>
      </w:r>
      <w:r>
        <w:rPr>
          <w:rFonts w:ascii="Times New Roman" w:hAnsi="Times New Roman" w:eastAsia="黑体"/>
          <w:kern w:val="0"/>
          <w:sz w:val="21"/>
          <w:szCs w:val="21"/>
          <w:highlight w:val="none"/>
        </w:rPr>
        <w:t>石灰石粉储罐</w:t>
      </w:r>
    </w:p>
    <w:p>
      <w:pPr>
        <w:pStyle w:val="33"/>
        <w:keepNext w:val="0"/>
        <w:keepLines w:val="0"/>
        <w:pageBreakBefore w:val="0"/>
        <w:widowControl w:val="0"/>
        <w:kinsoku/>
        <w:wordWrap/>
        <w:overflowPunct/>
        <w:topLinePunct w:val="0"/>
        <w:autoSpaceDE/>
        <w:autoSpaceDN/>
        <w:bidi w:val="0"/>
        <w:adjustRightInd/>
        <w:snapToGrid/>
        <w:textAlignment w:val="auto"/>
        <w:rPr>
          <w:highlight w:val="none"/>
        </w:rPr>
      </w:pPr>
      <w:r>
        <w:rPr>
          <w:highlight w:val="none"/>
        </w:rPr>
        <w:drawing>
          <wp:inline distT="0" distB="0" distL="114300" distR="114300">
            <wp:extent cx="5348605" cy="4011930"/>
            <wp:effectExtent l="0" t="0" r="10795" b="1270"/>
            <wp:docPr id="19" name="图片 19" descr="IMG_1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IMG_1033"/>
                    <pic:cNvPicPr>
                      <a:picLocks noChangeAspect="1"/>
                    </pic:cNvPicPr>
                  </pic:nvPicPr>
                  <pic:blipFill>
                    <a:blip r:embed="rId26"/>
                    <a:stretch>
                      <a:fillRect/>
                    </a:stretch>
                  </pic:blipFill>
                  <pic:spPr>
                    <a:xfrm>
                      <a:off x="0" y="0"/>
                      <a:ext cx="5348605" cy="401193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ascii="Times New Roman" w:hAnsi="Times New Roman" w:eastAsia="黑体"/>
          <w:kern w:val="0"/>
          <w:sz w:val="21"/>
          <w:szCs w:val="21"/>
          <w:highlight w:val="none"/>
        </w:rPr>
      </w:pPr>
      <w:r>
        <w:rPr>
          <w:rFonts w:hint="eastAsia" w:ascii="Times New Roman" w:hAnsi="Times New Roman" w:eastAsia="黑体"/>
          <w:kern w:val="0"/>
          <w:sz w:val="21"/>
          <w:szCs w:val="21"/>
          <w:highlight w:val="none"/>
          <w:lang w:val="en-US" w:eastAsia="zh-CN"/>
        </w:rPr>
        <w:t>图</w:t>
      </w:r>
      <w:r>
        <w:rPr>
          <w:rFonts w:hint="eastAsia" w:eastAsia="黑体"/>
          <w:kern w:val="0"/>
          <w:sz w:val="21"/>
          <w:szCs w:val="21"/>
          <w:highlight w:val="none"/>
          <w:lang w:val="en-US" w:eastAsia="zh-CN"/>
        </w:rPr>
        <w:t>4-10</w:t>
      </w:r>
      <w:r>
        <w:rPr>
          <w:rFonts w:ascii="Times New Roman" w:hAnsi="Times New Roman" w:eastAsia="黑体"/>
          <w:kern w:val="0"/>
          <w:sz w:val="21"/>
          <w:szCs w:val="21"/>
          <w:highlight w:val="none"/>
        </w:rPr>
        <w:t>石灰石粉仓顶部除尘器</w:t>
      </w:r>
    </w:p>
    <w:p>
      <w:pPr>
        <w:pStyle w:val="33"/>
        <w:rPr>
          <w:rFonts w:hint="eastAsia" w:eastAsia="黑体"/>
          <w:szCs w:val="21"/>
          <w:highlight w:val="none"/>
          <w:lang w:eastAsia="zh-CN"/>
        </w:rPr>
      </w:pPr>
      <w:r>
        <w:rPr>
          <w:rFonts w:hint="eastAsia" w:eastAsia="黑体"/>
          <w:szCs w:val="21"/>
          <w:highlight w:val="none"/>
          <w:lang w:eastAsia="zh-CN"/>
        </w:rPr>
        <w:drawing>
          <wp:inline distT="0" distB="0" distL="114300" distR="114300">
            <wp:extent cx="5342890" cy="4008120"/>
            <wp:effectExtent l="0" t="0" r="3810" b="5080"/>
            <wp:docPr id="26" name="图片 20" descr="IMG_10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descr="IMG_1065"/>
                    <pic:cNvPicPr>
                      <a:picLocks noChangeAspect="1"/>
                    </pic:cNvPicPr>
                  </pic:nvPicPr>
                  <pic:blipFill>
                    <a:blip r:embed="rId27"/>
                    <a:stretch>
                      <a:fillRect/>
                    </a:stretch>
                  </pic:blipFill>
                  <pic:spPr>
                    <a:xfrm>
                      <a:off x="0" y="0"/>
                      <a:ext cx="5342890" cy="400812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kern w:val="0"/>
          <w:sz w:val="21"/>
          <w:szCs w:val="20"/>
          <w:highlight w:val="none"/>
        </w:rPr>
      </w:pPr>
      <w:r>
        <w:rPr>
          <w:rFonts w:hint="eastAsia" w:ascii="Times New Roman" w:hAnsi="Times New Roman" w:eastAsia="黑体"/>
          <w:kern w:val="0"/>
          <w:sz w:val="21"/>
          <w:szCs w:val="21"/>
          <w:highlight w:val="none"/>
          <w:lang w:val="en-US" w:eastAsia="zh-CN"/>
        </w:rPr>
        <w:t>图</w:t>
      </w:r>
      <w:r>
        <w:rPr>
          <w:rFonts w:hint="eastAsia" w:eastAsia="黑体"/>
          <w:kern w:val="0"/>
          <w:sz w:val="21"/>
          <w:szCs w:val="21"/>
          <w:highlight w:val="none"/>
          <w:lang w:val="en-US" w:eastAsia="zh-CN"/>
        </w:rPr>
        <w:t>4-11</w:t>
      </w:r>
      <w:r>
        <w:rPr>
          <w:rFonts w:eastAsia="黑体"/>
          <w:kern w:val="0"/>
          <w:sz w:val="21"/>
          <w:szCs w:val="21"/>
          <w:highlight w:val="none"/>
        </w:rPr>
        <w:t>石灰浆液罐</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highlight w:val="none"/>
        </w:rPr>
      </w:pPr>
      <w:r>
        <w:rPr>
          <w:rFonts w:hint="eastAsia"/>
          <w:highlight w:val="none"/>
          <w:lang w:val="en-US" w:eastAsia="zh-CN"/>
        </w:rPr>
        <w:t>（3）</w:t>
      </w:r>
      <w:r>
        <w:rPr>
          <w:highlight w:val="none"/>
        </w:rPr>
        <w:t>吸收塔系统</w:t>
      </w:r>
    </w:p>
    <w:p>
      <w:pPr>
        <w:ind w:firstLine="480"/>
        <w:rPr>
          <w:highlight w:val="none"/>
        </w:rPr>
      </w:pPr>
      <w:r>
        <w:rPr>
          <w:highlight w:val="none"/>
        </w:rPr>
        <w:t>吸收塔系统包括1台吸收塔（含</w:t>
      </w:r>
      <w:r>
        <w:rPr>
          <w:rFonts w:hint="eastAsia"/>
          <w:highlight w:val="none"/>
          <w:lang w:val="en-US" w:eastAsia="zh-CN"/>
        </w:rPr>
        <w:t>4</w:t>
      </w:r>
      <w:r>
        <w:rPr>
          <w:highlight w:val="none"/>
        </w:rPr>
        <w:t>级除雾器、5层喷淋层及喷嘴、氧化空气喷管）、5台侧进搅拌器、5台浆液循环泵、</w:t>
      </w:r>
      <w:r>
        <w:rPr>
          <w:rFonts w:hint="eastAsia"/>
          <w:highlight w:val="none"/>
          <w:lang w:val="en-US" w:eastAsia="zh-CN"/>
        </w:rPr>
        <w:t>3</w:t>
      </w:r>
      <w:r>
        <w:rPr>
          <w:highlight w:val="none"/>
        </w:rPr>
        <w:t>台氧化风机及相应的管道阀门等。</w:t>
      </w:r>
      <w:r>
        <w:rPr>
          <w:rFonts w:hint="eastAsia" w:ascii="宋体" w:hAnsi="宋体"/>
          <w:color w:val="000000"/>
          <w:kern w:val="0"/>
          <w:szCs w:val="24"/>
          <w:highlight w:val="none"/>
        </w:rPr>
        <w:t>每一台循环泵对应一层喷淋层。</w:t>
      </w:r>
      <w:r>
        <w:rPr>
          <w:rFonts w:hint="eastAsia"/>
          <w:color w:val="000000"/>
          <w:szCs w:val="24"/>
          <w:highlight w:val="none"/>
        </w:rPr>
        <w:t>除雾器采用一级管式+三级屋脊式除雾器</w:t>
      </w:r>
      <w:r>
        <w:rPr>
          <w:rFonts w:hint="eastAsia" w:ascii="宋体" w:hAnsi="宋体"/>
          <w:color w:val="000000"/>
          <w:kern w:val="0"/>
          <w:szCs w:val="24"/>
          <w:highlight w:val="none"/>
        </w:rPr>
        <w:t>以分离净烟气夹带的雾滴</w:t>
      </w:r>
      <w:r>
        <w:rPr>
          <w:rFonts w:ascii="宋体" w:hAnsi="宋体"/>
          <w:color w:val="000000"/>
          <w:kern w:val="0"/>
          <w:szCs w:val="24"/>
          <w:highlight w:val="none"/>
        </w:rPr>
        <w:t>。</w:t>
      </w:r>
    </w:p>
    <w:p>
      <w:pPr>
        <w:ind w:firstLine="480"/>
        <w:rPr>
          <w:szCs w:val="24"/>
          <w:highlight w:val="none"/>
        </w:rPr>
      </w:pPr>
      <w:r>
        <w:rPr>
          <w:szCs w:val="24"/>
          <w:highlight w:val="none"/>
        </w:rPr>
        <w:t>吸收塔系统包括吸收塔壳体、喷淋层、喷嘴及内部构件、吸收塔搅拌器、除雾器等。经吸收塔脱硫后的烟气，进入吸收塔顶部的两级除雾器除去雾滴后，离开吸收塔进入玻璃钢制作的烟道，再经过冷却塔排入大气。</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highlight w:val="none"/>
        </w:rPr>
      </w:pPr>
      <w:r>
        <w:rPr>
          <w:rFonts w:hint="eastAsia"/>
          <w:b w:val="0"/>
          <w:bCs/>
          <w:highlight w:val="none"/>
          <w:lang w:val="en-US" w:eastAsia="zh-CN"/>
        </w:rPr>
        <w:t>1）、</w:t>
      </w:r>
      <w:r>
        <w:rPr>
          <w:b w:val="0"/>
          <w:bCs/>
          <w:highlight w:val="none"/>
        </w:rPr>
        <w:t>吸收塔本体</w:t>
      </w:r>
    </w:p>
    <w:p>
      <w:pPr>
        <w:ind w:firstLine="480"/>
        <w:rPr>
          <w:highlight w:val="none"/>
        </w:rPr>
      </w:pPr>
      <w:r>
        <w:rPr>
          <w:highlight w:val="none"/>
        </w:rPr>
        <w:t>烟气通过吸收塔入口从浆液池上部进入吸收区。在吸收塔内，热烟气与浆液（5层逆流喷淋层）接触发生化学吸收反应，并被冷却。脱硫后的烟气依次经过一层V字形除雾器除去雾滴，再经玻璃烟道从冷却塔中排入大气。</w:t>
      </w:r>
    </w:p>
    <w:p>
      <w:pPr>
        <w:pStyle w:val="33"/>
        <w:rPr>
          <w:rFonts w:hint="eastAsia" w:eastAsia="宋体"/>
          <w:highlight w:val="none"/>
          <w:lang w:val="en-US" w:eastAsia="zh-CN"/>
        </w:rPr>
      </w:pPr>
      <w:r>
        <w:rPr>
          <w:rFonts w:hint="default" w:eastAsia="黑体"/>
          <w:highlight w:val="none"/>
          <w:lang w:val="en-US" w:eastAsia="zh-CN"/>
        </w:rPr>
        <w:drawing>
          <wp:inline distT="0" distB="0" distL="114300" distR="114300">
            <wp:extent cx="5391150" cy="4043680"/>
            <wp:effectExtent l="0" t="0" r="6350" b="7620"/>
            <wp:docPr id="21" name="图片 22" descr="IMG_9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2" descr="IMG_9960"/>
                    <pic:cNvPicPr>
                      <a:picLocks noChangeAspect="1"/>
                    </pic:cNvPicPr>
                  </pic:nvPicPr>
                  <pic:blipFill>
                    <a:blip r:embed="rId28"/>
                    <a:stretch>
                      <a:fillRect/>
                    </a:stretch>
                  </pic:blipFill>
                  <pic:spPr>
                    <a:xfrm>
                      <a:off x="0" y="0"/>
                      <a:ext cx="5391150" cy="4043680"/>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eastAsia="黑体"/>
          <w:highlight w:val="none"/>
          <w:lang w:val="en-US" w:eastAsia="zh-CN"/>
        </w:rPr>
      </w:pPr>
      <w:r>
        <w:rPr>
          <w:rFonts w:hint="eastAsia" w:ascii="Times New Roman" w:hAnsi="Times New Roman" w:eastAsia="黑体"/>
          <w:kern w:val="0"/>
          <w:sz w:val="21"/>
          <w:szCs w:val="21"/>
          <w:highlight w:val="none"/>
          <w:lang w:val="en-US" w:eastAsia="zh-CN"/>
        </w:rPr>
        <w:t>图</w:t>
      </w:r>
      <w:r>
        <w:rPr>
          <w:rFonts w:hint="eastAsia"/>
          <w:kern w:val="0"/>
          <w:sz w:val="21"/>
          <w:szCs w:val="21"/>
          <w:highlight w:val="none"/>
          <w:lang w:val="en-US" w:eastAsia="zh-CN"/>
        </w:rPr>
        <w:t>4-12</w:t>
      </w:r>
      <w:r>
        <w:rPr>
          <w:rFonts w:hint="eastAsia"/>
          <w:highlight w:val="none"/>
          <w:lang w:val="en-US" w:eastAsia="zh-CN"/>
        </w:rPr>
        <w:t>吸收塔</w:t>
      </w:r>
    </w:p>
    <w:p>
      <w:pPr>
        <w:keepNext w:val="0"/>
        <w:keepLines w:val="0"/>
        <w:pageBreakBefore w:val="0"/>
        <w:widowControl w:val="0"/>
        <w:kinsoku/>
        <w:wordWrap/>
        <w:overflowPunct/>
        <w:topLinePunct w:val="0"/>
        <w:autoSpaceDE/>
        <w:autoSpaceDN/>
        <w:bidi w:val="0"/>
        <w:adjustRightInd/>
        <w:snapToGrid/>
        <w:textAlignment w:val="auto"/>
        <w:outlineLvl w:val="9"/>
        <w:rPr>
          <w:b w:val="0"/>
          <w:bCs/>
          <w:color w:val="auto"/>
          <w:highlight w:val="none"/>
        </w:rPr>
      </w:pPr>
      <w:r>
        <w:rPr>
          <w:rFonts w:hint="eastAsia"/>
          <w:b w:val="0"/>
          <w:bCs/>
          <w:color w:val="auto"/>
          <w:highlight w:val="none"/>
          <w:lang w:val="en-US" w:eastAsia="zh-CN"/>
        </w:rPr>
        <w:t>2）、</w:t>
      </w:r>
      <w:r>
        <w:rPr>
          <w:b w:val="0"/>
          <w:bCs/>
          <w:color w:val="auto"/>
          <w:highlight w:val="none"/>
        </w:rPr>
        <w:t>浆液再循环系统</w:t>
      </w:r>
    </w:p>
    <w:p>
      <w:pPr>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浆液再循环系统由浆液循环泵、喷淋层、喷嘴及其相应管道、阀门组成。</w:t>
      </w:r>
      <w:r>
        <w:rPr>
          <w:rFonts w:hint="default" w:ascii="Times New Roman" w:hAnsi="Times New Roman" w:eastAsia="宋体" w:cs="Times New Roman"/>
          <w:color w:val="auto"/>
          <w:szCs w:val="24"/>
          <w:highlight w:val="none"/>
        </w:rPr>
        <w:t>吸收塔浆液和喷淋到吸收塔中的除雾器清洗水流入位于吸收塔底部的吸收塔浆液池。</w:t>
      </w:r>
      <w:r>
        <w:rPr>
          <w:rFonts w:hint="default" w:ascii="Times New Roman" w:hAnsi="Times New Roman" w:eastAsia="宋体" w:cs="Times New Roman"/>
          <w:color w:val="auto"/>
          <w:highlight w:val="none"/>
        </w:rPr>
        <w:t>吸收塔内部各喷淋层设置多个</w:t>
      </w:r>
      <w:r>
        <w:rPr>
          <w:rFonts w:hint="default" w:ascii="Times New Roman" w:hAnsi="Times New Roman" w:eastAsia="宋体" w:cs="Times New Roman"/>
          <w:color w:val="auto"/>
          <w:highlight w:val="none"/>
          <w:lang w:val="en-US" w:eastAsia="zh-CN"/>
        </w:rPr>
        <w:t>空心锥</w:t>
      </w:r>
      <w:r>
        <w:rPr>
          <w:rFonts w:hint="default" w:ascii="Times New Roman" w:hAnsi="Times New Roman" w:eastAsia="宋体" w:cs="Times New Roman"/>
          <w:color w:val="auto"/>
          <w:highlight w:val="none"/>
        </w:rPr>
        <w:t>喷嘴层。</w:t>
      </w:r>
      <w:r>
        <w:rPr>
          <w:rFonts w:hint="default" w:ascii="Times New Roman" w:hAnsi="Times New Roman" w:eastAsia="宋体" w:cs="Times New Roman"/>
          <w:color w:val="auto"/>
          <w:kern w:val="0"/>
          <w:szCs w:val="24"/>
          <w:highlight w:val="none"/>
        </w:rPr>
        <w:t>单层喷淋层喷嘴的覆盖面积为300%吸收塔截面积。</w:t>
      </w:r>
    </w:p>
    <w:p>
      <w:pPr>
        <w:pStyle w:val="33"/>
        <w:rPr>
          <w:rFonts w:hint="eastAsia"/>
          <w:highlight w:val="none"/>
          <w:lang w:val="en-US" w:eastAsia="zh-CN"/>
        </w:rPr>
      </w:pPr>
      <w:r>
        <w:rPr>
          <w:rFonts w:hint="eastAsia" w:eastAsia="宋体"/>
          <w:highlight w:val="none"/>
          <w:lang w:eastAsia="zh-CN"/>
        </w:rPr>
        <w:drawing>
          <wp:inline distT="0" distB="0" distL="114300" distR="114300">
            <wp:extent cx="5143500" cy="3857625"/>
            <wp:effectExtent l="0" t="0" r="0" b="3175"/>
            <wp:docPr id="22" name="图片 23" descr="IMG_1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3" descr="IMG_1041"/>
                    <pic:cNvPicPr>
                      <a:picLocks noChangeAspect="1"/>
                    </pic:cNvPicPr>
                  </pic:nvPicPr>
                  <pic:blipFill>
                    <a:blip r:embed="rId29"/>
                    <a:stretch>
                      <a:fillRect/>
                    </a:stretch>
                  </pic:blipFill>
                  <pic:spPr>
                    <a:xfrm>
                      <a:off x="0" y="0"/>
                      <a:ext cx="5143500" cy="3857625"/>
                    </a:xfrm>
                    <a:prstGeom prst="rect">
                      <a:avLst/>
                    </a:prstGeom>
                    <a:noFill/>
                    <a:ln>
                      <a:noFill/>
                    </a:ln>
                  </pic:spPr>
                </pic:pic>
              </a:graphicData>
            </a:graphic>
          </wp:inline>
        </w:drawing>
      </w:r>
    </w:p>
    <w:p>
      <w:pPr>
        <w:pStyle w:val="33"/>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highlight w:val="none"/>
          <w:lang w:val="en-US" w:eastAsia="zh-CN"/>
        </w:rPr>
      </w:pPr>
      <w:r>
        <w:rPr>
          <w:rFonts w:hint="eastAsia" w:ascii="黑体" w:hAnsi="黑体" w:eastAsia="黑体" w:cs="黑体"/>
          <w:kern w:val="0"/>
          <w:sz w:val="21"/>
          <w:szCs w:val="21"/>
          <w:highlight w:val="none"/>
          <w:lang w:val="en-US" w:eastAsia="zh-CN"/>
        </w:rPr>
        <w:t>图4-13</w:t>
      </w:r>
      <w:r>
        <w:rPr>
          <w:rFonts w:hint="eastAsia" w:ascii="黑体" w:hAnsi="黑体" w:eastAsia="黑体" w:cs="黑体"/>
          <w:highlight w:val="none"/>
        </w:rPr>
        <w:t>浆液循环泵房</w:t>
      </w:r>
    </w:p>
    <w:p>
      <w:pPr>
        <w:pStyle w:val="33"/>
        <w:rPr>
          <w:rFonts w:hint="default" w:eastAsia="宋体"/>
          <w:highlight w:val="none"/>
          <w:lang w:val="en-US" w:eastAsia="zh-CN"/>
        </w:rPr>
      </w:pPr>
      <w:r>
        <w:rPr>
          <w:rFonts w:hint="default" w:eastAsia="宋体"/>
          <w:highlight w:val="none"/>
          <w:lang w:val="en-US" w:eastAsia="zh-CN"/>
        </w:rPr>
        <w:drawing>
          <wp:inline distT="0" distB="0" distL="114300" distR="114300">
            <wp:extent cx="5219700" cy="3915410"/>
            <wp:effectExtent l="0" t="0" r="0" b="8890"/>
            <wp:docPr id="27" name="图片 24" descr="IMG_9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descr="IMG_9257"/>
                    <pic:cNvPicPr>
                      <a:picLocks noChangeAspect="1"/>
                    </pic:cNvPicPr>
                  </pic:nvPicPr>
                  <pic:blipFill>
                    <a:blip r:embed="rId30"/>
                    <a:stretch>
                      <a:fillRect/>
                    </a:stretch>
                  </pic:blipFill>
                  <pic:spPr>
                    <a:xfrm>
                      <a:off x="0" y="0"/>
                      <a:ext cx="5219700" cy="3915410"/>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eastAsia="黑体"/>
          <w:highlight w:val="none"/>
          <w:lang w:val="en-US" w:eastAsia="zh-CN"/>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4-14</w:t>
      </w:r>
      <w:r>
        <w:rPr>
          <w:rFonts w:hint="eastAsia"/>
          <w:highlight w:val="none"/>
          <w:lang w:val="en-US" w:eastAsia="zh-CN"/>
        </w:rPr>
        <w:t>石灰浆液循环泵</w:t>
      </w:r>
    </w:p>
    <w:p>
      <w:pPr>
        <w:pStyle w:val="33"/>
        <w:rPr>
          <w:color w:val="FF0000"/>
          <w:highlight w:val="none"/>
        </w:rPr>
      </w:pPr>
      <w:r>
        <w:rPr>
          <w:highlight w:val="none"/>
        </w:rPr>
        <w:drawing>
          <wp:inline distT="0" distB="0" distL="114300" distR="114300">
            <wp:extent cx="5166995" cy="3876040"/>
            <wp:effectExtent l="0" t="0" r="1905" b="10160"/>
            <wp:docPr id="23" name="图片 25" descr="IMG_9683~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5" descr="IMG_9683~photo"/>
                    <pic:cNvPicPr>
                      <a:picLocks noChangeAspect="1"/>
                    </pic:cNvPicPr>
                  </pic:nvPicPr>
                  <pic:blipFill>
                    <a:blip r:embed="rId31"/>
                    <a:stretch>
                      <a:fillRect/>
                    </a:stretch>
                  </pic:blipFill>
                  <pic:spPr>
                    <a:xfrm>
                      <a:off x="0" y="0"/>
                      <a:ext cx="5166995" cy="3876040"/>
                    </a:xfrm>
                    <a:prstGeom prst="rect">
                      <a:avLst/>
                    </a:prstGeom>
                    <a:noFill/>
                    <a:ln>
                      <a:noFill/>
                    </a:ln>
                  </pic:spPr>
                </pic:pic>
              </a:graphicData>
            </a:graphic>
          </wp:inline>
        </w:drawing>
      </w:r>
    </w:p>
    <w:p>
      <w:pPr>
        <w:pStyle w:val="34"/>
        <w:ind w:firstLine="1050" w:firstLineChars="500"/>
        <w:jc w:val="center"/>
        <w:rPr>
          <w:highlight w:val="none"/>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15</w:t>
      </w:r>
      <w:r>
        <w:rPr>
          <w:rFonts w:hint="eastAsia"/>
          <w:highlight w:val="none"/>
          <w:lang w:val="en-US" w:eastAsia="zh-CN"/>
        </w:rPr>
        <w:t>喷淋层石灰浆液管道</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eastAsia="宋体" w:cs="Times New Roman"/>
          <w:b w:val="0"/>
          <w:bCs/>
          <w:highlight w:val="none"/>
          <w:lang w:val="en-US" w:eastAsia="zh-CN"/>
        </w:rPr>
      </w:pPr>
      <w:r>
        <w:rPr>
          <w:rFonts w:hint="eastAsia" w:ascii="Times New Roman" w:hAnsi="Times New Roman" w:eastAsia="宋体" w:cs="Times New Roman"/>
          <w:b w:val="0"/>
          <w:bCs/>
          <w:highlight w:val="none"/>
          <w:lang w:val="en-US" w:eastAsia="zh-CN"/>
        </w:rPr>
        <w:t>3</w:t>
      </w:r>
      <w:r>
        <w:rPr>
          <w:rFonts w:hint="eastAsia" w:cs="Times New Roman"/>
          <w:b w:val="0"/>
          <w:bCs/>
          <w:highlight w:val="none"/>
          <w:lang w:val="en-US" w:eastAsia="zh-CN"/>
        </w:rPr>
        <w:t>）</w:t>
      </w:r>
      <w:r>
        <w:rPr>
          <w:rFonts w:hint="eastAsia" w:ascii="Times New Roman" w:hAnsi="Times New Roman" w:eastAsia="宋体" w:cs="Times New Roman"/>
          <w:b w:val="0"/>
          <w:bCs/>
          <w:highlight w:val="none"/>
          <w:lang w:val="en-US" w:eastAsia="zh-CN"/>
        </w:rPr>
        <w:t>氧化空气系统</w:t>
      </w:r>
    </w:p>
    <w:p>
      <w:pPr>
        <w:ind w:firstLine="480"/>
        <w:rPr>
          <w:highlight w:val="none"/>
        </w:rPr>
      </w:pPr>
      <w:r>
        <w:rPr>
          <w:rFonts w:hint="eastAsia" w:ascii="宋体" w:hAnsi="宋体"/>
          <w:color w:val="000000"/>
          <w:kern w:val="0"/>
          <w:szCs w:val="24"/>
          <w:highlight w:val="none"/>
        </w:rPr>
        <w:t>吸收塔浆池需设置单独的氧化风机及系统，设置3台氧化风机，两用一备</w:t>
      </w:r>
      <w:r>
        <w:rPr>
          <w:rFonts w:ascii="宋体" w:hAnsi="宋体"/>
          <w:color w:val="000000"/>
          <w:kern w:val="0"/>
          <w:szCs w:val="24"/>
          <w:highlight w:val="none"/>
        </w:rPr>
        <w:t>。氧化风机采用室内布置。</w:t>
      </w:r>
      <w:r>
        <w:rPr>
          <w:rFonts w:hint="eastAsia"/>
          <w:color w:val="000000"/>
          <w:szCs w:val="24"/>
          <w:highlight w:val="none"/>
        </w:rPr>
        <w:t>氧化风机型式为单级高速离心式风机，不采用罗茨风机。</w:t>
      </w:r>
    </w:p>
    <w:p>
      <w:pPr>
        <w:pStyle w:val="33"/>
        <w:rPr>
          <w:rFonts w:hint="default" w:eastAsia="宋体"/>
          <w:highlight w:val="none"/>
          <w:lang w:val="en-US" w:eastAsia="zh-CN"/>
        </w:rPr>
      </w:pPr>
      <w:r>
        <w:rPr>
          <w:rFonts w:hint="default" w:eastAsia="宋体"/>
          <w:highlight w:val="none"/>
          <w:lang w:val="en-US" w:eastAsia="zh-CN"/>
        </w:rPr>
        <w:drawing>
          <wp:inline distT="0" distB="0" distL="114300" distR="114300">
            <wp:extent cx="4414520" cy="3311525"/>
            <wp:effectExtent l="0" t="0" r="5080" b="3175"/>
            <wp:docPr id="31" name="图片 30" descr="IMG_9685~pho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0" descr="IMG_9685~photo"/>
                    <pic:cNvPicPr>
                      <a:picLocks noChangeAspect="1"/>
                    </pic:cNvPicPr>
                  </pic:nvPicPr>
                  <pic:blipFill>
                    <a:blip r:embed="rId32"/>
                    <a:stretch>
                      <a:fillRect/>
                    </a:stretch>
                  </pic:blipFill>
                  <pic:spPr>
                    <a:xfrm>
                      <a:off x="0" y="0"/>
                      <a:ext cx="4414520" cy="3311525"/>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eastAsia="黑体"/>
          <w:highlight w:val="red"/>
          <w:lang w:val="en-US" w:eastAsia="zh-CN"/>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16</w:t>
      </w:r>
      <w:r>
        <w:rPr>
          <w:rFonts w:hint="eastAsia"/>
          <w:highlight w:val="none"/>
          <w:lang w:val="en-US" w:eastAsia="zh-CN"/>
        </w:rPr>
        <w:t>氧化风机室内布置</w:t>
      </w:r>
    </w:p>
    <w:p>
      <w:pPr>
        <w:keepNext w:val="0"/>
        <w:keepLines w:val="0"/>
        <w:pageBreakBefore w:val="0"/>
        <w:widowControl w:val="0"/>
        <w:kinsoku/>
        <w:wordWrap/>
        <w:overflowPunct/>
        <w:topLinePunct w:val="0"/>
        <w:autoSpaceDE/>
        <w:autoSpaceDN/>
        <w:bidi w:val="0"/>
        <w:adjustRightInd/>
        <w:snapToGrid/>
        <w:textAlignment w:val="auto"/>
        <w:outlineLvl w:val="9"/>
        <w:rPr>
          <w:rFonts w:hint="eastAsia" w:ascii="Times New Roman" w:hAnsi="Times New Roman" w:eastAsia="宋体" w:cs="Times New Roman"/>
          <w:b w:val="0"/>
          <w:bCs/>
          <w:highlight w:val="none"/>
          <w:lang w:val="en-US" w:eastAsia="zh-CN"/>
        </w:rPr>
      </w:pPr>
      <w:r>
        <w:rPr>
          <w:rFonts w:hint="eastAsia" w:ascii="Times New Roman" w:hAnsi="Times New Roman" w:eastAsia="宋体" w:cs="Times New Roman"/>
          <w:b w:val="0"/>
          <w:bCs/>
          <w:highlight w:val="none"/>
          <w:lang w:val="en-US" w:eastAsia="zh-CN"/>
        </w:rPr>
        <w:t>4）烟气输送系统</w:t>
      </w:r>
    </w:p>
    <w:p>
      <w:pPr>
        <w:ind w:firstLine="480"/>
        <w:rPr>
          <w:highlight w:val="none"/>
        </w:rPr>
      </w:pPr>
      <w:r>
        <w:rPr>
          <w:highlight w:val="none"/>
        </w:rPr>
        <w:t>机组静电除尘器出口原烟气</w:t>
      </w:r>
      <w:r>
        <w:rPr>
          <w:rFonts w:hint="eastAsia"/>
          <w:highlight w:val="none"/>
          <w:lang w:val="en-US" w:eastAsia="zh-CN"/>
        </w:rPr>
        <w:t>烟道分两向布置，每向烟道</w:t>
      </w:r>
      <w:r>
        <w:rPr>
          <w:highlight w:val="none"/>
        </w:rPr>
        <w:t>由1台</w:t>
      </w:r>
      <w:r>
        <w:rPr>
          <w:szCs w:val="24"/>
          <w:highlight w:val="none"/>
        </w:rPr>
        <w:t>动叶可调</w:t>
      </w:r>
      <w:r>
        <w:rPr>
          <w:highlight w:val="none"/>
        </w:rPr>
        <w:t>轴流式引风机送</w:t>
      </w:r>
      <w:r>
        <w:rPr>
          <w:rFonts w:hint="eastAsia"/>
          <w:highlight w:val="none"/>
          <w:lang w:eastAsia="zh-CN"/>
        </w:rPr>
        <w:t>（</w:t>
      </w:r>
      <w:r>
        <w:rPr>
          <w:rFonts w:hint="eastAsia"/>
          <w:highlight w:val="none"/>
          <w:lang w:val="en-US" w:eastAsia="zh-CN"/>
        </w:rPr>
        <w:t>共两台</w:t>
      </w:r>
      <w:r>
        <w:rPr>
          <w:rFonts w:hint="eastAsia"/>
          <w:highlight w:val="none"/>
          <w:lang w:eastAsia="zh-CN"/>
        </w:rPr>
        <w:t>）</w:t>
      </w:r>
      <w:r>
        <w:rPr>
          <w:highlight w:val="none"/>
        </w:rPr>
        <w:t>至FGD装置进行脱硫，FGD装置出口净烟气经玻璃烟道至冷却塔中的烟道排出。FGD装置不单独设置增压风机，增压风机与引风机合并；烟气系统不设置烟气旁路，不加装GGH，通过对玻璃烟道及冷却塔内筒防腐防止烟气低温腐蚀。</w:t>
      </w:r>
    </w:p>
    <w:p>
      <w:pPr>
        <w:ind w:firstLine="480"/>
        <w:rPr>
          <w:highlight w:val="red"/>
        </w:rPr>
      </w:pPr>
      <w:r>
        <w:rPr>
          <w:highlight w:val="none"/>
        </w:rPr>
        <w:t>吸收塔入口烟道（原烟气冷凝和浆液溅滴区）由</w:t>
      </w:r>
      <w:r>
        <w:rPr>
          <w:rFonts w:ascii="宋体" w:hAnsi="宋体"/>
          <w:szCs w:val="21"/>
          <w:highlight w:val="none"/>
        </w:rPr>
        <w:t>Q235</w:t>
      </w:r>
      <w:r>
        <w:rPr>
          <w:rFonts w:hint="eastAsia" w:ascii="宋体" w:hAnsi="宋体"/>
          <w:szCs w:val="21"/>
          <w:highlight w:val="none"/>
        </w:rPr>
        <w:t>加</w:t>
      </w:r>
      <w:r>
        <w:rPr>
          <w:rFonts w:ascii="宋体" w:hAnsi="宋体"/>
          <w:szCs w:val="21"/>
          <w:highlight w:val="none"/>
        </w:rPr>
        <w:t>玻璃鳞片内衬</w:t>
      </w:r>
      <w:r>
        <w:rPr>
          <w:highlight w:val="none"/>
        </w:rPr>
        <w:t>材料制作；吸收塔</w:t>
      </w:r>
      <w:r>
        <w:rPr>
          <w:rFonts w:hint="eastAsia"/>
          <w:highlight w:val="none"/>
          <w:lang w:val="en-US" w:eastAsia="zh-CN"/>
        </w:rPr>
        <w:t>出口</w:t>
      </w:r>
      <w:r>
        <w:rPr>
          <w:highlight w:val="none"/>
        </w:rPr>
        <w:t>净烟气烟道由</w:t>
      </w:r>
      <w:r>
        <w:rPr>
          <w:rFonts w:ascii="宋体" w:hAnsi="宋体"/>
          <w:szCs w:val="21"/>
          <w:highlight w:val="none"/>
        </w:rPr>
        <w:t>Q235</w:t>
      </w:r>
      <w:r>
        <w:rPr>
          <w:rFonts w:hint="eastAsia" w:ascii="宋体" w:hAnsi="宋体"/>
          <w:szCs w:val="21"/>
          <w:highlight w:val="none"/>
        </w:rPr>
        <w:t>加</w:t>
      </w:r>
      <w:r>
        <w:rPr>
          <w:rFonts w:ascii="宋体" w:hAnsi="宋体"/>
          <w:szCs w:val="21"/>
          <w:highlight w:val="none"/>
        </w:rPr>
        <w:t>玻璃鳞片内衬</w:t>
      </w:r>
      <w:r>
        <w:rPr>
          <w:highlight w:val="none"/>
        </w:rPr>
        <w:t>材料制作</w:t>
      </w:r>
      <w:r>
        <w:rPr>
          <w:rFonts w:hint="eastAsia"/>
          <w:highlight w:val="none"/>
          <w:lang w:eastAsia="zh-CN"/>
        </w:rPr>
        <w:t>；</w:t>
      </w:r>
      <w:r>
        <w:rPr>
          <w:rFonts w:hint="eastAsia"/>
          <w:highlight w:val="none"/>
          <w:lang w:val="en-US" w:eastAsia="zh-CN"/>
        </w:rPr>
        <w:t>冷却塔内净烟气烟道</w:t>
      </w:r>
      <w:r>
        <w:rPr>
          <w:highlight w:val="none"/>
        </w:rPr>
        <w:t>采用环氧树脂玻璃钢</w:t>
      </w:r>
      <w:r>
        <w:rPr>
          <w:rFonts w:hint="eastAsia"/>
          <w:highlight w:val="none"/>
          <w:lang w:val="en-US" w:eastAsia="zh-CN"/>
        </w:rPr>
        <w:t>制作，</w:t>
      </w:r>
      <w:r>
        <w:rPr>
          <w:highlight w:val="none"/>
        </w:rPr>
        <w:t>冷却塔采用氯偏乳液防腐。</w:t>
      </w:r>
    </w:p>
    <w:p>
      <w:pPr>
        <w:pStyle w:val="5"/>
        <w:keepNext/>
        <w:keepLines w:val="0"/>
        <w:pageBreakBefore w:val="0"/>
        <w:widowControl w:val="0"/>
        <w:tabs>
          <w:tab w:val="left" w:pos="506"/>
        </w:tabs>
        <w:kinsoku/>
        <w:wordWrap/>
        <w:overflowPunct/>
        <w:topLinePunct w:val="0"/>
        <w:autoSpaceDE/>
        <w:autoSpaceDN/>
        <w:bidi w:val="0"/>
        <w:adjustRightInd/>
        <w:snapToGrid/>
        <w:ind w:firstLine="0" w:firstLineChars="0"/>
        <w:textAlignment w:val="auto"/>
        <w:outlineLvl w:val="2"/>
        <w:rPr>
          <w:rFonts w:hint="eastAsia" w:ascii="Times New Roman" w:hAnsi="Times New Roman" w:eastAsia="宋体" w:cs="Times New Roman"/>
          <w:highlight w:val="none"/>
          <w:lang w:val="en-US" w:eastAsia="zh-CN"/>
        </w:rPr>
      </w:pPr>
      <w:r>
        <w:rPr>
          <w:rFonts w:hint="eastAsia" w:cs="Times New Roman"/>
          <w:color w:val="auto"/>
          <w:highlight w:val="none"/>
          <w:lang w:val="en-US" w:eastAsia="zh-CN"/>
        </w:rPr>
        <w:t>4.1.2.3</w:t>
      </w:r>
      <w:r>
        <w:rPr>
          <w:rFonts w:hint="eastAsia" w:ascii="Times New Roman" w:hAnsi="Times New Roman" w:eastAsia="宋体" w:cs="Times New Roman"/>
          <w:highlight w:val="none"/>
          <w:lang w:val="en-US" w:eastAsia="zh-CN"/>
        </w:rPr>
        <w:t>脱硝系统</w:t>
      </w:r>
      <w:bookmarkEnd w:id="51"/>
      <w:bookmarkEnd w:id="52"/>
      <w:bookmarkEnd w:id="53"/>
    </w:p>
    <w:p>
      <w:pPr>
        <w:ind w:firstLine="480"/>
        <w:rPr>
          <w:rFonts w:hint="default" w:eastAsia="宋体"/>
          <w:highlight w:val="none"/>
          <w:lang w:val="en-US" w:eastAsia="zh-CN"/>
        </w:rPr>
      </w:pPr>
      <w:r>
        <w:rPr>
          <w:rFonts w:hint="eastAsia"/>
          <w:highlight w:val="none"/>
          <w:lang w:val="en-US" w:eastAsia="zh-CN"/>
        </w:rPr>
        <w:t>申能安徽</w:t>
      </w:r>
      <w:r>
        <w:rPr>
          <w:highlight w:val="none"/>
        </w:rPr>
        <w:t>平山电厂</w:t>
      </w:r>
      <w:r>
        <w:rPr>
          <w:rFonts w:hint="eastAsia"/>
          <w:highlight w:val="none"/>
          <w:lang w:val="en-US" w:eastAsia="zh-CN"/>
        </w:rPr>
        <w:t>二</w:t>
      </w:r>
      <w:r>
        <w:rPr>
          <w:highlight w:val="none"/>
        </w:rPr>
        <w:t>期工程采用</w:t>
      </w:r>
      <w:r>
        <w:rPr>
          <w:rFonts w:hint="eastAsia"/>
          <w:highlight w:val="none"/>
          <w:lang w:val="en-US" w:eastAsia="zh-CN"/>
        </w:rPr>
        <w:t>全负荷低氧</w:t>
      </w:r>
      <w:r>
        <w:rPr>
          <w:highlight w:val="none"/>
        </w:rPr>
        <w:t>低氮燃烧技术和选择性催化还原法（SCR）脱硝工艺。</w:t>
      </w:r>
      <w:r>
        <w:rPr>
          <w:rFonts w:hint="eastAsia"/>
          <w:highlight w:val="none"/>
          <w:lang w:val="en-US" w:eastAsia="zh-CN"/>
        </w:rPr>
        <w:t>其主要涉及参数如下：</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default" w:eastAsia="宋体"/>
          <w:highlight w:val="none"/>
          <w:lang w:val="en-US" w:eastAsia="zh-CN"/>
        </w:rPr>
      </w:pPr>
      <w:r>
        <w:rPr>
          <w:rFonts w:hint="eastAsia" w:ascii="黑体" w:hAnsi="黑体" w:eastAsia="黑体" w:cs="黑体"/>
          <w:sz w:val="21"/>
          <w:szCs w:val="21"/>
          <w:highlight w:val="none"/>
          <w:lang w:val="en-US" w:eastAsia="zh-CN"/>
        </w:rPr>
        <w:t>表4-3脱硝系统的主要设计参数</w:t>
      </w:r>
    </w:p>
    <w:tbl>
      <w:tblPr>
        <w:tblStyle w:val="23"/>
        <w:tblW w:w="4997" w:type="pct"/>
        <w:jc w:val="center"/>
        <w:tblLayout w:type="autofit"/>
        <w:tblCellMar>
          <w:top w:w="0" w:type="dxa"/>
          <w:left w:w="108" w:type="dxa"/>
          <w:bottom w:w="0" w:type="dxa"/>
          <w:right w:w="108" w:type="dxa"/>
        </w:tblCellMar>
      </w:tblPr>
      <w:tblGrid>
        <w:gridCol w:w="490"/>
        <w:gridCol w:w="1297"/>
        <w:gridCol w:w="2500"/>
        <w:gridCol w:w="926"/>
        <w:gridCol w:w="852"/>
        <w:gridCol w:w="853"/>
        <w:gridCol w:w="1599"/>
      </w:tblGrid>
      <w:tr>
        <w:tblPrEx>
          <w:tblCellMar>
            <w:top w:w="0" w:type="dxa"/>
            <w:left w:w="108" w:type="dxa"/>
            <w:bottom w:w="0" w:type="dxa"/>
            <w:right w:w="108" w:type="dxa"/>
          </w:tblCellMar>
        </w:tblPrEx>
        <w:trPr>
          <w:trHeight w:val="510" w:hRule="atLeast"/>
          <w:jc w:val="center"/>
        </w:trPr>
        <w:tc>
          <w:tcPr>
            <w:tcW w:w="29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序号</w:t>
            </w:r>
          </w:p>
        </w:tc>
        <w:tc>
          <w:tcPr>
            <w:tcW w:w="766"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项目</w:t>
            </w: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内容</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单位</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数据</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备注</w:t>
            </w:r>
          </w:p>
        </w:tc>
      </w:tr>
      <w:tr>
        <w:tblPrEx>
          <w:tblCellMar>
            <w:top w:w="0" w:type="dxa"/>
            <w:left w:w="108" w:type="dxa"/>
            <w:bottom w:w="0" w:type="dxa"/>
            <w:right w:w="108" w:type="dxa"/>
          </w:tblCellMar>
        </w:tblPrEx>
        <w:trPr>
          <w:trHeight w:val="510" w:hRule="atLeast"/>
          <w:jc w:val="center"/>
        </w:trPr>
        <w:tc>
          <w:tcPr>
            <w:tcW w:w="293" w:type="pct"/>
            <w:vMerge w:val="restar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1</w:t>
            </w:r>
          </w:p>
        </w:tc>
        <w:tc>
          <w:tcPr>
            <w:tcW w:w="766" w:type="pct"/>
            <w:vMerge w:val="restar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湿烟气参数</w:t>
            </w: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机组负荷</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MW</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1350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湿烟气量</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Nm</w:t>
            </w:r>
            <w:r>
              <w:rPr>
                <w:rFonts w:hint="default" w:ascii="Times New Roman" w:hAnsi="Times New Roman" w:eastAsia="宋体" w:cs="Times New Roman"/>
                <w:color w:val="000000" w:themeColor="text1"/>
                <w:kern w:val="0"/>
                <w:sz w:val="21"/>
                <w:szCs w:val="21"/>
                <w:highlight w:val="none"/>
                <w:vertAlign w:val="superscript"/>
                <w:lang w:val="zh-CN"/>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/h</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3527492</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H</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O</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8.83</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2.54</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N</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72.80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CO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14.94</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0.03</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飞灰含量</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kg/h</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21.9</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烟气温度</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1011" w:type="pct"/>
            <w:gridSpan w:val="2"/>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388</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restar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2</w:t>
            </w:r>
          </w:p>
        </w:tc>
        <w:tc>
          <w:tcPr>
            <w:tcW w:w="766" w:type="pct"/>
            <w:vMerge w:val="restar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性能指标</w:t>
            </w: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SCR入口NOx(标态，干基，6%O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lang w:val="zh-CN"/>
                <w14:textFill>
                  <w14:solidFill>
                    <w14:schemeClr w14:val="tx1"/>
                  </w14:solidFill>
                </w14:textFill>
              </w:rPr>
              <w:t>3</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300</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200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SCR出口NOx(标态，干基，6%O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mg/Nm</w:t>
            </w:r>
            <w:r>
              <w:rPr>
                <w:rFonts w:hint="default" w:ascii="Times New Roman" w:hAnsi="Times New Roman" w:eastAsia="宋体" w:cs="Times New Roman"/>
                <w:color w:val="000000" w:themeColor="text1"/>
                <w:kern w:val="0"/>
                <w:sz w:val="21"/>
                <w:szCs w:val="21"/>
                <w:highlight w:val="none"/>
                <w:vertAlign w:val="superscript"/>
                <w:lang w:val="zh-CN"/>
                <w14:textFill>
                  <w14:solidFill>
                    <w14:schemeClr w14:val="tx1"/>
                  </w14:solidFill>
                </w14:textFill>
              </w:rPr>
              <w:t>3</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45</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NH</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逃逸浓度</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μL/L</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3</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脱硝效率</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85</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85</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化学寿命期间</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2</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/SO</w:t>
            </w:r>
            <w:r>
              <w:rPr>
                <w:rFonts w:hint="default" w:ascii="Times New Roman" w:hAnsi="Times New Roman" w:eastAsia="宋体" w:cs="Times New Roman"/>
                <w:color w:val="000000" w:themeColor="text1"/>
                <w:kern w:val="0"/>
                <w:sz w:val="21"/>
                <w:szCs w:val="21"/>
                <w:highlight w:val="none"/>
                <w:vertAlign w:val="subscript"/>
                <w:lang w:val="zh-CN"/>
                <w14:textFill>
                  <w14:solidFill>
                    <w14:schemeClr w14:val="tx1"/>
                  </w14:solidFill>
                </w14:textFill>
              </w:rPr>
              <w:t>3</w:t>
            </w: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转化率</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1</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1</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整体系统阻力</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Pa</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500</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500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两层运行</w:t>
            </w:r>
          </w:p>
        </w:tc>
      </w:tr>
      <w:tr>
        <w:tblPrEx>
          <w:tblCellMar>
            <w:top w:w="0" w:type="dxa"/>
            <w:left w:w="108" w:type="dxa"/>
            <w:bottom w:w="0" w:type="dxa"/>
            <w:right w:w="108" w:type="dxa"/>
          </w:tblCellMar>
        </w:tblPrEx>
        <w:trPr>
          <w:trHeight w:val="510" w:hRule="atLeast"/>
          <w:jc w:val="center"/>
        </w:trPr>
        <w:tc>
          <w:tcPr>
            <w:tcW w:w="293" w:type="pct"/>
            <w:vMerge w:val="continue"/>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766" w:type="pct"/>
            <w:vMerge w:val="continue"/>
            <w:tcBorders>
              <w:top w:val="single" w:color="000000" w:sz="2" w:space="0"/>
              <w:left w:val="single" w:color="000000" w:sz="2" w:space="0"/>
              <w:bottom w:val="single" w:color="auto" w:sz="4" w:space="0"/>
              <w:right w:val="single" w:color="000000" w:sz="2" w:space="0"/>
            </w:tcBorders>
            <w:shd w:val="clear" w:color="000000" w:fill="FFFFFF"/>
            <w:vAlign w:val="center"/>
          </w:tcPr>
          <w:p>
            <w:pPr>
              <w:keepNext w:val="0"/>
              <w:keepLines w:val="0"/>
              <w:pageBreakBefore w:val="0"/>
              <w:widowControl w:val="0"/>
              <w:kinsoku/>
              <w:wordWrap/>
              <w:overflowPunct/>
              <w:topLinePunct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sz w:val="21"/>
                <w:szCs w:val="21"/>
                <w:highlight w:val="none"/>
                <w14:textFill>
                  <w14:solidFill>
                    <w14:schemeClr w14:val="tx1"/>
                  </w14:solidFill>
                </w14:textFill>
              </w:rPr>
            </w:pPr>
          </w:p>
        </w:tc>
        <w:tc>
          <w:tcPr>
            <w:tcW w:w="147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扣除催化剂后的系统阻力</w:t>
            </w:r>
          </w:p>
        </w:tc>
        <w:tc>
          <w:tcPr>
            <w:tcW w:w="512"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Pa</w:t>
            </w:r>
          </w:p>
        </w:tc>
        <w:tc>
          <w:tcPr>
            <w:tcW w:w="505" w:type="pct"/>
            <w:tcBorders>
              <w:top w:val="single" w:color="000000" w:sz="2" w:space="0"/>
              <w:left w:val="single" w:color="000000" w:sz="2" w:space="0"/>
              <w:bottom w:val="single" w:color="000000" w:sz="2" w:space="0"/>
              <w:right w:val="single" w:color="auto" w:sz="4"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80</w:t>
            </w:r>
          </w:p>
        </w:tc>
        <w:tc>
          <w:tcPr>
            <w:tcW w:w="505" w:type="pct"/>
            <w:tcBorders>
              <w:top w:val="single" w:color="000000" w:sz="2" w:space="0"/>
              <w:left w:val="single" w:color="auto" w:sz="4"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zh-CN"/>
                <w14:textFill>
                  <w14:solidFill>
                    <w14:schemeClr w14:val="tx1"/>
                  </w14:solidFill>
                </w14:textFill>
              </w:rPr>
              <w:t>80</w:t>
            </w:r>
          </w:p>
        </w:tc>
        <w:tc>
          <w:tcPr>
            <w:tcW w:w="943" w:type="pct"/>
            <w:tcBorders>
              <w:top w:val="single" w:color="000000" w:sz="2" w:space="0"/>
              <w:left w:val="single" w:color="000000" w:sz="2" w:space="0"/>
              <w:bottom w:val="single" w:color="000000" w:sz="2" w:space="0"/>
              <w:right w:val="single" w:color="000000" w:sz="2" w:space="0"/>
            </w:tcBorders>
            <w:shd w:val="clear" w:color="000000" w:fill="FFFFFF"/>
            <w:vAlign w:val="center"/>
          </w:tcPr>
          <w:p>
            <w:pPr>
              <w:keepNext w:val="0"/>
              <w:keepLines w:val="0"/>
              <w:pageBreakBefore w:val="0"/>
              <w:widowControl w:val="0"/>
              <w:kinsoku/>
              <w:wordWrap/>
              <w:overflowPunct/>
              <w:topLinePunct w:val="0"/>
              <w:autoSpaceDE w:val="0"/>
              <w:autoSpaceDN w:val="0"/>
              <w:bidi w:val="0"/>
              <w:adjustRightInd w:val="0"/>
              <w:snapToGrid/>
              <w:spacing w:line="240" w:lineRule="auto"/>
              <w:ind w:firstLine="0" w:firstLineChars="0"/>
              <w:jc w:val="center"/>
              <w:textAlignment w:val="baseline"/>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14:textFill>
                  <w14:solidFill>
                    <w14:schemeClr w14:val="tx1"/>
                  </w14:solidFill>
                </w14:textFill>
              </w:rPr>
              <w:t>/</w:t>
            </w:r>
          </w:p>
        </w:tc>
      </w:tr>
    </w:tbl>
    <w:p>
      <w:pPr>
        <w:keepNext/>
        <w:keepLines/>
        <w:pageBreakBefore w:val="0"/>
        <w:widowControl w:val="0"/>
        <w:kinsoku/>
        <w:wordWrap/>
        <w:overflowPunct/>
        <w:topLinePunct w:val="0"/>
        <w:autoSpaceDE/>
        <w:autoSpaceDN/>
        <w:bidi w:val="0"/>
        <w:adjustRightInd/>
        <w:snapToGrid/>
        <w:ind w:firstLine="0" w:firstLineChars="0"/>
        <w:textAlignment w:val="auto"/>
        <w:outlineLvl w:val="9"/>
        <w:rPr>
          <w:highlight w:val="none"/>
        </w:rPr>
      </w:pPr>
      <w:r>
        <w:rPr>
          <w:rFonts w:hint="eastAsia"/>
          <w:highlight w:val="none"/>
          <w:lang w:val="en-US" w:eastAsia="zh-CN"/>
        </w:rPr>
        <w:t>（1）全负荷低氧</w:t>
      </w:r>
      <w:r>
        <w:rPr>
          <w:highlight w:val="none"/>
        </w:rPr>
        <w:t>低氮燃烧技术</w:t>
      </w:r>
    </w:p>
    <w:p>
      <w:pPr>
        <w:ind w:firstLine="480"/>
        <w:rPr>
          <w:color w:val="FF0000"/>
          <w:szCs w:val="24"/>
          <w:highlight w:val="red"/>
          <w:shd w:val="clear" w:color="auto" w:fill="FFFFFF"/>
        </w:rPr>
      </w:pPr>
      <w:r>
        <w:rPr>
          <w:rFonts w:hint="eastAsia"/>
          <w:szCs w:val="24"/>
          <w:highlight w:val="none"/>
          <w:shd w:val="clear" w:color="auto" w:fill="FFFFFF"/>
          <w:lang w:val="en-US" w:eastAsia="zh-CN"/>
        </w:rPr>
        <w:t>基于广义回热和弹性回热技术的前提下，将部分烟气以置换入炉热风。经过高效的燃烧过程，炉膛出口可以实现低氧低氮的目标。锅炉</w:t>
      </w:r>
      <w:r>
        <w:rPr>
          <w:highlight w:val="none"/>
        </w:rPr>
        <w:t>四角切向布置的摆动燃烧器，在热态运行中一、二次风均可上下摆动</w:t>
      </w:r>
      <w:r>
        <w:rPr>
          <w:szCs w:val="24"/>
          <w:highlight w:val="none"/>
        </w:rPr>
        <w:t>。</w:t>
      </w:r>
      <w:r>
        <w:rPr>
          <w:szCs w:val="24"/>
          <w:highlight w:val="none"/>
          <w:shd w:val="clear" w:color="auto" w:fill="FFFFFF"/>
        </w:rPr>
        <w:t>主燃烧器采用直流煤粉燃烧器，出气口为直流射流，布置在炉膛四角，使燃料气流在炉膛内切圆燃烧。在主燃烧器的上方为OFA喷嘴，四角布置，切圆方向与燃烧器相反，喷嘴可以补充燃料后期燃烧所需要的空气，同时消除燃烧器上部切向旋流，使燃烧器既有垂直风级又有水平风级，从而降低炉内温度水平，抑制NO</w:t>
      </w:r>
      <w:r>
        <w:rPr>
          <w:szCs w:val="24"/>
          <w:highlight w:val="none"/>
          <w:shd w:val="clear" w:color="auto" w:fill="FFFFFF"/>
          <w:vertAlign w:val="subscript"/>
        </w:rPr>
        <w:t>x</w:t>
      </w:r>
      <w:r>
        <w:rPr>
          <w:szCs w:val="24"/>
          <w:highlight w:val="none"/>
          <w:shd w:val="clear" w:color="auto" w:fill="FFFFFF"/>
        </w:rPr>
        <w:t>的生成。</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highlight w:val="none"/>
          <w:lang w:val="zh-CN"/>
        </w:rPr>
      </w:pPr>
      <w:r>
        <w:rPr>
          <w:rFonts w:hint="eastAsia"/>
          <w:highlight w:val="none"/>
          <w:lang w:val="en-US" w:eastAsia="zh-CN"/>
        </w:rPr>
        <w:t>1）、</w:t>
      </w:r>
      <w:r>
        <w:rPr>
          <w:highlight w:val="none"/>
          <w:lang w:val="zh-CN"/>
        </w:rPr>
        <w:t>SCR工艺</w:t>
      </w:r>
    </w:p>
    <w:p>
      <w:pPr>
        <w:ind w:firstLine="480"/>
        <w:rPr>
          <w:highlight w:val="none"/>
        </w:rPr>
      </w:pPr>
      <w:r>
        <w:rPr>
          <w:rFonts w:hint="eastAsia" w:ascii="宋体" w:hAnsi="Arial" w:cs="宋体"/>
          <w:color w:val="000000"/>
          <w:kern w:val="0"/>
          <w:sz w:val="24"/>
          <w:highlight w:val="none"/>
          <w:lang w:val="en-US" w:eastAsia="zh-CN"/>
        </w:rPr>
        <w:t>项目锅炉分两向布置，每向烟道配置1</w:t>
      </w:r>
      <w:r>
        <w:rPr>
          <w:rFonts w:hint="eastAsia" w:ascii="宋体" w:hAnsi="Arial" w:cs="宋体"/>
          <w:color w:val="000000"/>
          <w:kern w:val="0"/>
          <w:sz w:val="24"/>
          <w:highlight w:val="none"/>
          <w:lang w:val="zh-CN"/>
        </w:rPr>
        <w:t>台</w:t>
      </w:r>
      <w:r>
        <w:rPr>
          <w:rFonts w:ascii="宋体" w:hAnsi="Arial" w:cs="宋体"/>
          <w:color w:val="000000"/>
          <w:kern w:val="0"/>
          <w:sz w:val="24"/>
          <w:highlight w:val="none"/>
          <w:lang w:val="zh-CN"/>
        </w:rPr>
        <w:t>SCR</w:t>
      </w:r>
      <w:r>
        <w:rPr>
          <w:rFonts w:hint="eastAsia" w:ascii="宋体" w:hAnsi="Arial" w:cs="宋体"/>
          <w:color w:val="000000"/>
          <w:kern w:val="0"/>
          <w:sz w:val="24"/>
          <w:highlight w:val="none"/>
          <w:lang w:val="zh-CN"/>
        </w:rPr>
        <w:t>反应器（</w:t>
      </w:r>
      <w:r>
        <w:rPr>
          <w:rFonts w:hint="eastAsia" w:ascii="宋体" w:hAnsi="Arial" w:cs="宋体"/>
          <w:color w:val="000000"/>
          <w:kern w:val="0"/>
          <w:sz w:val="24"/>
          <w:highlight w:val="none"/>
          <w:lang w:val="en-US" w:eastAsia="zh-CN"/>
        </w:rPr>
        <w:t>共两台</w:t>
      </w:r>
      <w:r>
        <w:rPr>
          <w:rFonts w:hint="eastAsia" w:ascii="宋体" w:hAnsi="Arial" w:cs="宋体"/>
          <w:color w:val="000000"/>
          <w:kern w:val="0"/>
          <w:sz w:val="24"/>
          <w:highlight w:val="none"/>
          <w:lang w:val="zh-CN"/>
        </w:rPr>
        <w:t>）</w:t>
      </w:r>
      <w:r>
        <w:rPr>
          <w:color w:val="000000"/>
          <w:szCs w:val="24"/>
          <w:highlight w:val="none"/>
        </w:rPr>
        <w:t>，</w:t>
      </w:r>
      <w:r>
        <w:rPr>
          <w:highlight w:val="none"/>
        </w:rPr>
        <w:t>在燃用设计煤种、锅炉最大工况（BMCR）、处理100%烟气量条件下，设计脱硝效率不小于</w:t>
      </w:r>
      <w:r>
        <w:rPr>
          <w:rFonts w:hint="eastAsia"/>
          <w:highlight w:val="none"/>
          <w:lang w:val="en-US" w:eastAsia="zh-CN"/>
        </w:rPr>
        <w:t>85</w:t>
      </w:r>
      <w:r>
        <w:rPr>
          <w:highlight w:val="none"/>
        </w:rPr>
        <w:t>％</w:t>
      </w:r>
      <w:r>
        <w:rPr>
          <w:rFonts w:hint="eastAsia"/>
          <w:highlight w:val="none"/>
          <w:lang w:eastAsia="zh-CN"/>
        </w:rPr>
        <w:t>（</w:t>
      </w:r>
      <w:r>
        <w:rPr>
          <w:rFonts w:hint="eastAsia"/>
          <w:highlight w:val="none"/>
          <w:lang w:val="en-US" w:eastAsia="zh-CN"/>
        </w:rPr>
        <w:t>三层催化剂同时投运，脱硝效率在标准工况下可达90</w:t>
      </w:r>
      <w:r>
        <w:rPr>
          <w:highlight w:val="none"/>
        </w:rPr>
        <w:t>％</w:t>
      </w:r>
      <w:r>
        <w:rPr>
          <w:rFonts w:hint="eastAsia"/>
          <w:highlight w:val="none"/>
          <w:lang w:val="en-US" w:eastAsia="zh-CN"/>
        </w:rPr>
        <w:t>以上</w:t>
      </w:r>
      <w:r>
        <w:rPr>
          <w:rFonts w:hint="eastAsia"/>
          <w:highlight w:val="none"/>
          <w:lang w:eastAsia="zh-CN"/>
        </w:rPr>
        <w:t>）</w:t>
      </w:r>
      <w:r>
        <w:rPr>
          <w:highlight w:val="none"/>
        </w:rPr>
        <w:t>。机组脱硝装置由上海电气集团股份有限公司负责供货建设。SCR工艺系统包括催化剂及其反应器、</w:t>
      </w:r>
      <w:r>
        <w:rPr>
          <w:rFonts w:hint="eastAsia"/>
          <w:highlight w:val="none"/>
          <w:lang w:val="en-US" w:eastAsia="zh-CN"/>
        </w:rPr>
        <w:t>尿素热解制氨</w:t>
      </w:r>
      <w:r>
        <w:rPr>
          <w:highlight w:val="none"/>
        </w:rPr>
        <w:t>系统、氨喷射系统、脱硝公用系统和控制系统等。SCR脱硝工艺流程如图</w:t>
      </w:r>
      <w:r>
        <w:rPr>
          <w:rFonts w:hint="eastAsia"/>
          <w:highlight w:val="none"/>
          <w:lang w:val="en-US" w:eastAsia="zh-CN"/>
        </w:rPr>
        <w:t>4-17</w:t>
      </w:r>
      <w:r>
        <w:rPr>
          <w:highlight w:val="none"/>
        </w:rPr>
        <w:t>所示。</w:t>
      </w:r>
    </w:p>
    <w:p>
      <w:pPr>
        <w:ind w:firstLine="480"/>
        <w:rPr>
          <w:highlight w:val="red"/>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eastAsia="宋体"/>
          <w:highlight w:val="none"/>
          <w:lang w:eastAsia="zh-CN"/>
        </w:rPr>
      </w:pPr>
      <w:r>
        <w:rPr>
          <w:sz w:val="24"/>
          <w:highlight w:val="none"/>
        </w:rPr>
        <mc:AlternateContent>
          <mc:Choice Requires="wps">
            <w:drawing>
              <wp:anchor distT="0" distB="0" distL="114300" distR="114300" simplePos="0" relativeHeight="251659264" behindDoc="0" locked="0" layoutInCell="1" allowOverlap="1">
                <wp:simplePos x="0" y="0"/>
                <wp:positionH relativeFrom="column">
                  <wp:posOffset>3564890</wp:posOffset>
                </wp:positionH>
                <wp:positionV relativeFrom="paragraph">
                  <wp:posOffset>2524125</wp:posOffset>
                </wp:positionV>
                <wp:extent cx="1271270" cy="367665"/>
                <wp:effectExtent l="0" t="0" r="5080" b="13335"/>
                <wp:wrapNone/>
                <wp:docPr id="2" name="文本框 2"/>
                <wp:cNvGraphicFramePr/>
                <a:graphic xmlns:a="http://schemas.openxmlformats.org/drawingml/2006/main">
                  <a:graphicData uri="http://schemas.microsoft.com/office/word/2010/wordprocessingShape">
                    <wps:wsp>
                      <wps:cNvSpPr txBox="1"/>
                      <wps:spPr>
                        <a:xfrm>
                          <a:off x="4756785" y="5831840"/>
                          <a:ext cx="1271270" cy="36766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ind w:left="0" w:leftChars="0" w:firstLine="0" w:firstLineChars="0"/>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烟囱和冷凝塔</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0.7pt;margin-top:198.75pt;height:28.95pt;width:100.1pt;z-index:251659264;mso-width-relative:page;mso-height-relative:page;" fillcolor="#FFFFFF [3201]" filled="t" stroked="f" coordsize="21600,21600" o:gfxdata="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">
                <v:fill on="t" focussize="0,0"/>
                <v:stroke on="f" weight="0.5pt"/>
                <v:imagedata o:title=""/>
                <o:lock v:ext="edit" aspectratio="f"/>
                <v:textbox>
                  <w:txbxContent>
                    <w:p>
                      <w:pPr>
                        <w:ind w:left="0" w:leftChars="0" w:firstLine="0" w:firstLineChars="0"/>
                        <w:rPr>
                          <w:rFonts w:hint="eastAsia" w:ascii="宋体" w:hAnsi="宋体" w:eastAsia="宋体" w:cs="宋体"/>
                          <w:b/>
                          <w:bCs/>
                          <w:sz w:val="21"/>
                          <w:szCs w:val="21"/>
                          <w:lang w:val="en-US" w:eastAsia="zh-CN"/>
                        </w:rPr>
                      </w:pPr>
                      <w:r>
                        <w:rPr>
                          <w:rFonts w:hint="eastAsia" w:ascii="宋体" w:hAnsi="宋体" w:eastAsia="宋体" w:cs="宋体"/>
                          <w:b/>
                          <w:bCs/>
                          <w:sz w:val="21"/>
                          <w:szCs w:val="21"/>
                          <w:lang w:val="en-US" w:eastAsia="zh-CN"/>
                        </w:rPr>
                        <w:t>烟囱和冷凝塔</w:t>
                      </w:r>
                    </w:p>
                  </w:txbxContent>
                </v:textbox>
              </v:shape>
            </w:pict>
          </mc:Fallback>
        </mc:AlternateContent>
      </w:r>
      <w:r>
        <w:rPr>
          <w:rFonts w:hint="eastAsia" w:eastAsia="宋体"/>
          <w:highlight w:val="none"/>
          <w:lang w:eastAsia="zh-CN"/>
        </w:rPr>
        <w:drawing>
          <wp:inline distT="0" distB="0" distL="114300" distR="114300">
            <wp:extent cx="4650105" cy="3303905"/>
            <wp:effectExtent l="0" t="0" r="0" b="10795"/>
            <wp:docPr id="6" name="图片 1" descr="20201225222421hk3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descr="20201225222421hk3w"/>
                    <pic:cNvPicPr>
                      <a:picLocks noChangeAspect="1"/>
                    </pic:cNvPicPr>
                  </pic:nvPicPr>
                  <pic:blipFill>
                    <a:blip r:embed="rId33"/>
                    <a:stretch>
                      <a:fillRect/>
                    </a:stretch>
                  </pic:blipFill>
                  <pic:spPr>
                    <a:xfrm>
                      <a:off x="0" y="0"/>
                      <a:ext cx="4650105" cy="3303905"/>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val="0"/>
        <w:spacing w:after="0" w:line="360" w:lineRule="auto"/>
        <w:jc w:val="center"/>
        <w:textAlignment w:val="auto"/>
        <w:rPr>
          <w:highlight w:val="none"/>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17</w:t>
      </w:r>
      <w:r>
        <w:rPr>
          <w:highlight w:val="none"/>
        </w:rPr>
        <w:t>脱硝工艺流程图</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rFonts w:hint="eastAsia" w:ascii="Times New Roman" w:hAnsi="Times New Roman" w:eastAsia="宋体" w:cs="Times New Roman"/>
          <w:highlight w:val="none"/>
          <w:lang w:val="zh-CN" w:eastAsia="zh-CN"/>
        </w:rPr>
      </w:pPr>
      <w:r>
        <w:rPr>
          <w:rFonts w:hint="eastAsia"/>
          <w:highlight w:val="none"/>
          <w:lang w:val="en-US" w:eastAsia="zh-CN"/>
        </w:rPr>
        <w:t>（2）</w:t>
      </w:r>
      <w:r>
        <w:rPr>
          <w:rFonts w:hint="eastAsia" w:ascii="Times New Roman" w:hAnsi="Times New Roman" w:eastAsia="宋体" w:cs="Times New Roman"/>
          <w:highlight w:val="none"/>
          <w:lang w:val="en-US" w:eastAsia="zh-CN"/>
        </w:rPr>
        <w:t>尿素</w:t>
      </w:r>
      <w:r>
        <w:rPr>
          <w:rFonts w:hint="eastAsia" w:ascii="Times New Roman" w:hAnsi="Times New Roman" w:eastAsia="宋体" w:cs="Times New Roman"/>
          <w:highlight w:val="none"/>
          <w:lang w:val="zh-CN" w:eastAsia="zh-CN"/>
        </w:rPr>
        <w:t>存储、</w:t>
      </w:r>
      <w:r>
        <w:rPr>
          <w:rFonts w:hint="eastAsia" w:ascii="Times New Roman" w:hAnsi="Times New Roman" w:eastAsia="宋体" w:cs="Times New Roman"/>
          <w:highlight w:val="none"/>
          <w:lang w:val="en-US" w:eastAsia="zh-CN"/>
        </w:rPr>
        <w:t>尿素制氨</w:t>
      </w:r>
      <w:r>
        <w:rPr>
          <w:rFonts w:hint="eastAsia" w:ascii="Times New Roman" w:hAnsi="Times New Roman" w:eastAsia="宋体" w:cs="Times New Roman"/>
          <w:highlight w:val="none"/>
          <w:lang w:val="zh-CN" w:eastAsia="zh-CN"/>
        </w:rPr>
        <w:t>系统</w:t>
      </w:r>
    </w:p>
    <w:p>
      <w:pPr>
        <w:ind w:firstLine="480"/>
        <w:rPr>
          <w:rFonts w:hint="eastAsia" w:ascii="Times New Roman" w:hAnsi="Times New Roman"/>
          <w:highlight w:val="none"/>
          <w:lang w:val="en-US" w:eastAsia="zh-CN"/>
        </w:rPr>
      </w:pPr>
      <w:r>
        <w:rPr>
          <w:highlight w:val="none"/>
        </w:rPr>
        <w:t>工程采用的脱</w:t>
      </w:r>
      <w:r>
        <w:rPr>
          <w:rFonts w:hint="eastAsia" w:ascii="Times New Roman" w:hAnsi="Times New Roman"/>
          <w:highlight w:val="none"/>
          <w:lang w:val="en-US" w:eastAsia="zh-CN"/>
        </w:rPr>
        <w:t>硝还原剂为氨，氨由尿素热解制氨产生。尿素热解设备由华东电力设计院有限公司设计，由上海电气电站环保工程有限公司提供。</w:t>
      </w:r>
    </w:p>
    <w:p>
      <w:pPr>
        <w:ind w:firstLine="480"/>
        <w:rPr>
          <w:kern w:val="0"/>
          <w:highlight w:val="none"/>
          <w:lang w:val="zh-CN"/>
        </w:rPr>
      </w:pPr>
      <w:r>
        <w:rPr>
          <w:szCs w:val="24"/>
          <w:highlight w:val="none"/>
        </w:rPr>
        <w:t>热解所需尿素溶液的贮存、制备、供应，主要是在尿素站完成，制好的尿素溶液经伴热输送至热解炉热解为NH</w:t>
      </w:r>
      <w:r>
        <w:rPr>
          <w:szCs w:val="24"/>
          <w:highlight w:val="none"/>
          <w:vertAlign w:val="subscript"/>
        </w:rPr>
        <w:t>3</w:t>
      </w:r>
      <w:r>
        <w:rPr>
          <w:szCs w:val="24"/>
          <w:highlight w:val="none"/>
        </w:rPr>
        <w:t>。</w:t>
      </w:r>
      <w:r>
        <w:rPr>
          <w:b w:val="0"/>
          <w:bCs/>
          <w:szCs w:val="24"/>
          <w:highlight w:val="none"/>
        </w:rPr>
        <w:t>单台</w:t>
      </w:r>
      <w:r>
        <w:rPr>
          <w:rFonts w:hint="eastAsia"/>
          <w:b w:val="0"/>
          <w:bCs/>
          <w:szCs w:val="24"/>
          <w:highlight w:val="none"/>
        </w:rPr>
        <w:t>1350MW</w:t>
      </w:r>
      <w:r>
        <w:rPr>
          <w:b w:val="0"/>
          <w:bCs/>
          <w:szCs w:val="24"/>
          <w:highlight w:val="none"/>
        </w:rPr>
        <w:t>机组</w:t>
      </w:r>
      <w:r>
        <w:rPr>
          <w:rFonts w:hint="eastAsia"/>
          <w:b w:val="0"/>
          <w:bCs/>
          <w:szCs w:val="24"/>
          <w:highlight w:val="none"/>
          <w:lang w:val="en-US" w:eastAsia="zh-CN"/>
        </w:rPr>
        <w:t>制氨（</w:t>
      </w:r>
      <w:r>
        <w:rPr>
          <w:rFonts w:hint="eastAsia"/>
          <w:b w:val="0"/>
          <w:bCs/>
          <w:szCs w:val="24"/>
          <w:highlight w:val="none"/>
        </w:rPr>
        <w:t>纯</w:t>
      </w:r>
      <w:r>
        <w:rPr>
          <w:b w:val="0"/>
          <w:bCs/>
          <w:szCs w:val="24"/>
          <w:highlight w:val="none"/>
        </w:rPr>
        <w:t>氨</w:t>
      </w:r>
      <w:r>
        <w:rPr>
          <w:rFonts w:hint="eastAsia"/>
          <w:b w:val="0"/>
          <w:bCs/>
          <w:szCs w:val="24"/>
          <w:highlight w:val="none"/>
          <w:lang w:eastAsia="zh-CN"/>
        </w:rPr>
        <w:t>）</w:t>
      </w:r>
      <w:r>
        <w:rPr>
          <w:b w:val="0"/>
          <w:bCs/>
          <w:szCs w:val="24"/>
          <w:highlight w:val="none"/>
        </w:rPr>
        <w:t>不小于</w:t>
      </w:r>
      <w:r>
        <w:rPr>
          <w:rFonts w:hint="eastAsia"/>
          <w:b w:val="0"/>
          <w:bCs/>
          <w:szCs w:val="24"/>
          <w:highlight w:val="none"/>
        </w:rPr>
        <w:t>4</w:t>
      </w:r>
      <w:r>
        <w:rPr>
          <w:b w:val="0"/>
          <w:bCs/>
          <w:szCs w:val="24"/>
          <w:highlight w:val="none"/>
        </w:rPr>
        <w:t>05kg/h</w:t>
      </w:r>
      <w:r>
        <w:rPr>
          <w:rFonts w:hint="eastAsia"/>
          <w:b w:val="0"/>
          <w:bCs/>
          <w:szCs w:val="24"/>
          <w:highlight w:val="none"/>
        </w:rPr>
        <w:t>（3层催化剂运行、脱硝效率90%）</w:t>
      </w:r>
      <w:r>
        <w:rPr>
          <w:kern w:val="0"/>
          <w:highlight w:val="none"/>
          <w:lang w:val="zh-CN"/>
        </w:rPr>
        <w:t>。</w:t>
      </w:r>
    </w:p>
    <w:p>
      <w:pPr>
        <w:pStyle w:val="33"/>
        <w:rPr>
          <w:highlight w:val="none"/>
          <w:lang w:val="zh-CN" w:eastAsia="en-US"/>
        </w:rPr>
      </w:pPr>
      <w:r>
        <w:rPr>
          <w:highlight w:val="none"/>
          <w:lang w:val="zh-CN" w:eastAsia="en-US"/>
        </w:rPr>
        <w:drawing>
          <wp:inline distT="0" distB="0" distL="114300" distR="114300">
            <wp:extent cx="5122545" cy="3409950"/>
            <wp:effectExtent l="0" t="0" r="1905" b="0"/>
            <wp:docPr id="9" name="图片 1" descr="IMG_1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1" descr="IMG_1042"/>
                    <pic:cNvPicPr>
                      <a:picLocks noChangeAspect="1"/>
                    </pic:cNvPicPr>
                  </pic:nvPicPr>
                  <pic:blipFill>
                    <a:blip r:embed="rId34"/>
                    <a:stretch>
                      <a:fillRect/>
                    </a:stretch>
                  </pic:blipFill>
                  <pic:spPr>
                    <a:xfrm>
                      <a:off x="0" y="0"/>
                      <a:ext cx="5122545" cy="3409950"/>
                    </a:xfrm>
                    <a:prstGeom prst="rect">
                      <a:avLst/>
                    </a:prstGeom>
                    <a:noFill/>
                    <a:ln>
                      <a:noFill/>
                    </a:ln>
                  </pic:spPr>
                </pic:pic>
              </a:graphicData>
            </a:graphic>
          </wp:inline>
        </w:drawing>
      </w:r>
    </w:p>
    <w:p>
      <w:pPr>
        <w:pStyle w:val="33"/>
        <w:rPr>
          <w:rFonts w:hint="eastAsia" w:eastAsia="宋体"/>
          <w:highlight w:val="none"/>
          <w:lang w:val="en-US" w:eastAsia="zh-CN"/>
        </w:rPr>
      </w:pPr>
      <w:r>
        <w:rPr>
          <w:rFonts w:hint="eastAsia" w:ascii="黑体" w:hAnsi="黑体" w:eastAsia="黑体" w:cs="黑体"/>
          <w:kern w:val="0"/>
          <w:sz w:val="21"/>
          <w:szCs w:val="21"/>
          <w:highlight w:val="none"/>
          <w:lang w:val="en-US" w:eastAsia="zh-CN"/>
        </w:rPr>
        <w:t>图4-</w:t>
      </w:r>
      <w:r>
        <w:rPr>
          <w:rFonts w:hint="eastAsia" w:ascii="黑体" w:hAnsi="黑体" w:cs="黑体"/>
          <w:kern w:val="0"/>
          <w:sz w:val="21"/>
          <w:szCs w:val="21"/>
          <w:highlight w:val="none"/>
          <w:lang w:val="en-US" w:eastAsia="zh-CN"/>
        </w:rPr>
        <w:t>18</w:t>
      </w:r>
      <w:r>
        <w:rPr>
          <w:szCs w:val="24"/>
          <w:highlight w:val="none"/>
        </w:rPr>
        <w:t>尿素站</w:t>
      </w:r>
      <w:r>
        <w:rPr>
          <w:rFonts w:hint="eastAsia" w:eastAsia="宋体"/>
          <w:highlight w:val="none"/>
          <w:lang w:val="en-US" w:eastAsia="zh-CN"/>
        </w:rPr>
        <w:drawing>
          <wp:inline distT="0" distB="0" distL="114300" distR="114300">
            <wp:extent cx="5060315" cy="3796030"/>
            <wp:effectExtent l="0" t="0" r="6985" b="13970"/>
            <wp:docPr id="10" name="图片 2" descr="IMG_1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1044"/>
                    <pic:cNvPicPr>
                      <a:picLocks noChangeAspect="1"/>
                    </pic:cNvPicPr>
                  </pic:nvPicPr>
                  <pic:blipFill>
                    <a:blip r:embed="rId35"/>
                    <a:stretch>
                      <a:fillRect/>
                    </a:stretch>
                  </pic:blipFill>
                  <pic:spPr>
                    <a:xfrm>
                      <a:off x="0" y="0"/>
                      <a:ext cx="5060315" cy="3796030"/>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val="0"/>
        <w:spacing w:after="0" w:line="360" w:lineRule="auto"/>
        <w:ind w:firstLine="0" w:firstLineChars="0"/>
        <w:jc w:val="center"/>
        <w:textAlignment w:val="auto"/>
        <w:rPr>
          <w:highlight w:val="none"/>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19</w:t>
      </w:r>
      <w:r>
        <w:rPr>
          <w:szCs w:val="24"/>
          <w:highlight w:val="none"/>
        </w:rPr>
        <w:t>尿素溶液储存罐</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rFonts w:hint="eastAsia" w:ascii="Times New Roman" w:hAnsi="Times New Roman" w:eastAsia="宋体" w:cs="Times New Roman"/>
          <w:highlight w:val="none"/>
          <w:lang w:val="zh-CN" w:eastAsia="zh-CN"/>
        </w:rPr>
      </w:pPr>
      <w:r>
        <w:rPr>
          <w:rFonts w:hint="eastAsia"/>
          <w:highlight w:val="none"/>
          <w:lang w:val="en-US" w:eastAsia="zh-CN"/>
        </w:rPr>
        <w:t>（3）</w:t>
      </w:r>
      <w:r>
        <w:rPr>
          <w:rFonts w:hint="eastAsia" w:ascii="Times New Roman" w:hAnsi="Times New Roman" w:eastAsia="宋体" w:cs="Times New Roman"/>
          <w:highlight w:val="none"/>
          <w:lang w:val="zh-CN" w:eastAsia="zh-CN"/>
        </w:rPr>
        <w:t>氨喷射系统</w:t>
      </w:r>
    </w:p>
    <w:p>
      <w:pPr>
        <w:ind w:firstLine="480"/>
        <w:rPr>
          <w:kern w:val="0"/>
          <w:szCs w:val="24"/>
          <w:highlight w:val="none"/>
          <w:lang w:val="zh-CN"/>
        </w:rPr>
      </w:pPr>
      <w:r>
        <w:rPr>
          <w:kern w:val="0"/>
          <w:szCs w:val="24"/>
          <w:highlight w:val="none"/>
          <w:lang w:val="zh-CN"/>
        </w:rPr>
        <w:t>氨喷射系统包括氨气喷雾器、氨气空气混合器、稀释空气风机等。</w:t>
      </w:r>
    </w:p>
    <w:p>
      <w:pPr>
        <w:ind w:firstLine="480"/>
        <w:rPr>
          <w:highlight w:val="none"/>
        </w:rPr>
      </w:pPr>
      <w:r>
        <w:rPr>
          <w:highlight w:val="none"/>
        </w:rPr>
        <w:t>氨气（NH</w:t>
      </w:r>
      <w:r>
        <w:rPr>
          <w:highlight w:val="none"/>
          <w:vertAlign w:val="subscript"/>
        </w:rPr>
        <w:t>3</w:t>
      </w:r>
      <w:r>
        <w:rPr>
          <w:highlight w:val="none"/>
        </w:rPr>
        <w:t>）在氨气空气混合器中通过与热空气混合并稀释后进入烟道氨气喷雾器组。氨气喷雾器组呈网格型布置在整个烟道中，通过喷雾器把氨气空气混合物均匀地喷射到烟气中，使NH</w:t>
      </w:r>
      <w:r>
        <w:rPr>
          <w:highlight w:val="none"/>
          <w:vertAlign w:val="subscript"/>
        </w:rPr>
        <w:t>3</w:t>
      </w:r>
      <w:r>
        <w:rPr>
          <w:highlight w:val="none"/>
        </w:rPr>
        <w:t>与烟气均匀混合。</w:t>
      </w:r>
    </w:p>
    <w:p>
      <w:pPr>
        <w:pStyle w:val="33"/>
        <w:rPr>
          <w:rFonts w:hint="eastAsia" w:eastAsia="宋体"/>
          <w:highlight w:val="none"/>
          <w:lang w:eastAsia="zh-CN"/>
        </w:rPr>
      </w:pPr>
      <w:r>
        <w:rPr>
          <w:highlight w:val="none"/>
        </w:rPr>
        <w:drawing>
          <wp:inline distT="0" distB="0" distL="114300" distR="114300">
            <wp:extent cx="2519680" cy="1889760"/>
            <wp:effectExtent l="0" t="0" r="7620" b="2540"/>
            <wp:docPr id="15" name="图片 3" descr="IMG_1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3" descr="IMG_1051"/>
                    <pic:cNvPicPr>
                      <a:picLocks noChangeAspect="1"/>
                    </pic:cNvPicPr>
                  </pic:nvPicPr>
                  <pic:blipFill>
                    <a:blip r:embed="rId36"/>
                    <a:stretch>
                      <a:fillRect/>
                    </a:stretch>
                  </pic:blipFill>
                  <pic:spPr>
                    <a:xfrm>
                      <a:off x="0" y="0"/>
                      <a:ext cx="2519680" cy="1889760"/>
                    </a:xfrm>
                    <a:prstGeom prst="rect">
                      <a:avLst/>
                    </a:prstGeom>
                    <a:noFill/>
                    <a:ln>
                      <a:noFill/>
                    </a:ln>
                  </pic:spPr>
                </pic:pic>
              </a:graphicData>
            </a:graphic>
          </wp:inline>
        </w:drawing>
      </w:r>
      <w:r>
        <w:rPr>
          <w:rFonts w:hint="eastAsia" w:eastAsia="宋体"/>
          <w:highlight w:val="none"/>
          <w:lang w:eastAsia="zh-CN"/>
        </w:rPr>
        <w:drawing>
          <wp:inline distT="0" distB="0" distL="114300" distR="114300">
            <wp:extent cx="2519680" cy="1889760"/>
            <wp:effectExtent l="0" t="0" r="7620" b="2540"/>
            <wp:docPr id="14" name="图片 4" descr="IMG_10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4" descr="IMG_1049"/>
                    <pic:cNvPicPr>
                      <a:picLocks noChangeAspect="1"/>
                    </pic:cNvPicPr>
                  </pic:nvPicPr>
                  <pic:blipFill>
                    <a:blip r:embed="rId37"/>
                    <a:stretch>
                      <a:fillRect/>
                    </a:stretch>
                  </pic:blipFill>
                  <pic:spPr>
                    <a:xfrm>
                      <a:off x="0" y="0"/>
                      <a:ext cx="2519680" cy="1889760"/>
                    </a:xfrm>
                    <a:prstGeom prst="rect">
                      <a:avLst/>
                    </a:prstGeom>
                    <a:noFill/>
                    <a:ln>
                      <a:noFill/>
                    </a:ln>
                  </pic:spPr>
                </pic:pic>
              </a:graphicData>
            </a:graphic>
          </wp:inline>
        </w:drawing>
      </w:r>
    </w:p>
    <w:p>
      <w:pPr>
        <w:pStyle w:val="34"/>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default" w:eastAsia="黑体"/>
          <w:highlight w:val="none"/>
          <w:lang w:val="en-US" w:eastAsia="zh-CN"/>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20</w:t>
      </w:r>
      <w:r>
        <w:rPr>
          <w:rFonts w:hint="eastAsia"/>
          <w:highlight w:val="none"/>
          <w:lang w:val="en-US" w:eastAsia="zh-CN"/>
        </w:rPr>
        <w:t>热解炉和脱硝计量分装装置</w:t>
      </w:r>
    </w:p>
    <w:p>
      <w:pPr>
        <w:keepNext/>
        <w:keepLines/>
        <w:pageBreakBefore w:val="0"/>
        <w:widowControl w:val="0"/>
        <w:kinsoku/>
        <w:wordWrap/>
        <w:overflowPunct/>
        <w:topLinePunct w:val="0"/>
        <w:autoSpaceDE/>
        <w:autoSpaceDN/>
        <w:bidi w:val="0"/>
        <w:adjustRightInd/>
        <w:snapToGrid/>
        <w:ind w:firstLine="0" w:firstLineChars="0"/>
        <w:textAlignment w:val="auto"/>
        <w:outlineLvl w:val="9"/>
        <w:rPr>
          <w:rFonts w:hint="eastAsia" w:ascii="Times New Roman" w:hAnsi="Times New Roman" w:eastAsia="宋体" w:cs="Times New Roman"/>
          <w:highlight w:val="none"/>
          <w:lang w:val="en-US" w:eastAsia="zh-CN"/>
        </w:rPr>
      </w:pPr>
      <w:r>
        <w:rPr>
          <w:rFonts w:hint="eastAsia"/>
          <w:highlight w:val="none"/>
          <w:lang w:val="en-US" w:eastAsia="zh-CN"/>
        </w:rPr>
        <w:t>（4）</w:t>
      </w:r>
      <w:r>
        <w:rPr>
          <w:rFonts w:hint="eastAsia" w:ascii="Times New Roman" w:hAnsi="Times New Roman" w:eastAsia="宋体" w:cs="Times New Roman"/>
          <w:highlight w:val="none"/>
          <w:lang w:val="zh-CN" w:eastAsia="zh-CN"/>
        </w:rPr>
        <w:t>氨</w:t>
      </w:r>
      <w:r>
        <w:rPr>
          <w:rFonts w:hint="eastAsia" w:ascii="Times New Roman" w:hAnsi="Times New Roman" w:eastAsia="宋体" w:cs="Times New Roman"/>
          <w:highlight w:val="none"/>
          <w:lang w:val="en-US" w:eastAsia="zh-CN"/>
        </w:rPr>
        <w:t>逃逸在线监测系统</w:t>
      </w:r>
    </w:p>
    <w:p>
      <w:pPr>
        <w:ind w:firstLine="480"/>
        <w:rPr>
          <w:highlight w:val="red"/>
        </w:rPr>
      </w:pPr>
      <w:r>
        <w:rPr>
          <w:highlight w:val="none"/>
        </w:rPr>
        <w:t>平山电厂</w:t>
      </w:r>
      <w:r>
        <w:rPr>
          <w:rFonts w:hint="eastAsia"/>
          <w:highlight w:val="none"/>
          <w:lang w:val="en-US" w:eastAsia="zh-CN"/>
        </w:rPr>
        <w:t>二</w:t>
      </w:r>
      <w:r>
        <w:rPr>
          <w:highlight w:val="none"/>
        </w:rPr>
        <w:t>期工程为每套反应器配</w:t>
      </w:r>
      <w:r>
        <w:rPr>
          <w:rFonts w:hint="eastAsia"/>
          <w:highlight w:val="none"/>
          <w:lang w:val="en-US" w:eastAsia="zh-CN"/>
        </w:rPr>
        <w:t>1</w:t>
      </w:r>
      <w:r>
        <w:rPr>
          <w:highlight w:val="none"/>
        </w:rPr>
        <w:t>套氨逃逸在线监测系统。</w:t>
      </w:r>
    </w:p>
    <w:p>
      <w:pPr>
        <w:pStyle w:val="33"/>
        <w:spacing w:line="360" w:lineRule="auto"/>
        <w:rPr>
          <w:rFonts w:hint="eastAsia" w:eastAsia="宋体"/>
          <w:highlight w:val="none"/>
          <w:lang w:val="en-US" w:eastAsia="zh-CN"/>
        </w:rPr>
      </w:pPr>
      <w:r>
        <w:rPr>
          <w:highlight w:val="none"/>
        </w:rPr>
        <w:drawing>
          <wp:inline distT="0" distB="0" distL="114300" distR="114300">
            <wp:extent cx="5154930" cy="3866515"/>
            <wp:effectExtent l="0" t="0" r="1270" b="6985"/>
            <wp:docPr id="12" name="图片 5" descr="IMG_10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descr="IMG_1053"/>
                    <pic:cNvPicPr>
                      <a:picLocks noChangeAspect="1"/>
                    </pic:cNvPicPr>
                  </pic:nvPicPr>
                  <pic:blipFill>
                    <a:blip r:embed="rId38"/>
                    <a:stretch>
                      <a:fillRect/>
                    </a:stretch>
                  </pic:blipFill>
                  <pic:spPr>
                    <a:xfrm>
                      <a:off x="0" y="0"/>
                      <a:ext cx="5154930" cy="3866515"/>
                    </a:xfrm>
                    <a:prstGeom prst="rect">
                      <a:avLst/>
                    </a:prstGeom>
                    <a:noFill/>
                    <a:ln>
                      <a:noFill/>
                    </a:ln>
                  </pic:spPr>
                </pic:pic>
              </a:graphicData>
            </a:graphic>
          </wp:inline>
        </w:drawing>
      </w:r>
      <w:r>
        <w:rPr>
          <w:rFonts w:hint="eastAsia" w:eastAsia="宋体"/>
          <w:highlight w:val="none"/>
          <w:lang w:val="en-US" w:eastAsia="zh-CN"/>
        </w:rPr>
        <w:drawing>
          <wp:inline distT="0" distB="0" distL="114300" distR="114300">
            <wp:extent cx="5111750" cy="3834130"/>
            <wp:effectExtent l="0" t="0" r="6350" b="1270"/>
            <wp:docPr id="11" name="图片 6" descr="IMG_10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descr="IMG_1047"/>
                    <pic:cNvPicPr>
                      <a:picLocks noChangeAspect="1"/>
                    </pic:cNvPicPr>
                  </pic:nvPicPr>
                  <pic:blipFill>
                    <a:blip r:embed="rId39"/>
                    <a:stretch>
                      <a:fillRect/>
                    </a:stretch>
                  </pic:blipFill>
                  <pic:spPr>
                    <a:xfrm>
                      <a:off x="0" y="0"/>
                      <a:ext cx="5111750" cy="3834130"/>
                    </a:xfrm>
                    <a:prstGeom prst="rect">
                      <a:avLst/>
                    </a:prstGeom>
                    <a:noFill/>
                    <a:ln>
                      <a:noFill/>
                    </a:ln>
                  </pic:spPr>
                </pic:pic>
              </a:graphicData>
            </a:graphic>
          </wp:inline>
        </w:drawing>
      </w:r>
    </w:p>
    <w:p>
      <w:pPr>
        <w:pStyle w:val="34"/>
        <w:spacing w:line="360" w:lineRule="auto"/>
        <w:jc w:val="center"/>
        <w:rPr>
          <w:highlight w:val="none"/>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21</w:t>
      </w:r>
      <w:r>
        <w:rPr>
          <w:highlight w:val="none"/>
        </w:rPr>
        <w:t>氨逃逸在线监测系统</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cs="Times New Roman"/>
          <w:color w:val="auto"/>
          <w:highlight w:val="none"/>
          <w:lang w:val="en-US" w:eastAsia="zh-CN"/>
        </w:rPr>
      </w:pPr>
      <w:bookmarkStart w:id="56" w:name="_Toc11908"/>
      <w:r>
        <w:rPr>
          <w:rFonts w:hint="eastAsia" w:cs="Times New Roman"/>
          <w:color w:val="auto"/>
          <w:highlight w:val="none"/>
          <w:lang w:val="en-US" w:eastAsia="zh-CN"/>
        </w:rPr>
        <w:t>4.1.3噪声</w:t>
      </w:r>
      <w:bookmarkEnd w:id="56"/>
    </w:p>
    <w:p>
      <w:pPr>
        <w:keepNext w:val="0"/>
        <w:keepLines w:val="0"/>
        <w:widowControl/>
        <w:suppressLineNumbers w:val="0"/>
        <w:jc w:val="left"/>
        <w:rPr>
          <w:color w:val="000000" w:themeColor="text1"/>
          <w14:textFill>
            <w14:solidFill>
              <w14:schemeClr w14:val="tx1"/>
            </w14:solidFill>
          </w14:textFill>
        </w:rPr>
      </w:pPr>
      <w:r>
        <w:rPr>
          <w:rFonts w:hint="eastAsia" w:ascii="宋体" w:hAnsi="宋体" w:eastAsia="宋体" w:cs="宋体"/>
          <w:color w:val="000000"/>
          <w:kern w:val="0"/>
          <w:sz w:val="24"/>
          <w:szCs w:val="24"/>
          <w:lang w:val="en-US" w:eastAsia="zh-CN" w:bidi="ar"/>
        </w:rPr>
        <w:t>电厂主要噪声源为设备噪声和排汽噪声，噪声防治主要采取优化总平面布置、隔声、消声等措施。</w:t>
      </w:r>
      <w:r>
        <w:rPr>
          <w:rFonts w:hint="eastAsia"/>
        </w:rPr>
        <w:t>与供货单位签订合同时</w:t>
      </w:r>
      <w:r>
        <w:t>优先选用</w:t>
      </w:r>
      <w:r>
        <w:rPr>
          <w:rFonts w:hint="eastAsia"/>
        </w:rPr>
        <w:t>了</w:t>
      </w:r>
      <w:r>
        <w:t>低噪设备；高噪设备布置于室内；受噪声影响较大的车间工作场所设隔声门窗；在风机等振动设备基础上安装减振垫；在送风机吸风口安装复合片式消声器；烟道和风机、烟道与烟道连接处采取软连接；锅炉排汽阀配备高效排汽消声器</w:t>
      </w:r>
      <w:r>
        <w:rPr>
          <w:color w:val="000000" w:themeColor="text1"/>
          <w14:textFill>
            <w14:solidFill>
              <w14:schemeClr w14:val="tx1"/>
            </w14:solidFill>
          </w14:textFill>
        </w:rPr>
        <w:t>；在冷却塔周围靠近厂界一侧设置高</w:t>
      </w:r>
      <w:r>
        <w:rPr>
          <w:rFonts w:hint="eastAsia"/>
          <w:color w:val="000000" w:themeColor="text1"/>
          <w:lang w:val="en-US" w:eastAsia="zh-CN"/>
          <w14:textFill>
            <w14:solidFill>
              <w14:schemeClr w14:val="tx1"/>
            </w14:solidFill>
          </w14:textFill>
        </w:rPr>
        <w:t>8.5</w:t>
      </w:r>
      <w:r>
        <w:rPr>
          <w:color w:val="000000" w:themeColor="text1"/>
          <w14:textFill>
            <w14:solidFill>
              <w14:schemeClr w14:val="tx1"/>
            </w14:solidFill>
          </w14:textFill>
        </w:rPr>
        <w:t>m，长度约为</w:t>
      </w:r>
      <w:r>
        <w:rPr>
          <w:rFonts w:hint="eastAsia"/>
          <w:color w:val="000000" w:themeColor="text1"/>
          <w:lang w:val="en-US" w:eastAsia="zh-CN"/>
          <w14:textFill>
            <w14:solidFill>
              <w14:schemeClr w14:val="tx1"/>
            </w14:solidFill>
          </w14:textFill>
        </w:rPr>
        <w:t>162.4</w:t>
      </w:r>
      <w:r>
        <w:rPr>
          <w:color w:val="000000" w:themeColor="text1"/>
          <w14:textFill>
            <w14:solidFill>
              <w14:schemeClr w14:val="tx1"/>
            </w14:solidFill>
          </w14:textFill>
        </w:rPr>
        <w:t>m的隔声屏障。</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cs="Times New Roman"/>
          <w:color w:val="auto"/>
          <w:highlight w:val="none"/>
          <w:lang w:val="en-US" w:eastAsia="zh-CN"/>
        </w:rPr>
      </w:pPr>
      <w:bookmarkStart w:id="57" w:name="_Toc22526"/>
      <w:r>
        <w:rPr>
          <w:rFonts w:hint="eastAsia" w:cs="Times New Roman"/>
          <w:color w:val="auto"/>
          <w:highlight w:val="none"/>
          <w:lang w:val="en-US" w:eastAsia="zh-CN"/>
        </w:rPr>
        <w:t>4.1.4固废</w:t>
      </w:r>
      <w:bookmarkEnd w:id="57"/>
    </w:p>
    <w:p>
      <w:pPr>
        <w:ind w:firstLine="480"/>
        <w:rPr>
          <w:color w:val="auto"/>
          <w:szCs w:val="24"/>
        </w:rPr>
      </w:pPr>
      <w:r>
        <w:rPr>
          <w:color w:val="auto"/>
          <w:szCs w:val="24"/>
        </w:rPr>
        <w:t>项目运行产生的灰、渣及脱硫石膏等固体废物由</w:t>
      </w:r>
      <w:r>
        <w:rPr>
          <w:rFonts w:hint="eastAsia" w:ascii="Times New Roman" w:hAnsi="Times New Roman"/>
          <w:b w:val="0"/>
          <w:bCs/>
          <w:color w:val="auto"/>
          <w:lang w:val="en-US" w:eastAsia="zh-CN"/>
        </w:rPr>
        <w:t>淮北中湖商贸有限责任公司</w:t>
      </w:r>
      <w:r>
        <w:rPr>
          <w:rFonts w:hint="eastAsia"/>
          <w:b w:val="0"/>
          <w:bCs/>
          <w:color w:val="auto"/>
          <w:lang w:val="en-US" w:eastAsia="zh-CN"/>
        </w:rPr>
        <w:t>、</w:t>
      </w:r>
      <w:r>
        <w:rPr>
          <w:rFonts w:hint="eastAsia" w:ascii="Times New Roman" w:hAnsi="Times New Roman"/>
          <w:b w:val="0"/>
          <w:bCs/>
          <w:color w:val="auto"/>
          <w:lang w:val="en-US" w:eastAsia="zh-CN"/>
        </w:rPr>
        <w:t>淮北平哲商贸有限责任公司</w:t>
      </w:r>
      <w:r>
        <w:rPr>
          <w:rFonts w:hint="eastAsia"/>
          <w:b w:val="0"/>
          <w:bCs/>
          <w:color w:val="auto"/>
          <w:lang w:val="en-US" w:eastAsia="zh-CN"/>
        </w:rPr>
        <w:t>及</w:t>
      </w:r>
      <w:r>
        <w:rPr>
          <w:rFonts w:hint="eastAsia"/>
          <w:color w:val="auto"/>
          <w:lang w:val="en-US" w:eastAsia="zh-CN"/>
        </w:rPr>
        <w:t>淮北宏欧贸易有限公司</w:t>
      </w:r>
      <w:r>
        <w:rPr>
          <w:color w:val="auto"/>
          <w:szCs w:val="24"/>
        </w:rPr>
        <w:t>负责全部综合利用，当灰、渣综合利用不畅时，</w:t>
      </w:r>
      <w:r>
        <w:rPr>
          <w:rFonts w:hint="eastAsia"/>
          <w:color w:val="auto"/>
          <w:szCs w:val="24"/>
          <w:lang w:val="en-US" w:eastAsia="zh-CN"/>
        </w:rPr>
        <w:t>转运至平山电厂一期</w:t>
      </w:r>
      <w:r>
        <w:rPr>
          <w:color w:val="auto"/>
          <w:szCs w:val="24"/>
        </w:rPr>
        <w:t>工程配套的水冲子灰场</w:t>
      </w:r>
      <w:r>
        <w:rPr>
          <w:rFonts w:hint="eastAsia"/>
          <w:color w:val="auto"/>
          <w:szCs w:val="24"/>
          <w:lang w:val="en-US" w:eastAsia="zh-CN"/>
        </w:rPr>
        <w:t>暂存</w:t>
      </w:r>
      <w:r>
        <w:rPr>
          <w:color w:val="auto"/>
          <w:szCs w:val="24"/>
        </w:rPr>
        <w:t>。</w:t>
      </w:r>
    </w:p>
    <w:p>
      <w:pPr>
        <w:pStyle w:val="8"/>
        <w:rPr>
          <w:rFonts w:hint="default"/>
          <w:color w:val="auto"/>
          <w:lang w:val="en-US"/>
        </w:rPr>
      </w:pPr>
      <w:r>
        <w:rPr>
          <w:color w:val="auto"/>
          <w:szCs w:val="24"/>
        </w:rPr>
        <w:t>脱硝催化剂更换周期约为5-6年</w:t>
      </w:r>
      <w:r>
        <w:rPr>
          <w:rFonts w:hint="eastAsia"/>
          <w:color w:val="auto"/>
          <w:szCs w:val="24"/>
          <w:lang w:eastAsia="zh-CN"/>
        </w:rPr>
        <w:t>，</w:t>
      </w:r>
      <w:r>
        <w:rPr>
          <w:color w:val="auto"/>
          <w:szCs w:val="24"/>
        </w:rPr>
        <w:t>一次产生量约245t/次</w:t>
      </w:r>
      <w:r>
        <w:rPr>
          <w:rFonts w:hint="eastAsia"/>
          <w:color w:val="auto"/>
          <w:szCs w:val="24"/>
          <w:lang w:val="en-US" w:eastAsia="zh-CN"/>
        </w:rPr>
        <w:t>，</w:t>
      </w:r>
      <w:r>
        <w:rPr>
          <w:color w:val="auto"/>
          <w:szCs w:val="24"/>
        </w:rPr>
        <w:t>废催化剂作危险废物管理</w:t>
      </w:r>
      <w:r>
        <w:rPr>
          <w:rFonts w:hint="eastAsia"/>
          <w:color w:val="auto"/>
          <w:szCs w:val="24"/>
          <w:lang w:eastAsia="zh-CN"/>
        </w:rPr>
        <w:t>，</w:t>
      </w:r>
      <w:r>
        <w:rPr>
          <w:rFonts w:hint="eastAsia"/>
          <w:color w:val="auto"/>
          <w:szCs w:val="24"/>
          <w:lang w:val="en-US" w:eastAsia="zh-CN"/>
        </w:rPr>
        <w:t>目前项目暂无废催化剂产生。厂内设置危废暂存间，用于存放日常产生危险废物。</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58" w:name="_Toc5821"/>
      <w:r>
        <w:rPr>
          <w:rFonts w:hint="eastAsia" w:ascii="Times New Roman" w:hAnsi="Times New Roman" w:eastAsia="宋体" w:cs="Times New Roman"/>
          <w:color w:val="auto"/>
          <w:highlight w:val="none"/>
          <w:lang w:val="en-US" w:eastAsia="zh-CN"/>
        </w:rPr>
        <w:t>4.</w:t>
      </w:r>
      <w:r>
        <w:rPr>
          <w:rFonts w:hint="eastAsia" w:ascii="Times New Roman" w:hAnsi="Times New Roman" w:cs="Times New Roman"/>
          <w:color w:val="auto"/>
          <w:highlight w:val="none"/>
          <w:lang w:val="en-US" w:eastAsia="zh-CN"/>
        </w:rPr>
        <w:t>2其他环境保护设施</w:t>
      </w:r>
      <w:bookmarkEnd w:id="58"/>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ascii="Times New Roman" w:hAnsi="Times New Roman" w:eastAsia="宋体" w:cs="Times New Roman"/>
          <w:color w:val="auto"/>
          <w:highlight w:val="none"/>
          <w:lang w:val="en-US" w:eastAsia="zh-CN"/>
        </w:rPr>
      </w:pPr>
      <w:bookmarkStart w:id="59" w:name="_Toc10733"/>
      <w:r>
        <w:rPr>
          <w:rFonts w:hint="eastAsia" w:ascii="Times New Roman" w:hAnsi="Times New Roman" w:eastAsia="宋体" w:cs="Times New Roman"/>
          <w:color w:val="auto"/>
          <w:highlight w:val="none"/>
          <w:lang w:val="en-US" w:eastAsia="zh-CN"/>
        </w:rPr>
        <w:t>4.2.1厂区地下水保护措施要求</w:t>
      </w:r>
      <w:bookmarkEnd w:id="59"/>
    </w:p>
    <w:p>
      <w:pPr>
        <w:pStyle w:val="8"/>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default" w:ascii="Times New Roman" w:hAnsi="Times New Roman" w:eastAsia="宋体" w:cs="Times New Roman"/>
          <w:kern w:val="2"/>
          <w:sz w:val="24"/>
          <w:szCs w:val="24"/>
          <w:lang w:val="en-US" w:eastAsia="zh-CN" w:bidi="ar-SA"/>
        </w:rPr>
      </w:pPr>
      <w:r>
        <w:rPr>
          <w:rFonts w:hint="eastAsia" w:ascii="Times New Roman" w:hAnsi="Times New Roman" w:eastAsia="宋体" w:cs="Times New Roman"/>
          <w:kern w:val="2"/>
          <w:sz w:val="24"/>
          <w:szCs w:val="24"/>
          <w:lang w:val="en-US" w:eastAsia="zh-CN" w:bidi="ar-SA"/>
        </w:rPr>
        <w:t>项目采用分区防渗：危险废物暂存库，渗透系数小于10</w:t>
      </w:r>
      <w:r>
        <w:rPr>
          <w:rFonts w:hint="eastAsia" w:ascii="Times New Roman" w:hAnsi="Times New Roman" w:eastAsia="宋体" w:cs="Times New Roman"/>
          <w:kern w:val="2"/>
          <w:sz w:val="24"/>
          <w:szCs w:val="24"/>
          <w:vertAlign w:val="superscript"/>
          <w:lang w:val="en-US" w:eastAsia="zh-CN" w:bidi="ar-SA"/>
        </w:rPr>
        <w:t>-10</w:t>
      </w:r>
      <w:r>
        <w:rPr>
          <w:rFonts w:hint="eastAsia" w:ascii="Times New Roman" w:hAnsi="Times New Roman" w:eastAsia="宋体" w:cs="Times New Roman"/>
          <w:kern w:val="2"/>
          <w:sz w:val="24"/>
          <w:szCs w:val="24"/>
          <w:lang w:val="en-US" w:eastAsia="zh-CN" w:bidi="ar-SA"/>
        </w:rPr>
        <w:t>cm/s；一般防渗区，如石膏脱水车间、煤场、灰库、原水石灰处理系统、化水车间等区域渗透系数小于1×10</w:t>
      </w:r>
      <w:r>
        <w:rPr>
          <w:rFonts w:hint="eastAsia" w:ascii="Times New Roman" w:hAnsi="Times New Roman" w:eastAsia="宋体" w:cs="Times New Roman"/>
          <w:kern w:val="2"/>
          <w:sz w:val="24"/>
          <w:szCs w:val="24"/>
          <w:vertAlign w:val="superscript"/>
          <w:lang w:val="en-US" w:eastAsia="zh-CN" w:bidi="ar-SA"/>
        </w:rPr>
        <w:t>-7</w:t>
      </w:r>
      <w:r>
        <w:rPr>
          <w:rFonts w:hint="eastAsia" w:ascii="Times New Roman" w:hAnsi="Times New Roman" w:eastAsia="宋体" w:cs="Times New Roman"/>
          <w:kern w:val="2"/>
          <w:sz w:val="24"/>
          <w:szCs w:val="24"/>
          <w:lang w:val="en-US" w:eastAsia="zh-CN" w:bidi="ar-SA"/>
        </w:rPr>
        <w:t>cm/s。</w:t>
      </w:r>
      <w:r>
        <w:rPr>
          <w:rFonts w:hint="eastAsia" w:cs="Times New Roman"/>
          <w:kern w:val="2"/>
          <w:sz w:val="24"/>
          <w:szCs w:val="24"/>
          <w:lang w:val="en-US" w:eastAsia="zh-CN" w:bidi="ar-SA"/>
        </w:rPr>
        <w:t>施工期间环境监理全程参与。</w:t>
      </w:r>
      <w:r>
        <w:rPr>
          <w:rFonts w:hint="eastAsia" w:ascii="Times New Roman" w:hAnsi="Times New Roman" w:eastAsia="宋体" w:cs="Times New Roman"/>
          <w:kern w:val="2"/>
          <w:sz w:val="24"/>
          <w:szCs w:val="24"/>
          <w:lang w:val="en-US" w:eastAsia="zh-CN" w:bidi="ar-SA"/>
        </w:rPr>
        <w:t>具体落实情况见表4-4和图4-22。</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outlineLvl w:val="9"/>
        <w:rPr>
          <w:rFonts w:hint="eastAsia" w:ascii="Times New Roman" w:hAnsi="Times New Roman" w:eastAsia="黑体" w:cs="Times New Roman"/>
          <w:color w:val="000000"/>
          <w:sz w:val="21"/>
          <w:szCs w:val="21"/>
          <w:lang w:val="en-US" w:eastAsia="zh-CN"/>
        </w:rPr>
      </w:pPr>
      <w:bookmarkStart w:id="60" w:name="_Toc27869"/>
      <w:r>
        <w:rPr>
          <w:rFonts w:hint="eastAsia" w:ascii="Times New Roman" w:hAnsi="Times New Roman" w:eastAsia="黑体" w:cs="Times New Roman"/>
          <w:color w:val="000000"/>
          <w:sz w:val="21"/>
          <w:szCs w:val="21"/>
          <w:lang w:val="en-US" w:eastAsia="zh-CN"/>
        </w:rPr>
        <w:t>表4-4-地下水保护措施落实情况</w:t>
      </w:r>
      <w:bookmarkEnd w:id="60"/>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0"/>
        <w:gridCol w:w="539"/>
        <w:gridCol w:w="1111"/>
        <w:gridCol w:w="3099"/>
        <w:gridCol w:w="31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sz w:val="21"/>
                <w:szCs w:val="21"/>
              </w:rPr>
            </w:pPr>
            <w:r>
              <w:rPr>
                <w:rFonts w:ascii="Times New Roman" w:hAnsi="Times New Roman" w:cs="Times New Roman"/>
                <w:b/>
                <w:sz w:val="21"/>
                <w:szCs w:val="21"/>
              </w:rPr>
              <w:t>防渗级别</w:t>
            </w:r>
          </w:p>
        </w:tc>
        <w:tc>
          <w:tcPr>
            <w:tcW w:w="9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sz w:val="21"/>
                <w:szCs w:val="21"/>
              </w:rPr>
            </w:pPr>
            <w:r>
              <w:rPr>
                <w:rFonts w:ascii="Times New Roman" w:hAnsi="Times New Roman" w:cs="Times New Roman"/>
                <w:b/>
                <w:sz w:val="21"/>
                <w:szCs w:val="21"/>
              </w:rPr>
              <w:t>防渗区域</w:t>
            </w:r>
          </w:p>
        </w:tc>
        <w:tc>
          <w:tcPr>
            <w:tcW w:w="18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sz w:val="21"/>
                <w:szCs w:val="21"/>
              </w:rPr>
            </w:pPr>
            <w:r>
              <w:rPr>
                <w:rFonts w:hint="eastAsia" w:eastAsia="宋体"/>
                <w:b/>
                <w:bCs/>
                <w:sz w:val="21"/>
                <w:szCs w:val="21"/>
                <w:lang w:val="en-US" w:eastAsia="zh-CN"/>
              </w:rPr>
              <w:t>环评</w:t>
            </w:r>
            <w:r>
              <w:rPr>
                <w:rFonts w:eastAsia="宋体"/>
                <w:b/>
                <w:bCs/>
                <w:sz w:val="21"/>
                <w:szCs w:val="21"/>
              </w:rPr>
              <w:t>防渗技术要求</w:t>
            </w: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sz w:val="21"/>
                <w:szCs w:val="21"/>
                <w:lang w:val="en-US" w:eastAsia="zh-CN"/>
              </w:rPr>
            </w:pPr>
            <w:r>
              <w:rPr>
                <w:rFonts w:hint="eastAsia" w:cs="Times New Roman"/>
                <w:b/>
                <w:bCs/>
                <w:sz w:val="21"/>
                <w:szCs w:val="21"/>
                <w:lang w:val="en-US" w:eastAsia="zh-CN"/>
              </w:rPr>
              <w:t>实际施工情况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重点防渗区</w:t>
            </w:r>
          </w:p>
        </w:tc>
        <w:tc>
          <w:tcPr>
            <w:tcW w:w="9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危险废物暂存库</w:t>
            </w:r>
          </w:p>
        </w:tc>
        <w:tc>
          <w:tcPr>
            <w:tcW w:w="18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eastAsia="宋体"/>
                <w:sz w:val="21"/>
                <w:szCs w:val="21"/>
              </w:rPr>
              <w:t>压实粘土+防渗膜进行防渗，压实粘土厚度为1m，HDPE膜的渗透系数K≤1.0×10</w:t>
            </w:r>
            <w:r>
              <w:rPr>
                <w:rFonts w:eastAsia="宋体"/>
                <w:sz w:val="21"/>
                <w:szCs w:val="21"/>
                <w:vertAlign w:val="superscript"/>
              </w:rPr>
              <w:t>-10</w:t>
            </w:r>
            <w:r>
              <w:rPr>
                <w:rFonts w:eastAsia="宋体"/>
                <w:sz w:val="21"/>
                <w:szCs w:val="21"/>
              </w:rPr>
              <w:t>cm/s。</w:t>
            </w: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sz w:val="21"/>
                <w:szCs w:val="21"/>
              </w:rPr>
            </w:pP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w:t>
            </w:r>
            <w:r>
              <w:rPr>
                <w:rFonts w:ascii="Times New Roman" w:hAnsi="Times New Roman" w:cs="Times New Roman"/>
                <w:sz w:val="21"/>
                <w:szCs w:val="21"/>
              </w:rPr>
              <w:t>+</w:t>
            </w:r>
            <w:r>
              <w:rPr>
                <w:rFonts w:hint="eastAsia" w:ascii="Times New Roman" w:hAnsi="Times New Roman" w:cs="Times New Roman"/>
                <w:sz w:val="21"/>
                <w:szCs w:val="21"/>
                <w:lang w:val="en-US" w:eastAsia="zh-CN"/>
              </w:rPr>
              <w:t>1.5mm厚HDPE膜+300mm厚混凝土+1mm厚环氧树脂地坪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一般防渗区</w:t>
            </w:r>
          </w:p>
        </w:tc>
        <w:tc>
          <w:tcPr>
            <w:tcW w:w="3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池体</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设施</w:t>
            </w: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机组排水槽及废水池</w:t>
            </w:r>
          </w:p>
        </w:tc>
        <w:tc>
          <w:tcPr>
            <w:tcW w:w="181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r>
              <w:rPr>
                <w:rFonts w:eastAsia="宋体"/>
                <w:sz w:val="21"/>
                <w:szCs w:val="21"/>
              </w:rPr>
              <w:t>钢筋混凝土防渗，厚度不小于500mm，抗渗等级不低于P6</w:t>
            </w: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b/>
                <w:bCs/>
                <w:sz w:val="21"/>
                <w:szCs w:val="21"/>
              </w:rPr>
            </w:pPr>
            <w:r>
              <w:rPr>
                <w:rFonts w:hint="eastAsia" w:ascii="Times New Roman" w:hAnsi="Times New Roman" w:cs="Times New Roman"/>
                <w:sz w:val="21"/>
                <w:szCs w:val="21"/>
              </w:rPr>
              <w:t>钢筋混凝土防渗（壁厚500mm</w:t>
            </w:r>
            <w:r>
              <w:rPr>
                <w:rFonts w:hint="eastAsia" w:ascii="Times New Roman" w:hAnsi="Times New Roman" w:cs="Times New Roman"/>
                <w:sz w:val="21"/>
                <w:szCs w:val="21"/>
                <w:lang w:eastAsia="zh-CN"/>
              </w:rPr>
              <w:t>，</w:t>
            </w:r>
            <w:r>
              <w:rPr>
                <w:rFonts w:ascii="Times New Roman" w:hAnsi="Times New Roman" w:cs="Times New Roman"/>
                <w:sz w:val="21"/>
                <w:szCs w:val="21"/>
              </w:rPr>
              <w:t>抗渗等级不低于P6</w:t>
            </w:r>
            <w:r>
              <w:rPr>
                <w:rFonts w:hint="eastAsia"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事故油池</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rPr>
              <w:t>钢筋混凝土防渗（壁厚500mm</w:t>
            </w:r>
            <w:r>
              <w:rPr>
                <w:rFonts w:hint="eastAsia" w:ascii="Times New Roman" w:hAnsi="Times New Roman" w:cs="Times New Roman"/>
                <w:sz w:val="21"/>
                <w:szCs w:val="21"/>
                <w:lang w:eastAsia="zh-CN"/>
              </w:rPr>
              <w:t>，</w:t>
            </w:r>
            <w:r>
              <w:rPr>
                <w:rFonts w:ascii="Times New Roman" w:hAnsi="Times New Roman" w:cs="Times New Roman"/>
                <w:sz w:val="21"/>
                <w:szCs w:val="21"/>
              </w:rPr>
              <w:t>抗渗等级不低于P6</w:t>
            </w:r>
            <w:r>
              <w:rPr>
                <w:rFonts w:hint="eastAsia"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煤泥沉淀池</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rPr>
              <w:t>钢筋混凝土防渗（壁厚500mm</w:t>
            </w:r>
            <w:r>
              <w:rPr>
                <w:rFonts w:hint="eastAsia" w:ascii="Times New Roman" w:hAnsi="Times New Roman" w:cs="Times New Roman"/>
                <w:sz w:val="21"/>
                <w:szCs w:val="21"/>
                <w:lang w:eastAsia="zh-CN"/>
              </w:rPr>
              <w:t>，</w:t>
            </w:r>
            <w:r>
              <w:rPr>
                <w:rFonts w:ascii="Times New Roman" w:hAnsi="Times New Roman" w:cs="Times New Roman"/>
                <w:sz w:val="21"/>
                <w:szCs w:val="21"/>
              </w:rPr>
              <w:t>抗渗等级不低于P6</w:t>
            </w:r>
            <w:r>
              <w:rPr>
                <w:rFonts w:hint="eastAsia" w:ascii="Times New Roman" w:hAnsi="Times New Roman"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地面</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设施</w:t>
            </w: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石灰石浆液制备</w:t>
            </w:r>
          </w:p>
        </w:tc>
        <w:tc>
          <w:tcPr>
            <w:tcW w:w="181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r>
              <w:rPr>
                <w:rFonts w:eastAsia="宋体"/>
                <w:sz w:val="21"/>
                <w:szCs w:val="21"/>
              </w:rPr>
              <w:t>压实粘土+防渗膜的防渗进行防渗，压实粘土厚度不小于500mm，防渗HDPE膜的渗透系数K≤1.0×10</w:t>
            </w:r>
            <w:r>
              <w:rPr>
                <w:rFonts w:eastAsia="宋体"/>
                <w:sz w:val="21"/>
                <w:szCs w:val="21"/>
                <w:vertAlign w:val="superscript"/>
              </w:rPr>
              <w:t>-7</w:t>
            </w:r>
            <w:r>
              <w:rPr>
                <w:rFonts w:eastAsia="宋体"/>
                <w:sz w:val="21"/>
                <w:szCs w:val="21"/>
              </w:rPr>
              <w:t>cm/s。</w:t>
            </w: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（1）吸收塔和设备基础采用抗渗钢筋混凝防渗</w:t>
            </w:r>
            <w:r>
              <w:rPr>
                <w:rFonts w:hint="eastAsia" w:ascii="Times New Roman" w:hAnsi="Times New Roman" w:cs="Times New Roman"/>
                <w:sz w:val="21"/>
                <w:szCs w:val="21"/>
                <w:lang w:eastAsia="zh-CN"/>
              </w:rPr>
              <w:t>；</w:t>
            </w:r>
            <w:r>
              <w:rPr>
                <w:rFonts w:ascii="Times New Roman" w:hAnsi="Times New Roman" w:cs="Times New Roman"/>
                <w:sz w:val="21"/>
                <w:szCs w:val="21"/>
              </w:rPr>
              <w:t>（2）排水沟和排水基坑采用抗渗混凝土+防腐涂料防渗；（3）脱硫吸收塔及浆液泵房周边区域地面铺设HDPE膜+抗渗混凝土防渗。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石膏脱水车间</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lang w:val="en-US" w:eastAsia="zh-CN"/>
              </w:rPr>
              <w:t>脱水间基础</w:t>
            </w: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压实+300mm厚混凝土垫层；脱水间设置1mm厚环氧树脂地坪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煤场</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rPr>
            </w:pP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w:t>
            </w:r>
            <w:r>
              <w:rPr>
                <w:rFonts w:ascii="Times New Roman" w:hAnsi="Times New Roman" w:cs="Times New Roman"/>
                <w:sz w:val="21"/>
                <w:szCs w:val="21"/>
              </w:rPr>
              <w:t>+</w:t>
            </w:r>
            <w:r>
              <w:rPr>
                <w:rFonts w:hint="eastAsia" w:ascii="Times New Roman" w:hAnsi="Times New Roman" w:cs="Times New Roman"/>
                <w:sz w:val="21"/>
                <w:szCs w:val="21"/>
                <w:lang w:val="en-US" w:eastAsia="zh-CN"/>
              </w:rPr>
              <w:t>1.5mm厚HDPE膜+300mm素土垫层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灰库</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ascii="Times New Roman" w:hAnsi="Times New Roman" w:cs="Times New Roman"/>
                <w:sz w:val="21"/>
                <w:szCs w:val="21"/>
              </w:rPr>
              <w:t>地面硬化</w:t>
            </w:r>
            <w:r>
              <w:rPr>
                <w:rFonts w:hint="eastAsia" w:ascii="Times New Roman" w:hAnsi="Times New Roman" w:cs="Times New Roman"/>
                <w:sz w:val="21"/>
                <w:szCs w:val="21"/>
              </w:rPr>
              <w:t>，地坪下</w:t>
            </w:r>
            <w:r>
              <w:rPr>
                <w:rFonts w:ascii="Times New Roman" w:hAnsi="Times New Roman" w:cs="Times New Roman"/>
                <w:sz w:val="21"/>
                <w:szCs w:val="21"/>
              </w:rPr>
              <w:t>采用压实粘土+</w:t>
            </w:r>
            <w:r>
              <w:rPr>
                <w:rFonts w:hint="eastAsia" w:ascii="Times New Roman" w:hAnsi="Times New Roman" w:cs="Times New Roman"/>
                <w:sz w:val="21"/>
                <w:szCs w:val="21"/>
                <w:lang w:val="en-US" w:eastAsia="zh-CN"/>
              </w:rPr>
              <w:t>P6抗渗混凝土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原水石灰处理系统</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处理系统车间内基础采用</w:t>
            </w: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压实+300mm厚抗渗混凝土垫层+1mm厚环氧树脂地坪，车间内设给排水沟，排水沟进行防渗处理；车间周边区域</w:t>
            </w: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w:t>
            </w:r>
            <w:r>
              <w:rPr>
                <w:rFonts w:ascii="Times New Roman" w:hAnsi="Times New Roman" w:cs="Times New Roman"/>
                <w:sz w:val="21"/>
                <w:szCs w:val="21"/>
              </w:rPr>
              <w:t>+</w:t>
            </w:r>
            <w:r>
              <w:rPr>
                <w:rFonts w:hint="eastAsia" w:ascii="Times New Roman" w:hAnsi="Times New Roman" w:cs="Times New Roman"/>
                <w:sz w:val="21"/>
                <w:szCs w:val="21"/>
                <w:lang w:val="en-US" w:eastAsia="zh-CN"/>
              </w:rPr>
              <w:t>1.5mm厚HDPE膜+300mm厚混凝土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化水车间</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rPr>
              <w:t>本期只扩建，无废水渗漏设施，排水沟已做防渗处理，地面硬化处理。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煤仓间</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rPr>
              <w:t>地坪涂防渗涂料（材料由相关专业确定）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渣仓</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设备基础采用</w:t>
            </w:r>
            <w:r>
              <w:rPr>
                <w:rFonts w:ascii="Times New Roman" w:hAnsi="Times New Roman" w:cs="Times New Roman"/>
                <w:sz w:val="21"/>
                <w:szCs w:val="21"/>
              </w:rPr>
              <w:t>抗渗钢筋混凝防渗</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抗渗混凝土等级为P6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rPr>
              <w:t>脱硫废水处理区域</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采用</w:t>
            </w:r>
            <w:r>
              <w:rPr>
                <w:rFonts w:hint="eastAsia" w:ascii="Times New Roman" w:hAnsi="Times New Roman" w:cs="Times New Roman"/>
                <w:sz w:val="21"/>
                <w:szCs w:val="21"/>
                <w:lang w:val="en-US" w:eastAsia="zh-CN"/>
              </w:rPr>
              <w:t>500mm厚</w:t>
            </w:r>
            <w:r>
              <w:rPr>
                <w:rFonts w:ascii="Times New Roman" w:hAnsi="Times New Roman" w:cs="Times New Roman"/>
                <w:sz w:val="21"/>
                <w:szCs w:val="21"/>
              </w:rPr>
              <w:t>粘土</w:t>
            </w:r>
            <w:r>
              <w:rPr>
                <w:rFonts w:hint="eastAsia" w:ascii="Times New Roman" w:hAnsi="Times New Roman" w:cs="Times New Roman"/>
                <w:sz w:val="21"/>
                <w:szCs w:val="21"/>
                <w:lang w:val="en-US" w:eastAsia="zh-CN"/>
              </w:rPr>
              <w:t>压实</w:t>
            </w:r>
            <w:r>
              <w:rPr>
                <w:rFonts w:ascii="Times New Roman" w:hAnsi="Times New Roman" w:cs="Times New Roman"/>
                <w:sz w:val="21"/>
                <w:szCs w:val="21"/>
              </w:rPr>
              <w:t>+</w:t>
            </w:r>
            <w:r>
              <w:rPr>
                <w:rFonts w:hint="eastAsia" w:ascii="Times New Roman" w:hAnsi="Times New Roman" w:cs="Times New Roman"/>
                <w:sz w:val="21"/>
                <w:szCs w:val="21"/>
                <w:lang w:val="en-US" w:eastAsia="zh-CN"/>
              </w:rPr>
              <w:t>1.5mm厚HDPE膜+300mm厚混凝土，车间内采用1mm厚环氧树脂地坪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31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6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渣水处理设施</w:t>
            </w:r>
          </w:p>
        </w:tc>
        <w:tc>
          <w:tcPr>
            <w:tcW w:w="181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设备基础采用</w:t>
            </w:r>
            <w:r>
              <w:rPr>
                <w:rFonts w:ascii="Times New Roman" w:hAnsi="Times New Roman" w:cs="Times New Roman"/>
                <w:sz w:val="21"/>
                <w:szCs w:val="21"/>
              </w:rPr>
              <w:t>抗渗钢筋混凝防渗</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抗渗混凝土等级为P6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9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简单防渗区</w:t>
            </w:r>
          </w:p>
        </w:tc>
        <w:tc>
          <w:tcPr>
            <w:tcW w:w="96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其他区域</w:t>
            </w:r>
          </w:p>
        </w:tc>
        <w:tc>
          <w:tcPr>
            <w:tcW w:w="181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p>
        </w:tc>
        <w:tc>
          <w:tcPr>
            <w:tcW w:w="18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ascii="Times New Roman" w:hAnsi="Times New Roman" w:cs="Times New Roman"/>
                <w:sz w:val="21"/>
                <w:szCs w:val="21"/>
              </w:rPr>
              <w:t>地面硬化</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sz w:val="24"/>
          <w:szCs w:val="24"/>
          <w:lang w:val="en-US" w:eastAsia="zh-CN"/>
        </w:rPr>
      </w:pP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vertAlign w:val="baseline"/>
                <w:lang w:val="en-US" w:eastAsia="zh-CN"/>
              </w:rPr>
            </w:pPr>
            <w:r>
              <w:rPr>
                <w:rFonts w:hint="default" w:ascii="Times New Roman" w:hAnsi="Times New Roman" w:cs="Times New Roman"/>
                <w:sz w:val="21"/>
                <w:szCs w:val="24"/>
              </w:rPr>
              <w:drawing>
                <wp:inline distT="0" distB="0" distL="114300" distR="114300">
                  <wp:extent cx="2592070" cy="1887855"/>
                  <wp:effectExtent l="0" t="0" r="11430" b="4445"/>
                  <wp:docPr id="32" name="图片 5" descr="CIMG1443"/>
                  <wp:cNvGraphicFramePr/>
                  <a:graphic xmlns:a="http://schemas.openxmlformats.org/drawingml/2006/main">
                    <a:graphicData uri="http://schemas.openxmlformats.org/drawingml/2006/picture">
                      <pic:pic xmlns:pic="http://schemas.openxmlformats.org/drawingml/2006/picture">
                        <pic:nvPicPr>
                          <pic:cNvPr id="32" name="图片 5" descr="CIMG1443"/>
                          <pic:cNvPicPr/>
                        </pic:nvPicPr>
                        <pic:blipFill>
                          <a:blip r:embed="rId40"/>
                          <a:stretch>
                            <a:fillRect/>
                          </a:stretch>
                        </pic:blipFill>
                        <pic:spPr>
                          <a:xfrm>
                            <a:off x="0" y="0"/>
                            <a:ext cx="2592070" cy="1887855"/>
                          </a:xfrm>
                          <a:prstGeom prst="rect">
                            <a:avLst/>
                          </a:prstGeom>
                          <a:noFill/>
                          <a:ln>
                            <a:noFill/>
                          </a:ln>
                        </pic:spPr>
                      </pic:pic>
                    </a:graphicData>
                  </a:graphic>
                </wp:inline>
              </w:drawing>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vertAlign w:val="baseline"/>
                <w:lang w:val="en-US" w:eastAsia="zh-CN"/>
              </w:rPr>
            </w:pPr>
            <w:r>
              <w:rPr>
                <w:rFonts w:hint="default" w:ascii="Times New Roman" w:hAnsi="Times New Roman" w:cs="Times New Roman"/>
                <w:sz w:val="21"/>
                <w:szCs w:val="24"/>
              </w:rPr>
              <w:drawing>
                <wp:inline distT="0" distB="0" distL="114300" distR="114300">
                  <wp:extent cx="2592070" cy="1887855"/>
                  <wp:effectExtent l="0" t="0" r="11430" b="4445"/>
                  <wp:docPr id="33" name="图片 6" descr="P50723-100605"/>
                  <wp:cNvGraphicFramePr/>
                  <a:graphic xmlns:a="http://schemas.openxmlformats.org/drawingml/2006/main">
                    <a:graphicData uri="http://schemas.openxmlformats.org/drawingml/2006/picture">
                      <pic:pic xmlns:pic="http://schemas.openxmlformats.org/drawingml/2006/picture">
                        <pic:nvPicPr>
                          <pic:cNvPr id="33" name="图片 6" descr="P50723-100605"/>
                          <pic:cNvPicPr/>
                        </pic:nvPicPr>
                        <pic:blipFill>
                          <a:blip r:embed="rId41"/>
                          <a:stretch>
                            <a:fillRect/>
                          </a:stretch>
                        </pic:blipFill>
                        <pic:spPr>
                          <a:xfrm>
                            <a:off x="0" y="0"/>
                            <a:ext cx="2592070" cy="18878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2"/>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vertAlign w:val="baseline"/>
                <w:lang w:val="en-US" w:eastAsia="zh-CN"/>
              </w:rPr>
            </w:pPr>
            <w:r>
              <w:rPr>
                <w:rFonts w:hint="default" w:ascii="Times New Roman" w:hAnsi="Times New Roman" w:eastAsia="黑体" w:cs="Times New Roman"/>
                <w:kern w:val="0"/>
                <w:sz w:val="21"/>
                <w:szCs w:val="20"/>
              </w:rPr>
              <w:t>工业废水贮存池防渗施工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vertAlign w:val="baseline"/>
                <w:lang w:val="en-US" w:eastAsia="zh-CN"/>
              </w:rPr>
            </w:pPr>
            <w:r>
              <w:rPr>
                <w:rFonts w:hint="default" w:ascii="Times New Roman" w:hAnsi="Times New Roman" w:cs="Times New Roman"/>
                <w:sz w:val="21"/>
                <w:szCs w:val="24"/>
              </w:rPr>
              <w:drawing>
                <wp:inline distT="0" distB="0" distL="114300" distR="114300">
                  <wp:extent cx="2592070" cy="1887855"/>
                  <wp:effectExtent l="0" t="0" r="11430" b="4445"/>
                  <wp:docPr id="34" name="图片 7" descr="CIMG1436"/>
                  <wp:cNvGraphicFramePr/>
                  <a:graphic xmlns:a="http://schemas.openxmlformats.org/drawingml/2006/main">
                    <a:graphicData uri="http://schemas.openxmlformats.org/drawingml/2006/picture">
                      <pic:pic xmlns:pic="http://schemas.openxmlformats.org/drawingml/2006/picture">
                        <pic:nvPicPr>
                          <pic:cNvPr id="34" name="图片 7" descr="CIMG1436"/>
                          <pic:cNvPicPr/>
                        </pic:nvPicPr>
                        <pic:blipFill>
                          <a:blip r:embed="rId42"/>
                          <a:stretch>
                            <a:fillRect/>
                          </a:stretch>
                        </pic:blipFill>
                        <pic:spPr>
                          <a:xfrm>
                            <a:off x="0" y="0"/>
                            <a:ext cx="2592070" cy="1887855"/>
                          </a:xfrm>
                          <a:prstGeom prst="rect">
                            <a:avLst/>
                          </a:prstGeom>
                          <a:noFill/>
                          <a:ln>
                            <a:noFill/>
                          </a:ln>
                        </pic:spPr>
                      </pic:pic>
                    </a:graphicData>
                  </a:graphic>
                </wp:inline>
              </w:drawing>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vertAlign w:val="baseline"/>
                <w:lang w:val="en-US" w:eastAsia="zh-CN"/>
              </w:rPr>
            </w:pPr>
            <w:r>
              <w:rPr>
                <w:rFonts w:hint="default" w:ascii="Times New Roman" w:hAnsi="Times New Roman" w:cs="Times New Roman"/>
                <w:sz w:val="21"/>
                <w:szCs w:val="24"/>
              </w:rPr>
              <w:drawing>
                <wp:inline distT="0" distB="0" distL="114300" distR="114300">
                  <wp:extent cx="2592070" cy="1887855"/>
                  <wp:effectExtent l="0" t="0" r="11430" b="4445"/>
                  <wp:docPr id="35" name="图片 8" descr="CIMG1140"/>
                  <wp:cNvGraphicFramePr/>
                  <a:graphic xmlns:a="http://schemas.openxmlformats.org/drawingml/2006/main">
                    <a:graphicData uri="http://schemas.openxmlformats.org/drawingml/2006/picture">
                      <pic:pic xmlns:pic="http://schemas.openxmlformats.org/drawingml/2006/picture">
                        <pic:nvPicPr>
                          <pic:cNvPr id="35" name="图片 8" descr="CIMG1140"/>
                          <pic:cNvPicPr/>
                        </pic:nvPicPr>
                        <pic:blipFill>
                          <a:blip r:embed="rId43"/>
                          <a:stretch>
                            <a:fillRect/>
                          </a:stretch>
                        </pic:blipFill>
                        <pic:spPr>
                          <a:xfrm>
                            <a:off x="0" y="0"/>
                            <a:ext cx="2592070" cy="188785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2"/>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cs="Times New Roman"/>
                <w:sz w:val="21"/>
                <w:szCs w:val="24"/>
              </w:rPr>
            </w:pPr>
            <w:r>
              <w:rPr>
                <w:rFonts w:hint="default" w:ascii="Times New Roman" w:hAnsi="Times New Roman" w:eastAsia="黑体" w:cs="Times New Roman"/>
                <w:kern w:val="0"/>
                <w:sz w:val="21"/>
                <w:szCs w:val="20"/>
              </w:rPr>
              <w:t>工业废水处理站排水沟防渗施工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sz w:val="21"/>
                <w:szCs w:val="24"/>
              </w:rPr>
            </w:pPr>
            <w:r>
              <w:drawing>
                <wp:inline distT="0" distB="0" distL="114300" distR="114300">
                  <wp:extent cx="2592070" cy="1886585"/>
                  <wp:effectExtent l="0" t="0" r="11430" b="5715"/>
                  <wp:docPr id="40" name="图片 9" descr="IMG_9222"/>
                  <wp:cNvGraphicFramePr/>
                  <a:graphic xmlns:a="http://schemas.openxmlformats.org/drawingml/2006/main">
                    <a:graphicData uri="http://schemas.openxmlformats.org/drawingml/2006/picture">
                      <pic:pic xmlns:pic="http://schemas.openxmlformats.org/drawingml/2006/picture">
                        <pic:nvPicPr>
                          <pic:cNvPr id="40" name="图片 9" descr="IMG_9222"/>
                          <pic:cNvPicPr/>
                        </pic:nvPicPr>
                        <pic:blipFill>
                          <a:blip r:embed="rId44"/>
                          <a:stretch>
                            <a:fillRect/>
                          </a:stretch>
                        </pic:blipFill>
                        <pic:spPr>
                          <a:xfrm>
                            <a:off x="0" y="0"/>
                            <a:ext cx="2592070" cy="1886585"/>
                          </a:xfrm>
                          <a:prstGeom prst="rect">
                            <a:avLst/>
                          </a:prstGeom>
                          <a:noFill/>
                          <a:ln>
                            <a:noFill/>
                          </a:ln>
                        </pic:spPr>
                      </pic:pic>
                    </a:graphicData>
                  </a:graphic>
                </wp:inline>
              </w:drawing>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sz w:val="21"/>
                <w:szCs w:val="24"/>
              </w:rPr>
            </w:pPr>
            <w:r>
              <w:rPr>
                <w:rFonts w:hint="eastAsia" w:eastAsia="宋体"/>
                <w:lang w:eastAsia="zh-CN"/>
              </w:rPr>
              <w:drawing>
                <wp:inline distT="0" distB="0" distL="114300" distR="114300">
                  <wp:extent cx="2592070" cy="1886585"/>
                  <wp:effectExtent l="0" t="0" r="11430" b="5715"/>
                  <wp:docPr id="41" name="图片 10" descr="IMG_9279(20200716-155835)"/>
                  <wp:cNvGraphicFramePr/>
                  <a:graphic xmlns:a="http://schemas.openxmlformats.org/drawingml/2006/main">
                    <a:graphicData uri="http://schemas.openxmlformats.org/drawingml/2006/picture">
                      <pic:pic xmlns:pic="http://schemas.openxmlformats.org/drawingml/2006/picture">
                        <pic:nvPicPr>
                          <pic:cNvPr id="41" name="图片 10" descr="IMG_9279(20200716-155835)"/>
                          <pic:cNvPicPr/>
                        </pic:nvPicPr>
                        <pic:blipFill>
                          <a:blip r:embed="rId45"/>
                          <a:stretch>
                            <a:fillRect/>
                          </a:stretch>
                        </pic:blipFill>
                        <pic:spPr>
                          <a:xfrm>
                            <a:off x="0" y="0"/>
                            <a:ext cx="2592070" cy="18865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cs="Times New Roman"/>
                <w:sz w:val="21"/>
                <w:szCs w:val="24"/>
              </w:rPr>
            </w:pPr>
            <w:r>
              <w:t>吸收塔</w:t>
            </w:r>
            <w:r>
              <w:rPr>
                <w:rFonts w:hint="eastAsia"/>
                <w:lang w:val="en-US" w:eastAsia="zh-CN"/>
              </w:rPr>
              <w:t>区域HDPE膜铺设</w:t>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cs="Times New Roman"/>
                <w:sz w:val="21"/>
                <w:szCs w:val="24"/>
              </w:rPr>
            </w:pPr>
            <w:r>
              <w:rPr>
                <w:rFonts w:hint="eastAsia"/>
                <w:lang w:val="en-US" w:eastAsia="zh-CN"/>
              </w:rPr>
              <w:t>设备基础HDPE膜上翻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pPr>
            <w:r>
              <w:rPr>
                <w:rFonts w:hint="eastAsia"/>
                <w:color w:val="0000FF"/>
                <w:lang w:val="en-US" w:eastAsia="zh-CN"/>
              </w:rPr>
              <w:drawing>
                <wp:inline distT="0" distB="0" distL="114300" distR="114300">
                  <wp:extent cx="2592070" cy="1886585"/>
                  <wp:effectExtent l="0" t="0" r="11430" b="5715"/>
                  <wp:docPr id="43" name="图片 12" descr="IMG_20210320_152551"/>
                  <wp:cNvGraphicFramePr/>
                  <a:graphic xmlns:a="http://schemas.openxmlformats.org/drawingml/2006/main">
                    <a:graphicData uri="http://schemas.openxmlformats.org/drawingml/2006/picture">
                      <pic:pic xmlns:pic="http://schemas.openxmlformats.org/drawingml/2006/picture">
                        <pic:nvPicPr>
                          <pic:cNvPr id="43" name="图片 12" descr="IMG_20210320_152551"/>
                          <pic:cNvPicPr/>
                        </pic:nvPicPr>
                        <pic:blipFill>
                          <a:blip r:embed="rId46"/>
                          <a:srcRect b="38571"/>
                          <a:stretch>
                            <a:fillRect/>
                          </a:stretch>
                        </pic:blipFill>
                        <pic:spPr>
                          <a:xfrm>
                            <a:off x="0" y="0"/>
                            <a:ext cx="2592070" cy="1886585"/>
                          </a:xfrm>
                          <a:prstGeom prst="rect">
                            <a:avLst/>
                          </a:prstGeom>
                          <a:noFill/>
                          <a:ln>
                            <a:noFill/>
                          </a:ln>
                        </pic:spPr>
                      </pic:pic>
                    </a:graphicData>
                  </a:graphic>
                </wp:inline>
              </w:drawing>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ascii="Times New Roman" w:hAnsi="Times New Roman" w:cs="Times New Roman"/>
                <w:sz w:val="21"/>
                <w:szCs w:val="24"/>
              </w:rPr>
            </w:pPr>
            <w:r>
              <w:rPr>
                <w:rFonts w:hint="default" w:ascii="Times New Roman" w:hAnsi="Times New Roman" w:cs="Times New Roman"/>
              </w:rPr>
              <w:drawing>
                <wp:inline distT="0" distB="0" distL="114300" distR="114300">
                  <wp:extent cx="2592070" cy="1886585"/>
                  <wp:effectExtent l="0" t="0" r="11430" b="5715"/>
                  <wp:docPr id="42" name="图片 11" descr="P50924-101348"/>
                  <wp:cNvGraphicFramePr/>
                  <a:graphic xmlns:a="http://schemas.openxmlformats.org/drawingml/2006/main">
                    <a:graphicData uri="http://schemas.openxmlformats.org/drawingml/2006/picture">
                      <pic:pic xmlns:pic="http://schemas.openxmlformats.org/drawingml/2006/picture">
                        <pic:nvPicPr>
                          <pic:cNvPr id="42" name="图片 11" descr="P50924-101348"/>
                          <pic:cNvPicPr/>
                        </pic:nvPicPr>
                        <pic:blipFill>
                          <a:blip r:embed="rId47"/>
                          <a:srcRect l="15065" t="18939" r="16269" b="10390"/>
                          <a:stretch>
                            <a:fillRect/>
                          </a:stretch>
                        </pic:blipFill>
                        <pic:spPr>
                          <a:xfrm flipH="1">
                            <a:off x="0" y="0"/>
                            <a:ext cx="2592070" cy="188658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pPr>
            <w:r>
              <w:rPr>
                <w:rFonts w:hint="eastAsia"/>
                <w:lang w:val="en-US" w:eastAsia="zh-CN"/>
              </w:rPr>
              <w:t>采用热熔焊接</w:t>
            </w:r>
          </w:p>
        </w:tc>
        <w:tc>
          <w:tcPr>
            <w:tcW w:w="4261" w:type="dxa"/>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cs="Times New Roman"/>
                <w:sz w:val="21"/>
                <w:szCs w:val="24"/>
              </w:rPr>
            </w:pPr>
            <w:r>
              <w:rPr>
                <w:rFonts w:hint="default" w:ascii="Times New Roman" w:hAnsi="Times New Roman" w:eastAsia="黑体" w:cs="Times New Roman"/>
                <w:sz w:val="21"/>
                <w:szCs w:val="21"/>
                <w:lang w:val="en-US" w:eastAsia="zh-CN"/>
              </w:rPr>
              <w:t>排水沟防腐施工完成</w:t>
            </w:r>
          </w:p>
        </w:tc>
      </w:tr>
    </w:tbl>
    <w:p>
      <w:pPr>
        <w:pStyle w:val="8"/>
        <w:keepNext w:val="0"/>
        <w:keepLines w:val="0"/>
        <w:pageBreakBefore w:val="0"/>
        <w:widowControl w:val="0"/>
        <w:kinsoku/>
        <w:wordWrap/>
        <w:overflowPunct/>
        <w:topLinePunct w:val="0"/>
        <w:autoSpaceDE/>
        <w:autoSpaceDN/>
        <w:bidi w:val="0"/>
        <w:adjustRightInd/>
        <w:snapToGrid/>
        <w:spacing w:after="0"/>
        <w:jc w:val="center"/>
        <w:textAlignment w:val="auto"/>
        <w:rPr>
          <w:rFonts w:hint="default"/>
          <w:lang w:val="en-US" w:eastAsia="zh-CN"/>
        </w:rPr>
      </w:pPr>
      <w:r>
        <w:rPr>
          <w:rFonts w:hint="eastAsia" w:ascii="黑体" w:hAnsi="黑体" w:eastAsia="黑体" w:cs="黑体"/>
          <w:sz w:val="21"/>
          <w:szCs w:val="21"/>
          <w:lang w:val="en-US" w:eastAsia="zh-CN"/>
        </w:rPr>
        <w:t>图4-22主要区域防渗施工</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61" w:name="_Toc30639"/>
      <w:bookmarkStart w:id="62" w:name="_Toc23129"/>
      <w:bookmarkStart w:id="63" w:name="_Toc16195"/>
      <w:r>
        <w:rPr>
          <w:rFonts w:hint="default" w:ascii="Times New Roman" w:hAnsi="Times New Roman" w:eastAsia="宋体" w:cs="Times New Roman"/>
          <w:color w:val="auto"/>
          <w:highlight w:val="none"/>
          <w:lang w:val="en-US" w:eastAsia="zh-CN"/>
        </w:rPr>
        <w:t>4.</w:t>
      </w:r>
      <w:r>
        <w:rPr>
          <w:rFonts w:hint="eastAsia"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2规范化排污口、监测设施及在线监测装置</w:t>
      </w:r>
      <w:bookmarkEnd w:id="61"/>
      <w:bookmarkEnd w:id="62"/>
      <w:bookmarkEnd w:id="63"/>
      <w:bookmarkStart w:id="64" w:name="_Toc14705"/>
    </w:p>
    <w:p>
      <w:pPr>
        <w:rPr>
          <w:rFonts w:hint="eastAsia"/>
          <w:lang w:val="en-US" w:eastAsia="zh-CN"/>
        </w:rPr>
      </w:pPr>
      <w:r>
        <w:rPr>
          <w:rFonts w:hint="eastAsia"/>
          <w:lang w:val="en-US" w:eastAsia="zh-CN"/>
        </w:rPr>
        <w:t>项目废水“零排放”，不设置废水排口；项目烟气排口根据规范要求设置了烟气在线监测系统及人工取样口等；并在排放口附近设置了环保标志牌。</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pPr>
      <w:r>
        <w:drawing>
          <wp:inline distT="0" distB="0" distL="114300" distR="114300">
            <wp:extent cx="3554730" cy="2654300"/>
            <wp:effectExtent l="0" t="0" r="1270" b="0"/>
            <wp:docPr id="2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
                    <pic:cNvPicPr>
                      <a:picLocks noChangeAspect="1"/>
                    </pic:cNvPicPr>
                  </pic:nvPicPr>
                  <pic:blipFill>
                    <a:blip r:embed="rId48"/>
                    <a:stretch>
                      <a:fillRect/>
                    </a:stretch>
                  </pic:blipFill>
                  <pic:spPr>
                    <a:xfrm>
                      <a:off x="0" y="0"/>
                      <a:ext cx="3554730" cy="2654300"/>
                    </a:xfrm>
                    <a:prstGeom prst="rect">
                      <a:avLst/>
                    </a:prstGeom>
                    <a:noFill/>
                    <a:ln>
                      <a:noFill/>
                    </a:ln>
                  </pic:spPr>
                </pic:pic>
              </a:graphicData>
            </a:graphic>
          </wp:inline>
        </w:drawing>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kern w:val="0"/>
          <w:sz w:val="21"/>
          <w:szCs w:val="21"/>
          <w:highlight w:val="none"/>
          <w:lang w:val="en-US" w:eastAsia="zh-CN"/>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23</w:t>
      </w:r>
      <w:r>
        <w:rPr>
          <w:rFonts w:hint="eastAsia" w:ascii="黑体" w:hAnsi="黑体" w:eastAsia="黑体" w:cs="黑体"/>
          <w:kern w:val="0"/>
          <w:sz w:val="21"/>
          <w:szCs w:val="21"/>
          <w:highlight w:val="none"/>
          <w:lang w:val="en-US" w:eastAsia="zh-CN"/>
        </w:rPr>
        <w:t>废气排放口标志</w:t>
      </w:r>
    </w:p>
    <w:p>
      <w:pPr>
        <w:pStyle w:val="34"/>
        <w:jc w:val="center"/>
        <w:rPr>
          <w:rFonts w:hint="eastAsia" w:eastAsia="黑体"/>
          <w:lang w:val="en-US" w:eastAsia="zh-CN"/>
        </w:rPr>
      </w:pPr>
      <w:r>
        <w:rPr>
          <w:rFonts w:hint="eastAsia" w:eastAsia="黑体"/>
          <w:lang w:val="en-US" w:eastAsia="zh-CN"/>
        </w:rPr>
        <w:drawing>
          <wp:inline distT="0" distB="0" distL="114300" distR="114300">
            <wp:extent cx="2519680" cy="1889760"/>
            <wp:effectExtent l="0" t="0" r="7620" b="2540"/>
            <wp:docPr id="30" name="图片 3" descr="IMG_1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descr="IMG_1037"/>
                    <pic:cNvPicPr>
                      <a:picLocks noChangeAspect="1"/>
                    </pic:cNvPicPr>
                  </pic:nvPicPr>
                  <pic:blipFill>
                    <a:blip r:embed="rId49"/>
                    <a:stretch>
                      <a:fillRect/>
                    </a:stretch>
                  </pic:blipFill>
                  <pic:spPr>
                    <a:xfrm>
                      <a:off x="0" y="0"/>
                      <a:ext cx="2519680" cy="1889760"/>
                    </a:xfrm>
                    <a:prstGeom prst="rect">
                      <a:avLst/>
                    </a:prstGeom>
                    <a:noFill/>
                    <a:ln>
                      <a:noFill/>
                    </a:ln>
                  </pic:spPr>
                </pic:pic>
              </a:graphicData>
            </a:graphic>
          </wp:inline>
        </w:drawing>
      </w:r>
      <w:r>
        <w:rPr>
          <w:rFonts w:hint="eastAsia" w:eastAsia="黑体"/>
          <w:lang w:val="en-US" w:eastAsia="zh-CN"/>
        </w:rPr>
        <w:drawing>
          <wp:inline distT="0" distB="0" distL="114300" distR="114300">
            <wp:extent cx="2519680" cy="1889760"/>
            <wp:effectExtent l="0" t="0" r="7620" b="2540"/>
            <wp:docPr id="29" name="图片 4" descr="IMG_1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4" descr="IMG_1039"/>
                    <pic:cNvPicPr>
                      <a:picLocks noChangeAspect="1"/>
                    </pic:cNvPicPr>
                  </pic:nvPicPr>
                  <pic:blipFill>
                    <a:blip r:embed="rId50"/>
                    <a:stretch>
                      <a:fillRect/>
                    </a:stretch>
                  </pic:blipFill>
                  <pic:spPr>
                    <a:xfrm>
                      <a:off x="0" y="0"/>
                      <a:ext cx="2519680" cy="1889760"/>
                    </a:xfrm>
                    <a:prstGeom prst="rect">
                      <a:avLst/>
                    </a:prstGeom>
                    <a:noFill/>
                    <a:ln>
                      <a:noFill/>
                    </a:ln>
                  </pic:spPr>
                </pic:pic>
              </a:graphicData>
            </a:graphic>
          </wp:inline>
        </w:drawing>
      </w:r>
    </w:p>
    <w:p>
      <w:pPr>
        <w:pStyle w:val="34"/>
        <w:jc w:val="center"/>
        <w:rPr>
          <w:rFonts w:ascii="Times New Roman" w:hAnsi="Times New Roman" w:cs="Times New Roman"/>
        </w:rPr>
      </w:pPr>
      <w:r>
        <w:rPr>
          <w:rFonts w:hint="eastAsia" w:ascii="黑体" w:hAnsi="黑体" w:eastAsia="黑体" w:cs="黑体"/>
          <w:kern w:val="0"/>
          <w:sz w:val="21"/>
          <w:szCs w:val="21"/>
          <w:highlight w:val="none"/>
          <w:lang w:val="en-US" w:eastAsia="zh-CN"/>
        </w:rPr>
        <w:t>图</w:t>
      </w:r>
      <w:r>
        <w:rPr>
          <w:rFonts w:hint="eastAsia" w:ascii="黑体" w:hAnsi="黑体" w:cs="黑体"/>
          <w:kern w:val="0"/>
          <w:sz w:val="21"/>
          <w:szCs w:val="21"/>
          <w:highlight w:val="none"/>
          <w:lang w:val="en-US" w:eastAsia="zh-CN"/>
        </w:rPr>
        <w:t>4</w:t>
      </w:r>
      <w:r>
        <w:rPr>
          <w:rFonts w:hint="eastAsia" w:ascii="黑体" w:hAnsi="黑体" w:eastAsia="黑体" w:cs="黑体"/>
          <w:kern w:val="0"/>
          <w:sz w:val="21"/>
          <w:szCs w:val="21"/>
          <w:highlight w:val="none"/>
          <w:lang w:val="en-US" w:eastAsia="zh-CN"/>
        </w:rPr>
        <w:t>-</w:t>
      </w:r>
      <w:r>
        <w:rPr>
          <w:rFonts w:hint="eastAsia" w:ascii="黑体" w:hAnsi="黑体" w:cs="黑体"/>
          <w:kern w:val="0"/>
          <w:sz w:val="21"/>
          <w:szCs w:val="21"/>
          <w:highlight w:val="none"/>
          <w:lang w:val="en-US" w:eastAsia="zh-CN"/>
        </w:rPr>
        <w:t>24</w:t>
      </w:r>
      <w:r>
        <w:rPr>
          <w:rFonts w:hint="eastAsia" w:ascii="Times New Roman" w:hAnsi="Times New Roman" w:cs="Times New Roman"/>
          <w:lang w:val="en-US" w:eastAsia="zh-CN"/>
        </w:rPr>
        <w:t>烟气总排口在线监测设备及</w:t>
      </w:r>
      <w:r>
        <w:rPr>
          <w:rFonts w:ascii="Times New Roman" w:hAnsi="Times New Roman" w:cs="Times New Roman"/>
        </w:rPr>
        <w:t>CEMS小室</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65" w:name="_Toc6907"/>
      <w:r>
        <w:rPr>
          <w:rFonts w:hint="eastAsia" w:ascii="Times New Roman" w:hAnsi="Times New Roman" w:eastAsia="宋体" w:cs="Times New Roman"/>
          <w:color w:val="auto"/>
          <w:highlight w:val="none"/>
          <w:lang w:val="en-US" w:eastAsia="zh-CN"/>
        </w:rPr>
        <w:t>4.2.</w:t>
      </w:r>
      <w:r>
        <w:rPr>
          <w:rFonts w:hint="eastAsia" w:cs="Times New Roman"/>
          <w:color w:val="auto"/>
          <w:highlight w:val="none"/>
          <w:lang w:val="en-US" w:eastAsia="zh-CN"/>
        </w:rPr>
        <w:t>3自行</w:t>
      </w:r>
      <w:r>
        <w:rPr>
          <w:rFonts w:hint="eastAsia" w:ascii="Times New Roman" w:hAnsi="Times New Roman" w:eastAsia="宋体" w:cs="Times New Roman"/>
          <w:color w:val="auto"/>
          <w:highlight w:val="none"/>
          <w:lang w:val="en-US" w:eastAsia="zh-CN"/>
        </w:rPr>
        <w:t>监测</w:t>
      </w:r>
      <w:bookmarkEnd w:id="64"/>
      <w:bookmarkEnd w:id="6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黑体" w:hAnsi="黑体" w:eastAsia="黑体" w:cs="黑体"/>
          <w:b w:val="0"/>
          <w:bCs w:val="0"/>
          <w:color w:val="auto"/>
          <w:sz w:val="21"/>
          <w:szCs w:val="21"/>
          <w:highlight w:val="none"/>
          <w:lang w:val="en-US" w:eastAsia="zh-CN"/>
        </w:rPr>
      </w:pPr>
      <w:r>
        <w:rPr>
          <w:rFonts w:hint="eastAsia" w:ascii="Times New Roman" w:hAnsi="Times New Roman" w:eastAsia="宋体" w:cs="Times New Roman"/>
          <w:color w:val="auto"/>
          <w:sz w:val="24"/>
          <w:highlight w:val="none"/>
          <w:lang w:val="en-US" w:eastAsia="zh-CN"/>
        </w:rPr>
        <w:t>为监测本项目运营期对周边环境的影响，在日常生产过程中对本</w:t>
      </w:r>
      <w:r>
        <w:rPr>
          <w:rFonts w:hint="eastAsia" w:cs="Times New Roman"/>
          <w:color w:val="auto"/>
          <w:sz w:val="24"/>
          <w:highlight w:val="none"/>
          <w:lang w:val="en-US" w:eastAsia="zh-CN"/>
        </w:rPr>
        <w:t>项目</w:t>
      </w:r>
      <w:r>
        <w:rPr>
          <w:rFonts w:hint="eastAsia" w:ascii="Times New Roman" w:hAnsi="Times New Roman" w:eastAsia="宋体" w:cs="Times New Roman"/>
          <w:color w:val="auto"/>
          <w:sz w:val="24"/>
          <w:highlight w:val="none"/>
          <w:lang w:val="en-US" w:eastAsia="zh-CN"/>
        </w:rPr>
        <w:t>排放的污染进行监测，具体监测内容及频次如下表。</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color w:val="auto"/>
          <w:lang w:val="en-US" w:eastAsia="zh-CN"/>
        </w:rPr>
      </w:pPr>
      <w:r>
        <w:rPr>
          <w:rFonts w:hint="eastAsia" w:ascii="黑体" w:hAnsi="黑体" w:eastAsia="黑体" w:cs="黑体"/>
          <w:b w:val="0"/>
          <w:bCs w:val="0"/>
          <w:color w:val="auto"/>
          <w:sz w:val="21"/>
          <w:szCs w:val="21"/>
          <w:highlight w:val="none"/>
          <w:lang w:val="en-US" w:eastAsia="zh-CN"/>
        </w:rPr>
        <w:t>表4-4例行监测内容一览表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autofit"/>
        <w:tblCellMar>
          <w:top w:w="0" w:type="dxa"/>
          <w:left w:w="108" w:type="dxa"/>
          <w:bottom w:w="0" w:type="dxa"/>
          <w:right w:w="108" w:type="dxa"/>
        </w:tblCellMar>
      </w:tblPr>
      <w:tblGrid>
        <w:gridCol w:w="1553"/>
        <w:gridCol w:w="2071"/>
        <w:gridCol w:w="2908"/>
        <w:gridCol w:w="1987"/>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794" w:hRule="atLeast"/>
          <w:jc w:val="center"/>
        </w:trPr>
        <w:tc>
          <w:tcPr>
            <w:tcW w:w="911"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污染物类别</w:t>
            </w:r>
          </w:p>
        </w:tc>
        <w:tc>
          <w:tcPr>
            <w:tcW w:w="1215"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监测点位</w:t>
            </w:r>
          </w:p>
        </w:tc>
        <w:tc>
          <w:tcPr>
            <w:tcW w:w="1706"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监测项目</w:t>
            </w:r>
          </w:p>
        </w:tc>
        <w:tc>
          <w:tcPr>
            <w:tcW w:w="1166"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检测</w:t>
            </w:r>
            <w:r>
              <w:rPr>
                <w:rFonts w:hint="default" w:ascii="Times New Roman" w:hAnsi="Times New Roman" w:eastAsia="宋体" w:cs="Times New Roman"/>
                <w:color w:val="auto"/>
                <w:kern w:val="2"/>
                <w:sz w:val="21"/>
                <w:szCs w:val="21"/>
                <w:highlight w:val="none"/>
                <w:lang w:val="en-US" w:eastAsia="zh-CN" w:bidi="ar-SA"/>
              </w:rPr>
              <w:t>频次</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794" w:hRule="atLeast"/>
          <w:jc w:val="center"/>
        </w:trPr>
        <w:tc>
          <w:tcPr>
            <w:tcW w:w="9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废气</w:t>
            </w:r>
          </w:p>
        </w:tc>
        <w:tc>
          <w:tcPr>
            <w:tcW w:w="12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lang w:val="en-US" w:eastAsia="zh-CN"/>
              </w:rPr>
              <w:t>烟气排气筒出口</w:t>
            </w:r>
          </w:p>
        </w:tc>
        <w:tc>
          <w:tcPr>
            <w:tcW w:w="1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颗粒物、氮氧化物、二氧化硫、汞及其化合物</w:t>
            </w:r>
            <w:r>
              <w:rPr>
                <w:rFonts w:hint="eastAsia" w:ascii="Times New Roman" w:hAnsi="Times New Roman" w:cs="Times New Roman"/>
                <w:color w:val="auto"/>
                <w:sz w:val="21"/>
                <w:szCs w:val="21"/>
                <w:highlight w:val="none"/>
                <w:vertAlign w:val="baseline"/>
                <w:lang w:val="en-US" w:eastAsia="zh-CN"/>
              </w:rPr>
              <w:t>、林格曼黑度、</w:t>
            </w:r>
            <w:r>
              <w:rPr>
                <w:rFonts w:hint="default" w:ascii="Times New Roman" w:hAnsi="Times New Roman" w:cs="Times New Roman"/>
                <w:color w:val="auto"/>
                <w:sz w:val="21"/>
                <w:szCs w:val="21"/>
                <w:highlight w:val="none"/>
                <w:vertAlign w:val="baseline"/>
                <w:lang w:val="en-US" w:eastAsia="zh-CN"/>
              </w:rPr>
              <w:t>烟气参数（烟气流速、烟气温度、烟气湿度等）</w:t>
            </w:r>
          </w:p>
        </w:tc>
        <w:tc>
          <w:tcPr>
            <w:tcW w:w="11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1次/季</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794" w:hRule="atLeast"/>
          <w:jc w:val="center"/>
        </w:trPr>
        <w:tc>
          <w:tcPr>
            <w:tcW w:w="91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废水</w:t>
            </w:r>
          </w:p>
        </w:tc>
        <w:tc>
          <w:tcPr>
            <w:tcW w:w="1215"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雨水排放</w:t>
            </w:r>
          </w:p>
        </w:tc>
        <w:tc>
          <w:tcPr>
            <w:tcW w:w="170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pH</w:t>
            </w:r>
            <w:r>
              <w:rPr>
                <w:rFonts w:hint="default" w:ascii="Times New Roman" w:hAnsi="Times New Roman" w:cs="Times New Roman"/>
                <w:color w:val="auto"/>
                <w:sz w:val="21"/>
                <w:szCs w:val="21"/>
                <w:highlight w:val="none"/>
                <w:vertAlign w:val="baseline"/>
                <w:lang w:val="en-US" w:eastAsia="zh-CN"/>
              </w:rPr>
              <w:t>值，悬浮物，化学需氧量，总汞</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总镉</w:t>
            </w:r>
            <w:r>
              <w:rPr>
                <w:rFonts w:hint="eastAsia" w:ascii="Times New Roman" w:hAnsi="Times New Roman" w:cs="Times New Roman"/>
                <w:color w:val="auto"/>
                <w:sz w:val="21"/>
                <w:szCs w:val="21"/>
                <w:highlight w:val="none"/>
                <w:vertAlign w:val="baseline"/>
                <w:lang w:val="en-US" w:eastAsia="zh-CN"/>
              </w:rPr>
              <w:t>，</w:t>
            </w:r>
            <w:r>
              <w:rPr>
                <w:rFonts w:hint="default" w:ascii="Times New Roman" w:hAnsi="Times New Roman" w:cs="Times New Roman"/>
                <w:color w:val="auto"/>
                <w:sz w:val="21"/>
                <w:szCs w:val="21"/>
                <w:highlight w:val="none"/>
                <w:vertAlign w:val="baseline"/>
                <w:lang w:val="en-US" w:eastAsia="zh-CN"/>
              </w:rPr>
              <w:t>总砷，硫化物</w:t>
            </w:r>
          </w:p>
        </w:tc>
        <w:tc>
          <w:tcPr>
            <w:tcW w:w="1166"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kern w:val="2"/>
                <w:sz w:val="21"/>
                <w:szCs w:val="21"/>
                <w:highlight w:val="none"/>
                <w:vertAlign w:val="baseline"/>
                <w:lang w:val="en-US" w:eastAsia="zh-CN" w:bidi="ar-SA"/>
              </w:rPr>
              <w:t>1次/</w:t>
            </w:r>
            <w:r>
              <w:rPr>
                <w:rFonts w:hint="eastAsia" w:ascii="Times New Roman" w:hAnsi="Times New Roman" w:eastAsia="宋体" w:cs="Times New Roman"/>
                <w:color w:val="auto"/>
                <w:kern w:val="2"/>
                <w:sz w:val="21"/>
                <w:szCs w:val="21"/>
                <w:highlight w:val="none"/>
                <w:vertAlign w:val="baseline"/>
                <w:lang w:val="en-US" w:eastAsia="zh-CN" w:bidi="ar-SA"/>
              </w:rPr>
              <w:t>月</w:t>
            </w:r>
          </w:p>
        </w:tc>
      </w:tr>
    </w:tbl>
    <w:p>
      <w:pPr>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br w:type="page"/>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color w:val="auto"/>
          <w:highlight w:val="none"/>
          <w:lang w:val="en-US" w:eastAsia="zh-CN"/>
        </w:rPr>
      </w:pPr>
      <w:bookmarkStart w:id="66" w:name="_Toc23381"/>
      <w:r>
        <w:rPr>
          <w:rFonts w:hint="eastAsia" w:ascii="Times New Roman" w:hAnsi="Times New Roman" w:eastAsia="宋体" w:cs="Times New Roman"/>
          <w:color w:val="auto"/>
          <w:highlight w:val="none"/>
          <w:lang w:val="en-US" w:eastAsia="zh-CN"/>
        </w:rPr>
        <w:t>4.3环保设施投资及“三同时”落实情况</w:t>
      </w:r>
      <w:bookmarkEnd w:id="6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highlight w:val="none"/>
          <w:lang w:eastAsia="zh-CN"/>
        </w:rPr>
      </w:pPr>
      <w:bookmarkStart w:id="67" w:name="_Toc4400"/>
      <w:r>
        <w:rPr>
          <w:rFonts w:hint="eastAsia" w:ascii="Times New Roman" w:hAnsi="Times New Roman" w:eastAsia="宋体" w:cs="Times New Roman"/>
          <w:color w:val="auto"/>
          <w:highlight w:val="none"/>
          <w:lang w:val="en-US" w:eastAsia="zh-CN"/>
        </w:rPr>
        <w:t>4.3.1</w:t>
      </w:r>
      <w:r>
        <w:rPr>
          <w:rFonts w:hint="default" w:ascii="Times New Roman" w:hAnsi="Times New Roman" w:cs="Times New Roman"/>
          <w:color w:val="auto"/>
          <w:sz w:val="24"/>
          <w:highlight w:val="none"/>
        </w:rPr>
        <w:t>环保设施投资</w:t>
      </w:r>
      <w:bookmarkEnd w:id="6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eastAsia="黑体"/>
          <w:b w:val="0"/>
          <w:bCs w:val="0"/>
          <w:color w:val="auto"/>
          <w:kern w:val="0"/>
          <w:sz w:val="21"/>
          <w:szCs w:val="21"/>
        </w:rPr>
      </w:pPr>
      <w:r>
        <w:rPr>
          <w:color w:val="auto"/>
          <w:sz w:val="24"/>
          <w:szCs w:val="24"/>
        </w:rPr>
        <w:t>二期扩建工程</w:t>
      </w:r>
      <w:r>
        <w:rPr>
          <w:rFonts w:hint="eastAsia"/>
          <w:color w:val="auto"/>
          <w:sz w:val="24"/>
          <w:szCs w:val="24"/>
        </w:rPr>
        <w:t>实际</w:t>
      </w:r>
      <w:r>
        <w:rPr>
          <w:color w:val="auto"/>
          <w:sz w:val="24"/>
          <w:szCs w:val="24"/>
        </w:rPr>
        <w:t>总投资</w:t>
      </w:r>
      <w:r>
        <w:rPr>
          <w:rFonts w:hint="eastAsia"/>
          <w:color w:val="auto"/>
          <w:sz w:val="24"/>
          <w:szCs w:val="24"/>
          <w:lang w:val="en-US" w:eastAsia="zh-CN"/>
        </w:rPr>
        <w:t>533149</w:t>
      </w:r>
      <w:r>
        <w:rPr>
          <w:color w:val="auto"/>
          <w:sz w:val="24"/>
          <w:szCs w:val="24"/>
        </w:rPr>
        <w:t>万元，其中环保工程投资</w:t>
      </w:r>
      <w:r>
        <w:rPr>
          <w:rFonts w:hint="eastAsia"/>
          <w:color w:val="auto"/>
          <w:sz w:val="24"/>
          <w:szCs w:val="24"/>
          <w:lang w:val="en-US" w:eastAsia="zh-CN"/>
        </w:rPr>
        <w:t>63979</w:t>
      </w:r>
      <w:r>
        <w:rPr>
          <w:rFonts w:hint="eastAsia"/>
          <w:color w:val="auto"/>
          <w:sz w:val="24"/>
          <w:szCs w:val="24"/>
        </w:rPr>
        <w:t>万</w:t>
      </w:r>
      <w:r>
        <w:rPr>
          <w:color w:val="auto"/>
          <w:sz w:val="24"/>
          <w:szCs w:val="24"/>
        </w:rPr>
        <w:t>元，占工程总投资的</w:t>
      </w:r>
      <w:r>
        <w:rPr>
          <w:rFonts w:hint="eastAsia"/>
          <w:color w:val="auto"/>
          <w:sz w:val="24"/>
          <w:szCs w:val="24"/>
          <w:lang w:val="en-US" w:eastAsia="zh-CN"/>
        </w:rPr>
        <w:t>12.00%</w:t>
      </w:r>
      <w:r>
        <w:rPr>
          <w:rFonts w:hint="eastAsia"/>
          <w:color w:val="auto"/>
          <w:sz w:val="24"/>
          <w:szCs w:val="24"/>
        </w:rPr>
        <w:t>。</w:t>
      </w:r>
      <w:r>
        <w:rPr>
          <w:color w:val="auto"/>
          <w:sz w:val="24"/>
          <w:szCs w:val="24"/>
        </w:rPr>
        <w:t>以上投资均己得到落实。</w:t>
      </w:r>
    </w:p>
    <w:p>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eastAsia="黑体"/>
          <w:b/>
          <w:bCs/>
          <w:color w:val="000000"/>
          <w:szCs w:val="21"/>
        </w:rPr>
      </w:pPr>
      <w:r>
        <w:rPr>
          <w:rFonts w:eastAsia="黑体"/>
          <w:b w:val="0"/>
          <w:bCs w:val="0"/>
          <w:color w:val="000000"/>
          <w:kern w:val="0"/>
          <w:sz w:val="21"/>
          <w:szCs w:val="21"/>
        </w:rPr>
        <w:t>表</w:t>
      </w:r>
      <w:r>
        <w:rPr>
          <w:rFonts w:hint="eastAsia" w:eastAsia="黑体"/>
          <w:b w:val="0"/>
          <w:bCs w:val="0"/>
          <w:color w:val="000000"/>
          <w:kern w:val="0"/>
          <w:sz w:val="21"/>
          <w:szCs w:val="21"/>
          <w:lang w:val="en-US" w:eastAsia="zh-CN"/>
        </w:rPr>
        <w:t>4</w:t>
      </w:r>
      <w:r>
        <w:rPr>
          <w:rFonts w:eastAsia="黑体"/>
          <w:b w:val="0"/>
          <w:bCs w:val="0"/>
          <w:color w:val="000000"/>
          <w:kern w:val="0"/>
          <w:sz w:val="21"/>
          <w:szCs w:val="21"/>
        </w:rPr>
        <w:t>-1二期工程</w:t>
      </w:r>
      <w:r>
        <w:rPr>
          <w:rFonts w:hint="eastAsia" w:eastAsia="黑体"/>
          <w:b w:val="0"/>
          <w:bCs w:val="0"/>
          <w:color w:val="000000"/>
          <w:kern w:val="0"/>
          <w:sz w:val="21"/>
          <w:szCs w:val="21"/>
        </w:rPr>
        <w:t>实际</w:t>
      </w:r>
      <w:r>
        <w:rPr>
          <w:rFonts w:eastAsia="黑体"/>
          <w:b w:val="0"/>
          <w:bCs w:val="0"/>
          <w:color w:val="000000"/>
          <w:kern w:val="0"/>
          <w:sz w:val="21"/>
          <w:szCs w:val="21"/>
        </w:rPr>
        <w:t>环保</w:t>
      </w:r>
      <w:r>
        <w:rPr>
          <w:rFonts w:hint="eastAsia" w:eastAsia="黑体"/>
          <w:b w:val="0"/>
          <w:bCs w:val="0"/>
          <w:color w:val="000000"/>
          <w:kern w:val="0"/>
          <w:sz w:val="21"/>
          <w:szCs w:val="21"/>
        </w:rPr>
        <w:t>投资</w:t>
      </w:r>
      <w:r>
        <w:rPr>
          <w:rFonts w:eastAsia="黑体"/>
          <w:b w:val="0"/>
          <w:bCs w:val="0"/>
          <w:color w:val="000000"/>
          <w:kern w:val="0"/>
          <w:sz w:val="21"/>
          <w:szCs w:val="21"/>
        </w:rPr>
        <w:t>一览表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926"/>
        <w:gridCol w:w="2371"/>
        <w:gridCol w:w="2611"/>
        <w:gridCol w:w="2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序号</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项目</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hint="eastAsia" w:eastAsia="宋体"/>
                <w:kern w:val="2"/>
                <w:sz w:val="21"/>
                <w:szCs w:val="21"/>
                <w:lang w:val="en-US" w:eastAsia="zh-CN"/>
              </w:rPr>
              <w:t>环评</w:t>
            </w:r>
            <w:r>
              <w:rPr>
                <w:rFonts w:eastAsia="宋体"/>
                <w:kern w:val="2"/>
                <w:sz w:val="21"/>
                <w:szCs w:val="21"/>
              </w:rPr>
              <w:t>投资（万元）</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kern w:val="2"/>
                <w:sz w:val="21"/>
                <w:szCs w:val="21"/>
                <w:lang w:val="en-US" w:eastAsia="zh-CN"/>
              </w:rPr>
              <w:t>实际投资金额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排烟冷却塔</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6240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6540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2</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低低温静电除尘器</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10000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3</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低氮燃烧器及烟气脱硝</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9450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9850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4</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脱硫</w:t>
            </w:r>
            <w:r>
              <w:rPr>
                <w:rFonts w:hint="eastAsia" w:eastAsia="宋体"/>
                <w:kern w:val="2"/>
                <w:sz w:val="21"/>
                <w:szCs w:val="21"/>
              </w:rPr>
              <w:t>、</w:t>
            </w:r>
            <w:r>
              <w:rPr>
                <w:rFonts w:eastAsia="宋体"/>
                <w:kern w:val="2"/>
                <w:sz w:val="21"/>
                <w:szCs w:val="21"/>
              </w:rPr>
              <w:t>除尘装置</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16200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19200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5</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废水处理及回收设施</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1719</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1833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6</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消声降噪设备</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2095</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2295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7</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隔声屏障</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hint="eastAsia" w:eastAsia="宋体"/>
                <w:kern w:val="2"/>
                <w:sz w:val="21"/>
                <w:szCs w:val="21"/>
              </w:rPr>
              <w:t>2400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8</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灰渣处理系统</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3536</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3540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9</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输煤栈桥加罩密闭及煤场干煤棚、防风抑尘网设施</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2550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10</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地下水防渗费用</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250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11</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绿化</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120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12</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烟气在线监测及环境监测设备</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80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13</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环境影响评价和环保设施验收费用</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400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14</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环境监理费</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70</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15</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水保设施投资</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3451</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eastAsia="宋体"/>
                <w:kern w:val="2"/>
                <w:sz w:val="21"/>
                <w:szCs w:val="21"/>
                <w:lang w:val="en-US" w:eastAsia="zh-CN"/>
              </w:rPr>
              <w:t>2451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544"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16</w:t>
            </w:r>
          </w:p>
        </w:tc>
        <w:tc>
          <w:tcPr>
            <w:tcW w:w="1391"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合计</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5</w:t>
            </w:r>
            <w:r>
              <w:rPr>
                <w:rFonts w:hint="eastAsia" w:eastAsia="宋体"/>
                <w:kern w:val="2"/>
                <w:sz w:val="21"/>
                <w:szCs w:val="21"/>
              </w:rPr>
              <w:t>8561</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color w:val="FF0000"/>
                <w:kern w:val="2"/>
                <w:sz w:val="21"/>
                <w:szCs w:val="21"/>
                <w:lang w:val="en-US" w:eastAsia="zh-CN"/>
              </w:rPr>
            </w:pPr>
            <w:r>
              <w:rPr>
                <w:rFonts w:hint="eastAsia"/>
                <w:kern w:val="2"/>
                <w:sz w:val="21"/>
                <w:szCs w:val="21"/>
                <w:lang w:val="en-US" w:eastAsia="zh-CN"/>
              </w:rPr>
              <w:t>63979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1935" w:type="pct"/>
            <w:gridSpan w:val="2"/>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本工程静态总投资</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eastAsia="宋体"/>
                <w:kern w:val="2"/>
                <w:sz w:val="21"/>
                <w:szCs w:val="21"/>
              </w:rPr>
              <w:t>522052</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kern w:val="2"/>
                <w:sz w:val="21"/>
                <w:szCs w:val="21"/>
                <w:lang w:val="en-US" w:eastAsia="zh-CN"/>
              </w:rPr>
            </w:pPr>
            <w:r>
              <w:rPr>
                <w:rFonts w:hint="eastAsia"/>
                <w:kern w:val="2"/>
                <w:sz w:val="21"/>
                <w:szCs w:val="21"/>
                <w:lang w:val="en-US" w:eastAsia="zh-CN"/>
              </w:rPr>
              <w:t>533149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trPr>
        <w:tc>
          <w:tcPr>
            <w:tcW w:w="1935" w:type="pct"/>
            <w:gridSpan w:val="2"/>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hint="eastAsia" w:eastAsia="宋体"/>
                <w:kern w:val="2"/>
                <w:sz w:val="21"/>
                <w:szCs w:val="21"/>
              </w:rPr>
              <w:t>环保投资占总投资比例</w:t>
            </w:r>
          </w:p>
        </w:tc>
        <w:tc>
          <w:tcPr>
            <w:tcW w:w="1532" w:type="pct"/>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kern w:val="2"/>
                <w:sz w:val="21"/>
                <w:szCs w:val="21"/>
              </w:rPr>
            </w:pPr>
            <w:r>
              <w:rPr>
                <w:rFonts w:hint="eastAsia" w:eastAsia="宋体"/>
                <w:kern w:val="2"/>
                <w:sz w:val="21"/>
                <w:szCs w:val="21"/>
              </w:rPr>
              <w:t>11.22%</w:t>
            </w:r>
          </w:p>
        </w:tc>
        <w:tc>
          <w:tcPr>
            <w:tcW w:w="2611" w:type="dxa"/>
            <w:tcBorders>
              <w:tl2br w:val="nil"/>
              <w:tr2bl w:val="nil"/>
            </w:tcBorders>
            <w:noWrap w:val="0"/>
            <w:tcMar>
              <w:top w:w="0" w:type="dxa"/>
              <w:left w:w="108" w:type="dxa"/>
              <w:bottom w:w="0"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kern w:val="2"/>
                <w:sz w:val="21"/>
                <w:szCs w:val="21"/>
                <w:lang w:val="en-US" w:eastAsia="zh-CN"/>
              </w:rPr>
            </w:pPr>
            <w:r>
              <w:rPr>
                <w:rFonts w:hint="eastAsia"/>
                <w:kern w:val="2"/>
                <w:sz w:val="21"/>
                <w:szCs w:val="21"/>
                <w:lang w:val="en-US" w:eastAsia="zh-CN"/>
              </w:rPr>
              <w:t>12.00%</w:t>
            </w:r>
          </w:p>
        </w:tc>
      </w:tr>
    </w:tbl>
    <w:p>
      <w:pPr>
        <w:rPr>
          <w:rFonts w:hint="eastAsia" w:ascii="Times New Roman" w:hAnsi="Times New Roman" w:eastAsia="宋体" w:cs="Times New Roman"/>
          <w:color w:val="auto"/>
          <w:highlight w:val="none"/>
          <w:lang w:val="en-US" w:eastAsia="zh-CN"/>
        </w:rPr>
      </w:pPr>
      <w:bookmarkStart w:id="68" w:name="_Toc18845"/>
      <w:r>
        <w:rPr>
          <w:rFonts w:hint="eastAsia" w:ascii="Times New Roman" w:hAnsi="Times New Roman" w:eastAsia="宋体" w:cs="Times New Roman"/>
          <w:color w:val="auto"/>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color w:val="auto"/>
          <w:sz w:val="24"/>
          <w:highlight w:val="none"/>
          <w:lang w:val="en-US" w:eastAsia="zh-CN"/>
        </w:rPr>
      </w:pPr>
      <w:r>
        <w:rPr>
          <w:rFonts w:hint="eastAsia" w:ascii="Times New Roman" w:hAnsi="Times New Roman" w:eastAsia="宋体" w:cs="Times New Roman"/>
          <w:color w:val="auto"/>
          <w:highlight w:val="none"/>
          <w:lang w:val="en-US" w:eastAsia="zh-CN"/>
        </w:rPr>
        <w:t>4.3.2</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三同时</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落实情况</w:t>
      </w:r>
      <w:bookmarkEnd w:id="68"/>
    </w:p>
    <w:p>
      <w:pPr>
        <w:ind w:firstLine="480"/>
      </w:pPr>
      <w:r>
        <w:t>淮北平山电厂</w:t>
      </w:r>
      <w:r>
        <w:rPr>
          <w:rFonts w:hint="eastAsia"/>
          <w:lang w:val="en-US" w:eastAsia="zh-CN"/>
        </w:rPr>
        <w:t>二期</w:t>
      </w:r>
      <w:r>
        <w:t>机组环保</w:t>
      </w:r>
      <w:r>
        <w:rPr>
          <w:rFonts w:hint="eastAsia"/>
        </w:rPr>
        <w:t>“</w:t>
      </w:r>
      <w:r>
        <w:t>三同时</w:t>
      </w:r>
      <w:r>
        <w:rPr>
          <w:rFonts w:hint="eastAsia"/>
        </w:rPr>
        <w:t>”</w:t>
      </w:r>
      <w:r>
        <w:t>落实情况见下表。</w:t>
      </w:r>
    </w:p>
    <w:p>
      <w:pPr>
        <w:pStyle w:val="35"/>
        <w:keepNext w:val="0"/>
        <w:keepLines w:val="0"/>
        <w:pageBreakBefore w:val="0"/>
        <w:widowControl w:val="0"/>
        <w:kinsoku/>
        <w:wordWrap/>
        <w:overflowPunct/>
        <w:topLinePunct w:val="0"/>
        <w:autoSpaceDE/>
        <w:autoSpaceDN/>
        <w:bidi w:val="0"/>
        <w:adjustRightInd/>
        <w:snapToGrid/>
        <w:spacing w:before="0" w:line="360" w:lineRule="auto"/>
        <w:textAlignment w:val="auto"/>
      </w:pPr>
      <w:r>
        <w:t>表</w:t>
      </w:r>
      <w:r>
        <w:rPr>
          <w:rFonts w:hint="eastAsia"/>
          <w:lang w:val="en-US" w:eastAsia="zh-CN"/>
        </w:rPr>
        <w:t>4-2</w:t>
      </w:r>
      <w:r>
        <w:t>环保</w:t>
      </w:r>
      <w:r>
        <w:rPr>
          <w:rFonts w:hint="eastAsia"/>
        </w:rPr>
        <w:t>“</w:t>
      </w:r>
      <w:r>
        <w:t>三同时</w:t>
      </w:r>
      <w:r>
        <w:rPr>
          <w:rFonts w:hint="eastAsia"/>
        </w:rPr>
        <w:t>”</w:t>
      </w:r>
      <w:r>
        <w:t>制度落实情况一览表</w:t>
      </w:r>
    </w:p>
    <w:tbl>
      <w:tblPr>
        <w:tblStyle w:val="23"/>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3"/>
        <w:gridCol w:w="861"/>
        <w:gridCol w:w="2878"/>
        <w:gridCol w:w="40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0" w:hRule="atLeast"/>
          <w:tblHeader/>
        </w:trPr>
        <w:tc>
          <w:tcPr>
            <w:tcW w:w="4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类别</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项目</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治理措施</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sz w:val="21"/>
                <w:szCs w:val="21"/>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废气</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粉尘治理措施</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除尘</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低低温静电除尘器+高效石灰石—石膏湿法烟气脱硫三层屋脊式的高效除雾器。</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sz w:val="21"/>
                <w:szCs w:val="21"/>
              </w:rPr>
              <w:t>2套</w:t>
            </w:r>
            <w:r>
              <w:rPr>
                <w:rFonts w:hint="eastAsia"/>
                <w:sz w:val="21"/>
                <w:szCs w:val="21"/>
                <w:lang w:eastAsia="zh-CN"/>
              </w:rPr>
              <w:t>四室五电场</w:t>
            </w:r>
            <w:r>
              <w:rPr>
                <w:sz w:val="21"/>
                <w:szCs w:val="21"/>
              </w:rPr>
              <w:t>静电除尘器，五电场全部采用高频电源。</w:t>
            </w:r>
            <w:r>
              <w:rPr>
                <w:rFonts w:eastAsia="宋体"/>
                <w:sz w:val="21"/>
                <w:szCs w:val="21"/>
              </w:rPr>
              <w:t>高效石灰石</w:t>
            </w:r>
            <w:r>
              <w:rPr>
                <w:rFonts w:hint="eastAsia" w:eastAsia="宋体"/>
                <w:sz w:val="21"/>
                <w:szCs w:val="21"/>
                <w:lang w:val="en-US" w:eastAsia="zh-CN"/>
              </w:rPr>
              <w:t>-</w:t>
            </w:r>
            <w:r>
              <w:rPr>
                <w:rFonts w:eastAsia="宋体"/>
                <w:sz w:val="21"/>
                <w:szCs w:val="21"/>
              </w:rPr>
              <w:t>石膏湿法烟气脱硫三层屋脊式</w:t>
            </w:r>
            <w:r>
              <w:rPr>
                <w:rFonts w:hint="eastAsia" w:eastAsia="宋体"/>
                <w:sz w:val="21"/>
                <w:szCs w:val="21"/>
                <w:lang w:val="en-US" w:eastAsia="zh-CN"/>
              </w:rPr>
              <w:t>+一层管式</w:t>
            </w:r>
            <w:r>
              <w:rPr>
                <w:rFonts w:eastAsia="宋体"/>
                <w:sz w:val="21"/>
                <w:szCs w:val="21"/>
              </w:rPr>
              <w:t>的高效除雾器。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烟气脱硫</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高效石灰石—石膏湿法烟气脱硫，单塔，</w:t>
            </w:r>
            <w:r>
              <w:rPr>
                <w:sz w:val="21"/>
                <w:szCs w:val="21"/>
              </w:rPr>
              <w:t>喷淋塔技术。</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21"/>
                <w:szCs w:val="21"/>
                <w:lang w:eastAsia="zh-CN"/>
              </w:rPr>
            </w:pPr>
            <w:r>
              <w:rPr>
                <w:sz w:val="21"/>
                <w:szCs w:val="21"/>
              </w:rPr>
              <w:t>采用石灰石-石膏湿法烟气脱硫工艺，设置5层喷淋层，配5台浆液循环泵，</w:t>
            </w:r>
            <w:r>
              <w:rPr>
                <w:rFonts w:hint="eastAsia"/>
                <w:sz w:val="21"/>
                <w:szCs w:val="21"/>
                <w:lang w:val="en-US" w:eastAsia="zh-CN"/>
              </w:rPr>
              <w:t>3</w:t>
            </w:r>
            <w:r>
              <w:rPr>
                <w:sz w:val="21"/>
                <w:szCs w:val="21"/>
              </w:rPr>
              <w:t>台氧化风机；不设烟气旁路，不加装GGH</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NO</w:t>
            </w:r>
            <w:r>
              <w:rPr>
                <w:rFonts w:eastAsia="宋体"/>
                <w:sz w:val="21"/>
                <w:szCs w:val="21"/>
                <w:vertAlign w:val="subscript"/>
              </w:rPr>
              <w:t>x</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低氮燃烧及SCR脱氮装置</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21"/>
                <w:szCs w:val="21"/>
                <w:lang w:eastAsia="zh-CN"/>
              </w:rPr>
            </w:pPr>
            <w:r>
              <w:rPr>
                <w:rFonts w:hint="eastAsia"/>
                <w:sz w:val="21"/>
                <w:szCs w:val="21"/>
                <w:lang w:val="en-US" w:eastAsia="zh-CN"/>
              </w:rPr>
              <w:t>全负荷低氧</w:t>
            </w:r>
            <w:r>
              <w:rPr>
                <w:sz w:val="21"/>
                <w:szCs w:val="21"/>
              </w:rPr>
              <w:t>低氮燃烧</w:t>
            </w:r>
            <w:r>
              <w:rPr>
                <w:rFonts w:hint="eastAsia"/>
                <w:sz w:val="21"/>
                <w:szCs w:val="21"/>
                <w:lang w:val="en-US" w:eastAsia="zh-CN"/>
              </w:rPr>
              <w:t>技术+</w:t>
            </w:r>
            <w:r>
              <w:rPr>
                <w:sz w:val="21"/>
                <w:szCs w:val="21"/>
              </w:rPr>
              <w:t>SCR脱硝工艺，脱硝还原剂为氨</w:t>
            </w:r>
            <w:r>
              <w:rPr>
                <w:rFonts w:hint="eastAsia"/>
                <w:sz w:val="21"/>
                <w:szCs w:val="21"/>
                <w:lang w:eastAsia="zh-CN"/>
              </w:rPr>
              <w:t>（</w:t>
            </w:r>
            <w:r>
              <w:rPr>
                <w:rFonts w:hint="eastAsia"/>
                <w:sz w:val="21"/>
                <w:szCs w:val="21"/>
                <w:lang w:val="en-US" w:eastAsia="zh-CN"/>
              </w:rPr>
              <w:t>尿素热解产生，不设液氨储罐</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汞及其化合物</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脱硝+除尘+脱硫设施协同脱汞</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脱硝+除尘+脱硫设施协同脱汞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烟气</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监管</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烟气连续在线监测系统(CEMS)</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在烟气总排口安装烟气在线连续监测系统（CEMS）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煤场</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扬尘</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设封闭式条形煤场，上部设置干煤棚，两端设防风抑尘网，设喷水装置；煤仓间及各转运点设除尘器。</w:t>
            </w:r>
          </w:p>
        </w:tc>
        <w:tc>
          <w:tcPr>
            <w:tcW w:w="2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eastAsia="宋体"/>
                <w:sz w:val="21"/>
                <w:szCs w:val="21"/>
              </w:rPr>
              <w:t>设封闭式条形煤场，上部设置干煤棚，两端设防风抑尘网</w:t>
            </w:r>
            <w:r>
              <w:rPr>
                <w:rFonts w:hint="eastAsia"/>
                <w:sz w:val="21"/>
                <w:szCs w:val="21"/>
                <w:lang w:eastAsia="zh-CN"/>
              </w:rPr>
              <w:t>；</w:t>
            </w:r>
            <w:r>
              <w:rPr>
                <w:rFonts w:hint="eastAsia"/>
                <w:sz w:val="21"/>
                <w:szCs w:val="21"/>
                <w:lang w:val="en-US" w:eastAsia="zh-CN"/>
              </w:rPr>
              <w:t>煤场内部</w:t>
            </w:r>
            <w:r>
              <w:rPr>
                <w:rFonts w:eastAsia="宋体"/>
                <w:sz w:val="21"/>
                <w:szCs w:val="21"/>
              </w:rPr>
              <w:t>设喷水装置；煤仓间及各转运点</w:t>
            </w:r>
            <w:r>
              <w:rPr>
                <w:rFonts w:hint="eastAsia"/>
                <w:sz w:val="21"/>
                <w:szCs w:val="21"/>
                <w:lang w:val="en-US" w:eastAsia="zh-CN"/>
              </w:rPr>
              <w:t>均</w:t>
            </w:r>
            <w:r>
              <w:rPr>
                <w:rFonts w:eastAsia="宋体"/>
                <w:sz w:val="21"/>
                <w:szCs w:val="21"/>
              </w:rPr>
              <w:t>设</w:t>
            </w:r>
            <w:r>
              <w:rPr>
                <w:rFonts w:hint="eastAsia"/>
                <w:sz w:val="21"/>
                <w:szCs w:val="21"/>
                <w:lang w:val="en-US" w:eastAsia="zh-CN"/>
              </w:rPr>
              <w:t>布袋</w:t>
            </w:r>
            <w:r>
              <w:rPr>
                <w:rFonts w:eastAsia="宋体"/>
                <w:sz w:val="21"/>
                <w:szCs w:val="21"/>
              </w:rPr>
              <w:t>除尘器。</w:t>
            </w:r>
            <w:r>
              <w:rPr>
                <w:rFonts w:hint="eastAsia"/>
                <w:sz w:val="21"/>
                <w:szCs w:val="21"/>
                <w:lang w:val="en-US" w:eastAsia="zh-CN"/>
              </w:rPr>
              <w:t>每座灰库顶部均设置1台脉冲布袋除尘器。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石灰石粉尘</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封闭作业</w:t>
            </w:r>
          </w:p>
        </w:tc>
        <w:tc>
          <w:tcPr>
            <w:tcW w:w="2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灰库</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灰库顶部设有袋式除尘器</w:t>
            </w:r>
          </w:p>
        </w:tc>
        <w:tc>
          <w:tcPr>
            <w:tcW w:w="2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废水治理措施</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生活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污水</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设置两套二级生化处理装置</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生活污水处理依托一期污水处理厂；本期项目生活污水通过自流或提升方式排入一期生活污水处理厂处理，处理后废水回用于场内绿化。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脱硫</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废水</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设置一套加药、絮凝、中和、氧化处理装置</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ascii="Times New Roman" w:hAnsi="Times New Roman"/>
                <w:sz w:val="21"/>
                <w:szCs w:val="21"/>
                <w:lang w:val="en-US" w:eastAsia="zh-CN"/>
              </w:rPr>
              <w:t>在脱硫综合楼西侧建设一套脱硫废水处理系统，处理能力1×30m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/h，工艺采用“中和、絮凝、沉淀”等处理后，废水排入含煤废水回用水池回用，污泥经脱水后送至厂外处置。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输煤系统废水</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设置一套絮凝、沉淀处理装置</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结合实际情况，</w:t>
            </w:r>
            <w:r>
              <w:rPr>
                <w:rFonts w:eastAsia="宋体"/>
                <w:sz w:val="21"/>
                <w:szCs w:val="21"/>
              </w:rPr>
              <w:t>本期工程在新建煤场的</w:t>
            </w:r>
            <w:r>
              <w:rPr>
                <w:rFonts w:hint="eastAsia"/>
                <w:sz w:val="21"/>
                <w:szCs w:val="21"/>
                <w:lang w:val="en-US" w:eastAsia="zh-CN"/>
              </w:rPr>
              <w:t>西侧</w:t>
            </w:r>
            <w:r>
              <w:rPr>
                <w:rFonts w:eastAsia="宋体"/>
                <w:sz w:val="21"/>
                <w:szCs w:val="21"/>
              </w:rPr>
              <w:t>设置</w:t>
            </w:r>
            <w:r>
              <w:rPr>
                <w:rFonts w:hint="eastAsia"/>
                <w:sz w:val="21"/>
                <w:szCs w:val="21"/>
                <w:lang w:val="en-US" w:eastAsia="zh-CN"/>
              </w:rPr>
              <w:t>1</w:t>
            </w:r>
            <w:r>
              <w:rPr>
                <w:rFonts w:eastAsia="宋体"/>
                <w:sz w:val="21"/>
                <w:szCs w:val="21"/>
              </w:rPr>
              <w:t>个煤泥沉淀池，</w:t>
            </w:r>
            <w:r>
              <w:rPr>
                <w:rFonts w:hint="eastAsia"/>
                <w:sz w:val="21"/>
                <w:szCs w:val="21"/>
                <w:lang w:val="en-US" w:eastAsia="zh-CN"/>
              </w:rPr>
              <w:t>考虑一期工程</w:t>
            </w:r>
            <w:r>
              <w:rPr>
                <w:rFonts w:eastAsia="宋体"/>
                <w:sz w:val="21"/>
                <w:szCs w:val="21"/>
              </w:rPr>
              <w:t>含煤废水处理</w:t>
            </w:r>
            <w:r>
              <w:rPr>
                <w:rFonts w:hint="eastAsia"/>
                <w:sz w:val="21"/>
                <w:szCs w:val="21"/>
                <w:lang w:val="en-US" w:eastAsia="zh-CN"/>
              </w:rPr>
              <w:t>设备处理能力，本期不新建</w:t>
            </w:r>
            <w:r>
              <w:rPr>
                <w:rFonts w:eastAsia="宋体"/>
                <w:sz w:val="21"/>
                <w:szCs w:val="21"/>
              </w:rPr>
              <w:t>含煤废水处理设备</w:t>
            </w:r>
            <w:r>
              <w:rPr>
                <w:rFonts w:hint="eastAsia"/>
                <w:sz w:val="21"/>
                <w:szCs w:val="21"/>
                <w:lang w:eastAsia="zh-CN"/>
              </w:rPr>
              <w:t>，</w:t>
            </w:r>
            <w:r>
              <w:rPr>
                <w:rFonts w:hint="eastAsia"/>
                <w:sz w:val="21"/>
                <w:szCs w:val="21"/>
                <w:lang w:val="en-US" w:eastAsia="zh-CN"/>
              </w:rPr>
              <w:t>依托一期</w:t>
            </w:r>
            <w:r>
              <w:rPr>
                <w:rFonts w:eastAsia="宋体"/>
                <w:sz w:val="21"/>
                <w:szCs w:val="21"/>
              </w:rPr>
              <w:t>含煤废水处理</w:t>
            </w:r>
            <w:r>
              <w:rPr>
                <w:rFonts w:hint="eastAsia"/>
                <w:sz w:val="21"/>
                <w:szCs w:val="21"/>
                <w:lang w:val="en-US" w:eastAsia="zh-CN"/>
              </w:rPr>
              <w:t>系统，净化后废水用于煤场喷淋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经常性工业废水</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调节pH、过滤处理</w:t>
            </w:r>
          </w:p>
        </w:tc>
        <w:tc>
          <w:tcPr>
            <w:tcW w:w="2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ascii="Times New Roman" w:hAnsi="Times New Roman" w:eastAsia="宋体"/>
                <w:kern w:val="2"/>
                <w:sz w:val="21"/>
                <w:szCs w:val="21"/>
                <w:lang w:val="en-US" w:eastAsia="zh-CN" w:bidi="ar-SA"/>
              </w:rPr>
              <w:t>厂内设置</w:t>
            </w:r>
            <w:r>
              <w:rPr>
                <w:rFonts w:hint="eastAsia" w:ascii="Times New Roman" w:hAnsi="Times New Roman" w:eastAsia="宋体"/>
                <w:kern w:val="2"/>
                <w:sz w:val="21"/>
                <w:szCs w:val="21"/>
                <w:lang w:val="en-US" w:eastAsia="zh-CN" w:bidi="ar-SA"/>
              </w:rPr>
              <w:t>1座</w:t>
            </w:r>
            <w:r>
              <w:rPr>
                <w:rFonts w:hint="eastAsia"/>
                <w:kern w:val="2"/>
                <w:sz w:val="21"/>
                <w:szCs w:val="21"/>
                <w:lang w:val="en-US" w:eastAsia="zh-CN" w:bidi="ar-SA"/>
              </w:rPr>
              <w:t>2</w:t>
            </w:r>
            <w:r>
              <w:rPr>
                <w:rFonts w:hint="eastAsia" w:ascii="Times New Roman" w:hAnsi="Times New Roman" w:eastAsia="宋体"/>
                <w:kern w:val="2"/>
                <w:sz w:val="21"/>
                <w:szCs w:val="21"/>
                <w:lang w:val="en-US" w:eastAsia="zh-CN" w:bidi="ar-SA"/>
              </w:rPr>
              <w:t>000</w:t>
            </w:r>
            <w:r>
              <w:rPr>
                <w:rFonts w:ascii="Times New Roman" w:hAnsi="Times New Roman" w:eastAsia="宋体"/>
                <w:kern w:val="2"/>
                <w:sz w:val="21"/>
                <w:szCs w:val="21"/>
                <w:lang w:val="en-US" w:eastAsia="zh-CN" w:bidi="ar-SA"/>
              </w:rPr>
              <w:t>m</w:t>
            </w:r>
            <w:r>
              <w:rPr>
                <w:rFonts w:ascii="Times New Roman" w:hAnsi="Times New Roman" w:eastAsia="宋体"/>
                <w:kern w:val="2"/>
                <w:sz w:val="21"/>
                <w:szCs w:val="21"/>
                <w:vertAlign w:val="superscript"/>
                <w:lang w:val="en-US" w:eastAsia="zh-CN" w:bidi="ar-SA"/>
              </w:rPr>
              <w:t>3</w:t>
            </w:r>
            <w:r>
              <w:rPr>
                <w:rFonts w:ascii="Times New Roman" w:hAnsi="Times New Roman" w:eastAsia="宋体"/>
                <w:kern w:val="2"/>
                <w:sz w:val="21"/>
                <w:szCs w:val="21"/>
                <w:lang w:val="en-US" w:eastAsia="zh-CN" w:bidi="ar-SA"/>
              </w:rPr>
              <w:t>废水贮存池</w:t>
            </w:r>
            <w:r>
              <w:rPr>
                <w:rFonts w:hint="eastAsia" w:ascii="Times New Roman" w:hAnsi="Times New Roman" w:eastAsia="宋体"/>
                <w:kern w:val="2"/>
                <w:sz w:val="21"/>
                <w:szCs w:val="21"/>
                <w:lang w:val="en-US" w:eastAsia="zh-CN" w:bidi="ar-SA"/>
              </w:rPr>
              <w:t>，</w:t>
            </w:r>
            <w:r>
              <w:rPr>
                <w:rFonts w:ascii="Times New Roman" w:hAnsi="Times New Roman" w:eastAsia="宋体"/>
                <w:kern w:val="2"/>
                <w:sz w:val="21"/>
                <w:szCs w:val="21"/>
                <w:lang w:val="en-US" w:eastAsia="zh-CN" w:bidi="ar-SA"/>
              </w:rPr>
              <w:t>工业废水</w:t>
            </w:r>
            <w:r>
              <w:rPr>
                <w:rFonts w:hint="eastAsia" w:ascii="Times New Roman" w:hAnsi="Times New Roman" w:eastAsia="宋体"/>
                <w:kern w:val="2"/>
                <w:sz w:val="21"/>
                <w:szCs w:val="21"/>
                <w:lang w:val="en-US" w:eastAsia="zh-CN" w:bidi="ar-SA"/>
              </w:rPr>
              <w:t>依托平山电厂一期项目工业废水处理系统，</w:t>
            </w:r>
            <w:r>
              <w:rPr>
                <w:rFonts w:ascii="Times New Roman" w:hAnsi="Times New Roman" w:eastAsia="宋体"/>
                <w:kern w:val="2"/>
                <w:sz w:val="21"/>
                <w:szCs w:val="21"/>
                <w:lang w:val="en-US" w:eastAsia="zh-CN" w:bidi="ar-SA"/>
              </w:rPr>
              <w:t>废水经处理后全部回用，不外排。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非经常性工业废水</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贮存并均匀水质、调节pH、氧化、絮凝、澄清、最终中和清水回用</w:t>
            </w:r>
          </w:p>
        </w:tc>
        <w:tc>
          <w:tcPr>
            <w:tcW w:w="2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循环冷却系统</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设置一套设置石灰混凝澄清处理系统</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21"/>
                <w:szCs w:val="21"/>
                <w:lang w:val="en-US" w:eastAsia="zh-CN"/>
              </w:rPr>
            </w:pPr>
            <w:r>
              <w:rPr>
                <w:rFonts w:hint="eastAsia"/>
                <w:sz w:val="21"/>
                <w:szCs w:val="21"/>
                <w:lang w:val="en-US" w:eastAsia="zh-CN"/>
              </w:rPr>
              <w:t>原水处理系统</w:t>
            </w:r>
            <w:r>
              <w:rPr>
                <w:rFonts w:eastAsia="宋体"/>
                <w:sz w:val="21"/>
                <w:szCs w:val="21"/>
              </w:rPr>
              <w:t>设置一套设置石灰混凝澄清处理系统</w:t>
            </w:r>
            <w:r>
              <w:rPr>
                <w:rFonts w:hint="eastAsia"/>
                <w:sz w:val="21"/>
                <w:szCs w:val="21"/>
                <w:lang w:val="en-US" w:eastAsia="zh-CN"/>
              </w:rPr>
              <w:t>。经软化后的冷却塔排水再回用于循环冷却系统补水。电厂产生的冷却塔排水可全部回用。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地下水污染防治措施</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分区防渗：危险废物暂存库，渗透系数小于10</w:t>
            </w:r>
            <w:r>
              <w:rPr>
                <w:rFonts w:eastAsia="宋体"/>
                <w:sz w:val="21"/>
                <w:szCs w:val="21"/>
                <w:vertAlign w:val="superscript"/>
              </w:rPr>
              <w:t>-10</w:t>
            </w:r>
            <w:r>
              <w:rPr>
                <w:rFonts w:eastAsia="宋体"/>
                <w:sz w:val="21"/>
                <w:szCs w:val="21"/>
              </w:rPr>
              <w:t>cm/s；一般防渗区，如石膏脱水车间、煤场、灰库、原水石灰处理系统、化水车间等区域渗透系数小于1×10</w:t>
            </w:r>
            <w:r>
              <w:rPr>
                <w:rFonts w:eastAsia="宋体"/>
                <w:sz w:val="21"/>
                <w:szCs w:val="21"/>
                <w:vertAlign w:val="superscript"/>
              </w:rPr>
              <w:t>-7</w:t>
            </w:r>
            <w:r>
              <w:rPr>
                <w:rFonts w:eastAsia="宋体"/>
                <w:sz w:val="21"/>
                <w:szCs w:val="21"/>
              </w:rPr>
              <w:t>cm/s。</w:t>
            </w:r>
          </w:p>
        </w:tc>
        <w:tc>
          <w:tcPr>
            <w:tcW w:w="2398" w:type="pct"/>
            <w:noWrap w:val="0"/>
            <w:vAlign w:val="center"/>
          </w:tcPr>
          <w:p>
            <w:pPr>
              <w:pStyle w:val="8"/>
              <w:keepNext w:val="0"/>
              <w:keepLines w:val="0"/>
              <w:pageBreakBefore w:val="0"/>
              <w:widowControl w:val="0"/>
              <w:numPr>
                <w:ilvl w:val="0"/>
                <w:numId w:val="3"/>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val="en-US" w:eastAsia="zh-CN"/>
              </w:rPr>
            </w:pPr>
            <w:r>
              <w:rPr>
                <w:rFonts w:ascii="Times New Roman" w:hAnsi="Times New Roman"/>
                <w:sz w:val="21"/>
                <w:szCs w:val="21"/>
              </w:rPr>
              <w:t>危险废物暂存库</w:t>
            </w:r>
            <w:r>
              <w:rPr>
                <w:rFonts w:hint="eastAsia" w:ascii="Times New Roman" w:hAnsi="Times New Roman"/>
                <w:sz w:val="21"/>
                <w:szCs w:val="21"/>
                <w:lang w:eastAsia="zh-CN"/>
              </w:rPr>
              <w:t>、</w:t>
            </w:r>
            <w:r>
              <w:rPr>
                <w:rFonts w:ascii="Times New Roman" w:hAnsi="Times New Roman"/>
                <w:sz w:val="21"/>
                <w:szCs w:val="21"/>
              </w:rPr>
              <w:t>煤场</w:t>
            </w:r>
            <w:r>
              <w:rPr>
                <w:rFonts w:hint="eastAsia" w:ascii="Times New Roman" w:hAnsi="Times New Roman"/>
                <w:sz w:val="21"/>
                <w:szCs w:val="21"/>
                <w:lang w:eastAsia="zh-CN"/>
              </w:rPr>
              <w:t>：</w:t>
            </w:r>
            <w:r>
              <w:rPr>
                <w:rFonts w:ascii="Times New Roman" w:hAnsi="Times New Roman"/>
                <w:sz w:val="21"/>
                <w:szCs w:val="21"/>
              </w:rPr>
              <w:t>采用压实粘土+防渗膜进行防渗，压实粘土厚度</w:t>
            </w:r>
            <w:r>
              <w:rPr>
                <w:rFonts w:hint="eastAsia" w:ascii="Times New Roman" w:hAnsi="Times New Roman"/>
                <w:sz w:val="21"/>
                <w:szCs w:val="21"/>
                <w:lang w:val="en-US" w:eastAsia="zh-CN"/>
              </w:rPr>
              <w:t>1m</w:t>
            </w:r>
            <w:r>
              <w:rPr>
                <w:rFonts w:ascii="Times New Roman" w:hAnsi="Times New Roman"/>
                <w:sz w:val="21"/>
                <w:szCs w:val="21"/>
              </w:rPr>
              <w:t>，HDPE</w:t>
            </w:r>
            <w:r>
              <w:rPr>
                <w:rFonts w:hint="eastAsia" w:ascii="Times New Roman" w:hAnsi="Times New Roman"/>
                <w:sz w:val="21"/>
                <w:szCs w:val="21"/>
                <w:lang w:val="en-US" w:eastAsia="zh-CN"/>
              </w:rPr>
              <w:t>厚1.5mm</w:t>
            </w:r>
            <w:r>
              <w:rPr>
                <w:rFonts w:hint="eastAsia" w:ascii="Times New Roman" w:hAnsi="Times New Roman"/>
                <w:sz w:val="21"/>
                <w:szCs w:val="21"/>
                <w:lang w:eastAsia="zh-CN"/>
              </w:rPr>
              <w:t>，</w:t>
            </w:r>
            <w:r>
              <w:rPr>
                <w:rFonts w:ascii="Times New Roman" w:hAnsi="Times New Roman"/>
                <w:sz w:val="21"/>
                <w:szCs w:val="21"/>
              </w:rPr>
              <w:t>渗透系数K≤1.0×10-</w:t>
            </w:r>
            <w:r>
              <w:rPr>
                <w:rFonts w:hint="eastAsia" w:ascii="Times New Roman" w:hAnsi="Times New Roman"/>
                <w:sz w:val="21"/>
                <w:szCs w:val="21"/>
                <w:vertAlign w:val="superscript"/>
              </w:rPr>
              <w:t>10</w:t>
            </w:r>
            <w:r>
              <w:rPr>
                <w:rFonts w:ascii="Times New Roman" w:hAnsi="Times New Roman"/>
                <w:sz w:val="21"/>
                <w:szCs w:val="21"/>
              </w:rPr>
              <w:t>cm/s</w:t>
            </w:r>
            <w:r>
              <w:rPr>
                <w:rFonts w:hint="eastAsia" w:ascii="Times New Roman" w:hAnsi="Times New Roman"/>
                <w:sz w:val="21"/>
                <w:szCs w:val="21"/>
                <w:lang w:eastAsia="zh-CN"/>
              </w:rPr>
              <w:t>；</w:t>
            </w:r>
          </w:p>
          <w:p>
            <w:pPr>
              <w:pStyle w:val="8"/>
              <w:keepNext w:val="0"/>
              <w:keepLines w:val="0"/>
              <w:pageBreakBefore w:val="0"/>
              <w:widowControl w:val="0"/>
              <w:numPr>
                <w:ilvl w:val="0"/>
                <w:numId w:val="3"/>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eastAsia="zh-CN"/>
              </w:rPr>
            </w:pPr>
            <w:r>
              <w:rPr>
                <w:rFonts w:ascii="Times New Roman" w:hAnsi="Times New Roman"/>
                <w:sz w:val="21"/>
                <w:szCs w:val="21"/>
              </w:rPr>
              <w:t>机组排水槽</w:t>
            </w:r>
            <w:r>
              <w:rPr>
                <w:rFonts w:hint="eastAsia" w:ascii="Times New Roman" w:hAnsi="Times New Roman"/>
                <w:sz w:val="21"/>
                <w:szCs w:val="21"/>
                <w:lang w:val="en-US" w:eastAsia="zh-CN"/>
              </w:rPr>
              <w:t>及废水贮存池</w:t>
            </w:r>
            <w:r>
              <w:rPr>
                <w:rFonts w:hint="eastAsia" w:ascii="Times New Roman" w:hAnsi="Times New Roman"/>
                <w:sz w:val="21"/>
                <w:szCs w:val="21"/>
                <w:lang w:eastAsia="zh-CN"/>
              </w:rPr>
              <w:t>、</w:t>
            </w:r>
            <w:r>
              <w:rPr>
                <w:rFonts w:ascii="Times New Roman" w:hAnsi="Times New Roman"/>
                <w:sz w:val="21"/>
                <w:szCs w:val="21"/>
              </w:rPr>
              <w:t>事故油池</w:t>
            </w:r>
            <w:r>
              <w:rPr>
                <w:rFonts w:hint="eastAsia" w:ascii="Times New Roman" w:hAnsi="Times New Roman"/>
                <w:sz w:val="21"/>
                <w:szCs w:val="21"/>
                <w:lang w:eastAsia="zh-CN"/>
              </w:rPr>
              <w:t>、</w:t>
            </w:r>
            <w:r>
              <w:rPr>
                <w:rFonts w:ascii="Times New Roman" w:hAnsi="Times New Roman"/>
                <w:sz w:val="21"/>
                <w:szCs w:val="21"/>
              </w:rPr>
              <w:t>煤泥沉淀池</w:t>
            </w:r>
            <w:r>
              <w:rPr>
                <w:rFonts w:hint="eastAsia" w:ascii="Times New Roman" w:hAnsi="Times New Roman"/>
                <w:sz w:val="21"/>
                <w:szCs w:val="21"/>
                <w:lang w:eastAsia="zh-CN"/>
              </w:rPr>
              <w:t>：</w:t>
            </w:r>
            <w:r>
              <w:rPr>
                <w:rFonts w:hint="eastAsia" w:ascii="Times New Roman" w:hAnsi="Times New Roman"/>
                <w:sz w:val="21"/>
                <w:szCs w:val="21"/>
                <w:lang w:val="en-US" w:eastAsia="zh-CN"/>
              </w:rPr>
              <w:t>采用池体地板及</w:t>
            </w:r>
            <w:r>
              <w:rPr>
                <w:rFonts w:hint="eastAsia" w:ascii="Times New Roman" w:hAnsi="Times New Roman"/>
                <w:sz w:val="21"/>
                <w:szCs w:val="21"/>
              </w:rPr>
              <w:t>壁厚500mm</w:t>
            </w:r>
            <w:r>
              <w:rPr>
                <w:rFonts w:hint="eastAsia" w:ascii="Times New Roman" w:hAnsi="Times New Roman"/>
                <w:sz w:val="21"/>
                <w:szCs w:val="21"/>
                <w:lang w:eastAsia="zh-CN"/>
              </w:rPr>
              <w:t>，</w:t>
            </w:r>
            <w:r>
              <w:rPr>
                <w:rFonts w:ascii="Times New Roman" w:hAnsi="Times New Roman"/>
                <w:sz w:val="21"/>
                <w:szCs w:val="21"/>
              </w:rPr>
              <w:t>抗渗等级不低于P6</w:t>
            </w:r>
            <w:r>
              <w:rPr>
                <w:rFonts w:hint="eastAsia" w:ascii="Times New Roman" w:hAnsi="Times New Roman"/>
                <w:sz w:val="21"/>
                <w:szCs w:val="21"/>
                <w:lang w:val="en-US" w:eastAsia="zh-CN"/>
              </w:rPr>
              <w:t>抗渗混凝土进行防渗；</w:t>
            </w:r>
          </w:p>
          <w:p>
            <w:pPr>
              <w:pStyle w:val="8"/>
              <w:keepNext w:val="0"/>
              <w:keepLines w:val="0"/>
              <w:pageBreakBefore w:val="0"/>
              <w:widowControl w:val="0"/>
              <w:numPr>
                <w:ilvl w:val="0"/>
                <w:numId w:val="3"/>
              </w:numPr>
              <w:kinsoku/>
              <w:wordWrap/>
              <w:overflowPunct/>
              <w:topLinePunct w:val="0"/>
              <w:autoSpaceDE/>
              <w:autoSpaceDN/>
              <w:bidi w:val="0"/>
              <w:adjustRightInd/>
              <w:snapToGrid/>
              <w:spacing w:after="0" w:line="240" w:lineRule="auto"/>
              <w:ind w:firstLine="0" w:firstLineChars="0"/>
              <w:textAlignment w:val="auto"/>
              <w:rPr>
                <w:rFonts w:hint="eastAsia" w:eastAsia="宋体"/>
                <w:sz w:val="21"/>
                <w:szCs w:val="21"/>
                <w:lang w:val="en-US" w:eastAsia="zh-CN"/>
              </w:rPr>
            </w:pPr>
            <w:r>
              <w:rPr>
                <w:rFonts w:ascii="Times New Roman" w:hAnsi="Times New Roman"/>
                <w:sz w:val="21"/>
                <w:szCs w:val="21"/>
              </w:rPr>
              <w:t>石灰石浆液制备</w:t>
            </w:r>
            <w:r>
              <w:rPr>
                <w:rFonts w:hint="eastAsia" w:ascii="Times New Roman" w:hAnsi="Times New Roman"/>
                <w:sz w:val="21"/>
                <w:szCs w:val="21"/>
                <w:lang w:eastAsia="zh-CN"/>
              </w:rPr>
              <w:t>、</w:t>
            </w:r>
            <w:r>
              <w:rPr>
                <w:rFonts w:ascii="Times New Roman" w:hAnsi="Times New Roman"/>
                <w:sz w:val="21"/>
                <w:szCs w:val="21"/>
              </w:rPr>
              <w:t>石膏脱水车间</w:t>
            </w:r>
            <w:r>
              <w:rPr>
                <w:rFonts w:hint="eastAsia" w:ascii="Times New Roman" w:hAnsi="Times New Roman"/>
                <w:sz w:val="21"/>
                <w:szCs w:val="21"/>
                <w:lang w:val="en-US" w:eastAsia="zh-CN"/>
              </w:rPr>
              <w:t>采用：</w:t>
            </w:r>
            <w:r>
              <w:rPr>
                <w:rFonts w:ascii="Times New Roman" w:hAnsi="Times New Roman"/>
                <w:sz w:val="21"/>
                <w:szCs w:val="21"/>
              </w:rPr>
              <w:t>（1）吸收塔和设备基础采用抗渗钢筋混凝防渗：（2）排水沟和排水基坑采用抗渗混凝土+防腐涂料防渗；（3）脱硫吸收塔及浆液泵房周边区域地面铺设</w:t>
            </w:r>
            <w:r>
              <w:rPr>
                <w:rFonts w:hint="eastAsia" w:ascii="Times New Roman" w:hAnsi="Times New Roman"/>
                <w:sz w:val="21"/>
                <w:szCs w:val="21"/>
                <w:lang w:val="en-US" w:eastAsia="zh-CN"/>
              </w:rPr>
              <w:t>1.5mm</w:t>
            </w:r>
            <w:r>
              <w:rPr>
                <w:rFonts w:ascii="Times New Roman" w:hAnsi="Times New Roman"/>
                <w:sz w:val="21"/>
                <w:szCs w:val="21"/>
              </w:rPr>
              <w:t>HDPE膜+抗渗混凝土防渗</w:t>
            </w:r>
            <w:r>
              <w:rPr>
                <w:rFonts w:hint="eastAsia" w:ascii="Times New Roman" w:hAnsi="Times New Roman"/>
                <w:sz w:val="21"/>
                <w:szCs w:val="21"/>
                <w:lang w:eastAsia="zh-CN"/>
              </w:rPr>
              <w:t>；</w:t>
            </w:r>
          </w:p>
          <w:p>
            <w:pPr>
              <w:pStyle w:val="8"/>
              <w:keepNext w:val="0"/>
              <w:keepLines w:val="0"/>
              <w:pageBreakBefore w:val="0"/>
              <w:widowControl w:val="0"/>
              <w:numPr>
                <w:ilvl w:val="0"/>
                <w:numId w:val="3"/>
              </w:numPr>
              <w:kinsoku/>
              <w:wordWrap/>
              <w:overflowPunct/>
              <w:topLinePunct w:val="0"/>
              <w:autoSpaceDE/>
              <w:autoSpaceDN/>
              <w:bidi w:val="0"/>
              <w:adjustRightInd/>
              <w:snapToGrid/>
              <w:spacing w:after="0" w:line="240" w:lineRule="auto"/>
              <w:ind w:firstLine="0" w:firstLineChars="0"/>
              <w:textAlignment w:val="auto"/>
              <w:rPr>
                <w:rFonts w:hint="eastAsia" w:eastAsia="宋体"/>
                <w:sz w:val="21"/>
                <w:szCs w:val="21"/>
                <w:lang w:val="en-US" w:eastAsia="zh-CN"/>
              </w:rPr>
            </w:pPr>
            <w:r>
              <w:rPr>
                <w:rFonts w:ascii="Times New Roman" w:hAnsi="Times New Roman"/>
                <w:sz w:val="21"/>
                <w:szCs w:val="21"/>
              </w:rPr>
              <w:t>灰库</w:t>
            </w:r>
            <w:r>
              <w:rPr>
                <w:rFonts w:hint="eastAsia" w:ascii="Times New Roman" w:hAnsi="Times New Roman"/>
                <w:sz w:val="21"/>
                <w:szCs w:val="21"/>
                <w:lang w:eastAsia="zh-CN"/>
              </w:rPr>
              <w:t>、</w:t>
            </w:r>
            <w:r>
              <w:rPr>
                <w:rFonts w:ascii="Times New Roman" w:hAnsi="Times New Roman"/>
                <w:sz w:val="21"/>
                <w:szCs w:val="21"/>
              </w:rPr>
              <w:t>原水石灰处理系统</w:t>
            </w:r>
            <w:r>
              <w:rPr>
                <w:rFonts w:hint="eastAsia" w:ascii="Times New Roman" w:hAnsi="Times New Roman"/>
                <w:sz w:val="21"/>
                <w:szCs w:val="21"/>
                <w:lang w:val="en-US" w:eastAsia="zh-CN"/>
              </w:rPr>
              <w:t>周边区域、</w:t>
            </w:r>
            <w:r>
              <w:rPr>
                <w:rFonts w:ascii="Times New Roman" w:hAnsi="Times New Roman"/>
                <w:sz w:val="21"/>
                <w:szCs w:val="21"/>
              </w:rPr>
              <w:t>渣仓</w:t>
            </w:r>
            <w:r>
              <w:rPr>
                <w:rFonts w:hint="eastAsia" w:ascii="Times New Roman" w:hAnsi="Times New Roman"/>
                <w:sz w:val="21"/>
                <w:szCs w:val="21"/>
                <w:lang w:val="en-US" w:eastAsia="zh-CN"/>
              </w:rPr>
              <w:t>周边区域、</w:t>
            </w:r>
            <w:r>
              <w:rPr>
                <w:rFonts w:hint="eastAsia" w:ascii="Times New Roman" w:hAnsi="Times New Roman"/>
                <w:sz w:val="21"/>
                <w:szCs w:val="21"/>
              </w:rPr>
              <w:t>脱硫废水处理区域</w:t>
            </w:r>
            <w:r>
              <w:rPr>
                <w:rFonts w:hint="eastAsia" w:ascii="Times New Roman" w:hAnsi="Times New Roman"/>
                <w:sz w:val="21"/>
                <w:szCs w:val="21"/>
                <w:lang w:eastAsia="zh-CN"/>
              </w:rPr>
              <w:t>：</w:t>
            </w:r>
            <w:r>
              <w:rPr>
                <w:rFonts w:ascii="Times New Roman" w:hAnsi="Times New Roman"/>
                <w:sz w:val="21"/>
                <w:szCs w:val="21"/>
              </w:rPr>
              <w:t>地面硬化</w:t>
            </w:r>
            <w:r>
              <w:rPr>
                <w:rFonts w:hint="eastAsia" w:ascii="Times New Roman" w:hAnsi="Times New Roman"/>
                <w:sz w:val="21"/>
                <w:szCs w:val="21"/>
              </w:rPr>
              <w:t>，地坪下</w:t>
            </w:r>
            <w:r>
              <w:rPr>
                <w:rFonts w:ascii="Times New Roman" w:hAnsi="Times New Roman"/>
                <w:sz w:val="21"/>
                <w:szCs w:val="21"/>
              </w:rPr>
              <w:t>采用压实粘土+防渗膜进行防渗，压实粘土厚度500mm，</w:t>
            </w:r>
            <w:r>
              <w:rPr>
                <w:rFonts w:hint="eastAsia" w:ascii="Times New Roman" w:hAnsi="Times New Roman"/>
                <w:sz w:val="21"/>
                <w:szCs w:val="21"/>
                <w:lang w:val="en-US" w:eastAsia="zh-CN"/>
              </w:rPr>
              <w:t>1mm厚</w:t>
            </w:r>
            <w:r>
              <w:rPr>
                <w:rFonts w:ascii="Times New Roman" w:hAnsi="Times New Roman"/>
                <w:sz w:val="21"/>
                <w:szCs w:val="21"/>
              </w:rPr>
              <w:t>HDPE膜</w:t>
            </w:r>
            <w:r>
              <w:rPr>
                <w:rFonts w:hint="eastAsia" w:ascii="Times New Roman" w:hAnsi="Times New Roman"/>
                <w:sz w:val="21"/>
                <w:szCs w:val="21"/>
                <w:lang w:eastAsia="zh-CN"/>
              </w:rPr>
              <w:t>；</w:t>
            </w:r>
          </w:p>
          <w:p>
            <w:pPr>
              <w:pStyle w:val="8"/>
              <w:keepNext w:val="0"/>
              <w:keepLines w:val="0"/>
              <w:pageBreakBefore w:val="0"/>
              <w:widowControl w:val="0"/>
              <w:numPr>
                <w:ilvl w:val="0"/>
                <w:numId w:val="3"/>
              </w:numPr>
              <w:kinsoku/>
              <w:wordWrap/>
              <w:overflowPunct/>
              <w:topLinePunct w:val="0"/>
              <w:autoSpaceDE/>
              <w:autoSpaceDN/>
              <w:bidi w:val="0"/>
              <w:adjustRightInd/>
              <w:snapToGrid/>
              <w:spacing w:after="0" w:line="240" w:lineRule="auto"/>
              <w:ind w:firstLine="0" w:firstLineChars="0"/>
              <w:textAlignment w:val="auto"/>
              <w:rPr>
                <w:rFonts w:hint="eastAsia" w:eastAsia="宋体"/>
                <w:sz w:val="21"/>
                <w:szCs w:val="21"/>
                <w:lang w:val="en-US" w:eastAsia="zh-CN"/>
              </w:rPr>
            </w:pPr>
            <w:r>
              <w:rPr>
                <w:rFonts w:hint="eastAsia" w:ascii="Times New Roman" w:hAnsi="Times New Roman"/>
                <w:sz w:val="21"/>
                <w:szCs w:val="21"/>
              </w:rPr>
              <w:t>渣水处理设施</w:t>
            </w:r>
            <w:r>
              <w:rPr>
                <w:rFonts w:hint="eastAsia" w:ascii="Times New Roman" w:hAnsi="Times New Roman"/>
                <w:sz w:val="21"/>
                <w:szCs w:val="21"/>
                <w:lang w:eastAsia="zh-CN"/>
              </w:rPr>
              <w:t>：</w:t>
            </w:r>
            <w:r>
              <w:rPr>
                <w:rFonts w:hint="eastAsia" w:ascii="Times New Roman" w:hAnsi="Times New Roman"/>
                <w:sz w:val="21"/>
                <w:szCs w:val="21"/>
                <w:lang w:val="en-US" w:eastAsia="zh-CN"/>
              </w:rPr>
              <w:t>设备基础采用</w:t>
            </w:r>
            <w:r>
              <w:rPr>
                <w:rFonts w:hint="eastAsia" w:ascii="Times New Roman" w:hAnsi="Times New Roman"/>
                <w:sz w:val="21"/>
                <w:szCs w:val="21"/>
              </w:rPr>
              <w:t>P6钢筋混凝土防渗</w:t>
            </w:r>
            <w:r>
              <w:rPr>
                <w:rFonts w:hint="eastAsia" w:ascii="Times New Roman" w:hAnsi="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噪声治理措施</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声源</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控制</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选用符合国家标准要求的低噪声设备</w:t>
            </w:r>
          </w:p>
        </w:tc>
        <w:tc>
          <w:tcPr>
            <w:tcW w:w="2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sz w:val="21"/>
                <w:szCs w:val="21"/>
              </w:rPr>
            </w:pPr>
            <w:r>
              <w:rPr>
                <w:rFonts w:hint="default"/>
                <w:sz w:val="21"/>
                <w:szCs w:val="21"/>
              </w:rPr>
              <w:t>主机房部分区域安装隔振器；汽机房外壁保温降噪棉安装；输煤栈桥、转运站外壁降噪棉安装。气化风机、空压机设置空压机房；工业废水罗茨风机设风机小室，采用柔性接口；设氧化风机房，氧化风机设降噪材料。</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eastAsia="宋体"/>
                <w:sz w:val="21"/>
                <w:szCs w:val="21"/>
                <w:lang w:eastAsia="zh-CN"/>
              </w:rPr>
            </w:pPr>
            <w:r>
              <w:rPr>
                <w:rFonts w:hint="default"/>
                <w:sz w:val="21"/>
                <w:szCs w:val="21"/>
              </w:rPr>
              <w:t>在冷却塔周围靠近厂界一侧设置高</w:t>
            </w:r>
            <w:r>
              <w:rPr>
                <w:rFonts w:hint="eastAsia"/>
                <w:sz w:val="21"/>
                <w:szCs w:val="21"/>
                <w:lang w:val="en-US" w:eastAsia="zh-CN"/>
              </w:rPr>
              <w:t>8.5</w:t>
            </w:r>
            <w:r>
              <w:rPr>
                <w:rFonts w:hint="default"/>
                <w:sz w:val="21"/>
                <w:szCs w:val="21"/>
              </w:rPr>
              <w:t>m，长度约为</w:t>
            </w:r>
            <w:r>
              <w:rPr>
                <w:rFonts w:hint="eastAsia"/>
                <w:sz w:val="21"/>
                <w:szCs w:val="21"/>
                <w:lang w:val="en-US" w:eastAsia="zh-CN"/>
              </w:rPr>
              <w:t>162.4</w:t>
            </w:r>
            <w:r>
              <w:rPr>
                <w:rFonts w:hint="default"/>
                <w:sz w:val="21"/>
                <w:szCs w:val="21"/>
              </w:rPr>
              <w:t>m的隔声屏障</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隔声</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措施</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减振基础、隔声、消声措施，对厂区进行绿化</w:t>
            </w:r>
          </w:p>
        </w:tc>
        <w:tc>
          <w:tcPr>
            <w:tcW w:w="2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固体废物</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灰渣</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灰渣分除，综合利用，综合利用不畅时，送至一期灰场贮存</w:t>
            </w:r>
          </w:p>
        </w:tc>
        <w:tc>
          <w:tcPr>
            <w:tcW w:w="2398"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sz w:val="21"/>
                <w:szCs w:val="21"/>
                <w:lang w:eastAsia="zh-CN"/>
              </w:rPr>
            </w:pPr>
            <w:r>
              <w:rPr>
                <w:sz w:val="21"/>
                <w:szCs w:val="21"/>
              </w:rPr>
              <w:t>灰渣分除，</w:t>
            </w:r>
            <w:r>
              <w:rPr>
                <w:rFonts w:hint="eastAsia"/>
                <w:sz w:val="21"/>
                <w:szCs w:val="21"/>
                <w:lang w:val="en-US" w:eastAsia="zh-CN"/>
              </w:rPr>
              <w:t>设置一座</w:t>
            </w:r>
            <w:r>
              <w:rPr>
                <w:rFonts w:hint="default"/>
                <w:sz w:val="21"/>
                <w:szCs w:val="21"/>
              </w:rPr>
              <w:t>2</w:t>
            </w:r>
            <w:r>
              <w:rPr>
                <w:rFonts w:hint="eastAsia"/>
                <w:sz w:val="21"/>
                <w:szCs w:val="21"/>
                <w:lang w:val="en-US" w:eastAsia="zh-CN"/>
              </w:rPr>
              <w:t>1</w:t>
            </w:r>
            <w:r>
              <w:rPr>
                <w:rFonts w:hint="default"/>
                <w:sz w:val="21"/>
                <w:szCs w:val="21"/>
              </w:rPr>
              <w:t>0m</w:t>
            </w:r>
            <w:r>
              <w:rPr>
                <w:rFonts w:hint="default"/>
                <w:sz w:val="21"/>
                <w:szCs w:val="21"/>
                <w:vertAlign w:val="superscript"/>
              </w:rPr>
              <w:t>3</w:t>
            </w:r>
            <w:r>
              <w:rPr>
                <w:rFonts w:hint="default"/>
                <w:sz w:val="21"/>
                <w:szCs w:val="21"/>
              </w:rPr>
              <w:t>渣仓</w:t>
            </w:r>
            <w:r>
              <w:rPr>
                <w:rFonts w:hint="eastAsia"/>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sz w:val="21"/>
                <w:szCs w:val="21"/>
              </w:rPr>
            </w:pPr>
            <w:r>
              <w:rPr>
                <w:rFonts w:hint="default"/>
                <w:sz w:val="21"/>
                <w:szCs w:val="21"/>
              </w:rPr>
              <w:t>飞灰输送系统采用正压、浓相、一级输送系统，系统采用连续运行方式。共设置3座灰库。设</w:t>
            </w:r>
            <w:r>
              <w:rPr>
                <w:rFonts w:hint="eastAsia"/>
                <w:sz w:val="21"/>
                <w:szCs w:val="21"/>
                <w:lang w:val="en-US" w:eastAsia="zh-CN"/>
              </w:rPr>
              <w:t>2</w:t>
            </w:r>
            <w:r>
              <w:rPr>
                <w:rFonts w:hint="default"/>
                <w:sz w:val="21"/>
                <w:szCs w:val="21"/>
              </w:rPr>
              <w:t>座粗灰库，1座细灰库。每座灰库直径为15m，有效容积为3000m</w:t>
            </w:r>
            <w:r>
              <w:rPr>
                <w:rFonts w:hint="default"/>
                <w:sz w:val="21"/>
                <w:szCs w:val="21"/>
                <w:vertAlign w:val="superscript"/>
              </w:rPr>
              <w:t>3</w:t>
            </w:r>
          </w:p>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default" w:eastAsia="宋体"/>
                <w:sz w:val="21"/>
                <w:szCs w:val="21"/>
                <w:lang w:val="en-US" w:eastAsia="zh-CN"/>
              </w:rPr>
            </w:pPr>
            <w:r>
              <w:rPr>
                <w:rFonts w:hint="eastAsia"/>
                <w:sz w:val="21"/>
                <w:szCs w:val="21"/>
                <w:lang w:val="en-US" w:eastAsia="zh-CN"/>
              </w:rPr>
              <w:t>项目委托</w:t>
            </w:r>
            <w:r>
              <w:rPr>
                <w:rFonts w:hint="eastAsia"/>
                <w:color w:val="000000"/>
                <w:sz w:val="21"/>
                <w:szCs w:val="21"/>
                <w:highlight w:val="none"/>
                <w:shd w:val="clear" w:color="auto" w:fill="auto"/>
                <w:lang w:val="en-US" w:eastAsia="zh-CN"/>
              </w:rPr>
              <w:t>淮北宏欧贸易有限公司处置项目脱硫石膏；委托</w:t>
            </w:r>
            <w:r>
              <w:rPr>
                <w:rFonts w:hint="eastAsia" w:ascii="Times New Roman" w:hAnsi="Times New Roman"/>
                <w:b w:val="0"/>
                <w:bCs/>
                <w:sz w:val="21"/>
                <w:szCs w:val="21"/>
                <w:lang w:val="en-US" w:eastAsia="zh-CN"/>
              </w:rPr>
              <w:t>淮北平哲商贸有限责任公司和淮北中湖商贸有限责任公司处置项目粉煤灰、渣。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脱硫</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石膏</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石膏库贮存，综合利用，综合利用不畅时，送至一期灰场贮存</w:t>
            </w:r>
          </w:p>
        </w:tc>
        <w:tc>
          <w:tcPr>
            <w:tcW w:w="2398"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原水预处理污泥和生活垃圾</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定期由环卫部门清运</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sz w:val="21"/>
                <w:szCs w:val="21"/>
                <w:lang w:val="en-US" w:eastAsia="zh-CN"/>
              </w:rPr>
            </w:pPr>
            <w:r>
              <w:rPr>
                <w:rFonts w:eastAsia="宋体"/>
                <w:sz w:val="21"/>
                <w:szCs w:val="21"/>
              </w:rPr>
              <w:t>原水预处理污泥和生活垃圾</w:t>
            </w:r>
            <w:r>
              <w:rPr>
                <w:rFonts w:hint="eastAsia"/>
                <w:sz w:val="21"/>
                <w:szCs w:val="21"/>
                <w:lang w:val="en-US" w:eastAsia="zh-CN"/>
              </w:rPr>
              <w:t>委托当地环卫部门定期清运。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废烟气脱硝催化剂</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由有资质单位回收</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both"/>
              <w:textAlignment w:val="auto"/>
              <w:rPr>
                <w:rFonts w:hint="default" w:eastAsia="宋体"/>
                <w:sz w:val="21"/>
                <w:szCs w:val="21"/>
                <w:lang w:val="en-US" w:eastAsia="zh-CN"/>
              </w:rPr>
            </w:pPr>
            <w:r>
              <w:rPr>
                <w:rFonts w:ascii="Times New Roman" w:hAnsi="Times New Roman" w:eastAsia="宋体"/>
                <w:sz w:val="21"/>
                <w:szCs w:val="21"/>
              </w:rPr>
              <w:t>脱硝催化剂更换周期约为5-6年</w:t>
            </w:r>
            <w:r>
              <w:rPr>
                <w:rFonts w:hint="eastAsia" w:ascii="Times New Roman" w:hAnsi="Times New Roman" w:eastAsia="宋体"/>
                <w:sz w:val="21"/>
                <w:szCs w:val="21"/>
                <w:lang w:eastAsia="zh-CN"/>
              </w:rPr>
              <w:t>，</w:t>
            </w:r>
            <w:r>
              <w:rPr>
                <w:rFonts w:ascii="Times New Roman" w:hAnsi="Times New Roman" w:eastAsia="宋体"/>
                <w:sz w:val="21"/>
                <w:szCs w:val="21"/>
              </w:rPr>
              <w:t>一次产生量约245t/次</w:t>
            </w:r>
            <w:r>
              <w:rPr>
                <w:rFonts w:hint="eastAsia" w:ascii="Times New Roman" w:hAnsi="Times New Roman" w:eastAsia="宋体"/>
                <w:sz w:val="21"/>
                <w:szCs w:val="21"/>
                <w:lang w:val="en-US" w:eastAsia="zh-CN"/>
              </w:rPr>
              <w:t>，</w:t>
            </w:r>
            <w:r>
              <w:rPr>
                <w:rFonts w:ascii="Times New Roman" w:hAnsi="Times New Roman" w:eastAsia="宋体"/>
                <w:sz w:val="21"/>
                <w:szCs w:val="21"/>
              </w:rPr>
              <w:t>废催化剂作危险废物管理</w:t>
            </w:r>
            <w:r>
              <w:rPr>
                <w:rFonts w:hint="eastAsia" w:ascii="Times New Roman" w:hAnsi="Times New Roman" w:eastAsia="宋体"/>
                <w:sz w:val="21"/>
                <w:szCs w:val="21"/>
                <w:lang w:eastAsia="zh-CN"/>
              </w:rPr>
              <w:t>，</w:t>
            </w:r>
            <w:r>
              <w:rPr>
                <w:rFonts w:ascii="Times New Roman" w:hAnsi="Times New Roman" w:eastAsia="宋体"/>
                <w:sz w:val="21"/>
                <w:szCs w:val="21"/>
              </w:rPr>
              <w:t>厂内不设暂存间。</w:t>
            </w:r>
            <w:r>
              <w:rPr>
                <w:rFonts w:hint="eastAsia" w:ascii="Times New Roman" w:hAnsi="Times New Roman" w:eastAsia="宋体"/>
                <w:sz w:val="21"/>
                <w:szCs w:val="21"/>
                <w:lang w:val="en-US" w:eastAsia="zh-CN"/>
              </w:rPr>
              <w:t>目前项目暂无废催化剂产生。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绿化</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厂区</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绿化</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绿化系数大于20%</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sz w:val="21"/>
                <w:szCs w:val="21"/>
                <w:lang w:eastAsia="zh-CN"/>
              </w:rPr>
            </w:pPr>
            <w:r>
              <w:rPr>
                <w:rFonts w:hint="default" w:ascii="Times New Roman" w:hAnsi="Times New Roman" w:cs="Times New Roman"/>
                <w:sz w:val="21"/>
                <w:szCs w:val="21"/>
              </w:rPr>
              <w:t>部分厂区道路两边已进行道路绿化</w:t>
            </w:r>
            <w:r>
              <w:rPr>
                <w:rFonts w:hint="eastAsia" w:ascii="Times New Roman" w:hAnsi="Times New Roman" w:cs="Times New Roman"/>
                <w:sz w:val="21"/>
                <w:szCs w:val="21"/>
                <w:lang w:eastAsia="zh-CN"/>
              </w:rPr>
              <w:t>，</w:t>
            </w:r>
            <w:r>
              <w:rPr>
                <w:rFonts w:eastAsia="宋体"/>
                <w:sz w:val="21"/>
                <w:szCs w:val="21"/>
              </w:rPr>
              <w:t>绿化</w:t>
            </w:r>
            <w:r>
              <w:rPr>
                <w:rFonts w:hint="eastAsia"/>
                <w:sz w:val="21"/>
                <w:szCs w:val="21"/>
                <w:lang w:val="en-US" w:eastAsia="zh-CN"/>
              </w:rPr>
              <w:t>率达</w:t>
            </w:r>
            <w:r>
              <w:rPr>
                <w:rFonts w:eastAsia="宋体"/>
                <w:sz w:val="21"/>
                <w:szCs w:val="21"/>
              </w:rPr>
              <w:t>2</w:t>
            </w:r>
            <w:r>
              <w:rPr>
                <w:rFonts w:hint="eastAsia"/>
                <w:sz w:val="21"/>
                <w:szCs w:val="21"/>
                <w:lang w:val="en-US" w:eastAsia="zh-CN"/>
              </w:rPr>
              <w:t>5</w:t>
            </w:r>
            <w:r>
              <w:rPr>
                <w:rFonts w:eastAsia="宋体"/>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环境风险</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油罐区、供氢站、液氨贮罐区、酸碱储罐区</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风险防范措施及应急预案</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default" w:ascii="Times New Roman" w:hAnsi="Times New Roman" w:cs="Times New Roman"/>
                <w:sz w:val="21"/>
                <w:szCs w:val="21"/>
                <w:lang w:val="en-US" w:eastAsia="zh-CN"/>
              </w:rPr>
              <w:t>平山</w:t>
            </w:r>
            <w:r>
              <w:rPr>
                <w:rFonts w:hint="default" w:ascii="Times New Roman" w:hAnsi="Times New Roman" w:cs="Times New Roman"/>
                <w:sz w:val="21"/>
                <w:szCs w:val="21"/>
              </w:rPr>
              <w:t>电厂</w:t>
            </w:r>
            <w:r>
              <w:rPr>
                <w:rFonts w:hint="eastAsia" w:ascii="Times New Roman" w:hAnsi="Times New Roman" w:cs="Times New Roman"/>
                <w:sz w:val="21"/>
                <w:szCs w:val="21"/>
                <w:lang w:val="en-US" w:eastAsia="zh-CN"/>
              </w:rPr>
              <w:t>二期</w:t>
            </w:r>
            <w:r>
              <w:rPr>
                <w:rFonts w:hint="default" w:ascii="Times New Roman" w:hAnsi="Times New Roman" w:cs="Times New Roman"/>
                <w:sz w:val="21"/>
                <w:szCs w:val="21"/>
              </w:rPr>
              <w:t>编制《</w:t>
            </w:r>
            <w:r>
              <w:rPr>
                <w:rFonts w:hint="default" w:ascii="Times New Roman" w:hAnsi="Times New Roman" w:cs="Times New Roman"/>
                <w:sz w:val="21"/>
                <w:szCs w:val="21"/>
                <w:lang w:eastAsia="zh-CN"/>
              </w:rPr>
              <w:t>淮北申</w:t>
            </w:r>
            <w:r>
              <w:rPr>
                <w:rFonts w:hint="eastAsia" w:cs="Times New Roman"/>
                <w:sz w:val="21"/>
                <w:szCs w:val="21"/>
                <w:lang w:val="en-US" w:eastAsia="zh-CN"/>
              </w:rPr>
              <w:t>能</w:t>
            </w:r>
            <w:r>
              <w:rPr>
                <w:rFonts w:hint="default" w:ascii="Times New Roman" w:hAnsi="Times New Roman" w:cs="Times New Roman"/>
                <w:sz w:val="21"/>
                <w:szCs w:val="21"/>
                <w:lang w:eastAsia="zh-CN"/>
              </w:rPr>
              <w:t>发电有限公司</w:t>
            </w:r>
            <w:r>
              <w:rPr>
                <w:rFonts w:hint="default" w:ascii="Times New Roman" w:hAnsi="Times New Roman" w:cs="Times New Roman"/>
                <w:sz w:val="21"/>
                <w:szCs w:val="21"/>
              </w:rPr>
              <w:t>突发环境事件应急预案》和《</w:t>
            </w:r>
            <w:r>
              <w:rPr>
                <w:rFonts w:hint="default" w:ascii="Times New Roman" w:hAnsi="Times New Roman" w:cs="Times New Roman"/>
                <w:sz w:val="21"/>
                <w:szCs w:val="21"/>
                <w:lang w:eastAsia="zh-CN"/>
              </w:rPr>
              <w:t>淮北申</w:t>
            </w:r>
            <w:r>
              <w:rPr>
                <w:rFonts w:hint="eastAsia" w:cs="Times New Roman"/>
                <w:sz w:val="21"/>
                <w:szCs w:val="21"/>
                <w:lang w:val="en-US" w:eastAsia="zh-CN"/>
              </w:rPr>
              <w:t>能</w:t>
            </w:r>
            <w:r>
              <w:rPr>
                <w:rFonts w:hint="default" w:ascii="Times New Roman" w:hAnsi="Times New Roman" w:cs="Times New Roman"/>
                <w:sz w:val="21"/>
                <w:szCs w:val="21"/>
                <w:lang w:eastAsia="zh-CN"/>
              </w:rPr>
              <w:t>发电有限公司</w:t>
            </w:r>
            <w:r>
              <w:rPr>
                <w:rFonts w:hint="default" w:ascii="Times New Roman" w:hAnsi="Times New Roman" w:cs="Times New Roman"/>
                <w:sz w:val="21"/>
                <w:szCs w:val="21"/>
              </w:rPr>
              <w:t>突发环境事件专项预案》。目前预案已</w:t>
            </w:r>
            <w:r>
              <w:rPr>
                <w:rFonts w:hint="eastAsia" w:cs="Times New Roman"/>
                <w:sz w:val="21"/>
                <w:szCs w:val="21"/>
                <w:lang w:val="en-US" w:eastAsia="zh-CN"/>
              </w:rPr>
              <w:t>在</w:t>
            </w:r>
            <w:r>
              <w:rPr>
                <w:rFonts w:hint="eastAsia" w:ascii="Times New Roman" w:hAnsi="Times New Roman" w:cs="Times New Roman"/>
                <w:sz w:val="21"/>
                <w:szCs w:val="21"/>
                <w:lang w:val="en-US" w:eastAsia="zh-CN"/>
              </w:rPr>
              <w:t>组织召开专家评审会</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专项预案针对</w:t>
            </w:r>
            <w:r>
              <w:rPr>
                <w:rFonts w:eastAsia="宋体"/>
                <w:sz w:val="21"/>
                <w:szCs w:val="21"/>
              </w:rPr>
              <w:t>油罐区、供氢站</w:t>
            </w:r>
            <w:r>
              <w:rPr>
                <w:rFonts w:hint="eastAsia"/>
                <w:sz w:val="21"/>
                <w:szCs w:val="21"/>
                <w:lang w:val="en-US" w:eastAsia="zh-CN"/>
              </w:rPr>
              <w:t>等区域编制了专项应急预案。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排放口</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污染物排放口</w:t>
            </w:r>
          </w:p>
        </w:tc>
        <w:tc>
          <w:tcPr>
            <w:tcW w:w="168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规范排放口</w:t>
            </w:r>
          </w:p>
        </w:tc>
        <w:tc>
          <w:tcPr>
            <w:tcW w:w="2398"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项目废水“零排放”，不设置废水排口；项目烟气排口根据规范要求设置了烟气在线监测系统及人工取样口等；并在排放口附近设置了环保标志牌。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环境管理</w:t>
            </w: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监测机构</w:t>
            </w:r>
          </w:p>
        </w:tc>
        <w:tc>
          <w:tcPr>
            <w:tcW w:w="4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hint="eastAsia" w:ascii="Times New Roman" w:hAnsi="Times New Roman"/>
                <w:sz w:val="21"/>
                <w:szCs w:val="21"/>
                <w:lang w:val="en-US" w:eastAsia="zh-CN"/>
              </w:rPr>
              <w:t>建设单位淮北申能发电有限公司对环境保护工作十分重视，及时成立了申能平山电厂二期环境保护领导小组，由总经理任组长，各相关部门负责人为小组成员，全面负责申能平山电厂二期的环保管理工作。同时，依据国家和行业有关环境保护的法律、法规，制定了环境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环境监测站</w:t>
            </w:r>
          </w:p>
        </w:tc>
        <w:tc>
          <w:tcPr>
            <w:tcW w:w="4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hint="eastAsia"/>
                <w:sz w:val="21"/>
                <w:szCs w:val="21"/>
                <w:lang w:val="en-US" w:eastAsia="zh-CN"/>
              </w:rPr>
              <w:t>建设单位采购了噪声仪等监测设备</w:t>
            </w:r>
            <w:r>
              <w:rPr>
                <w:rFonts w:eastAsia="宋体"/>
                <w:sz w:val="21"/>
                <w:szCs w:val="21"/>
              </w:rPr>
              <w:t>，</w:t>
            </w:r>
            <w:r>
              <w:rPr>
                <w:rFonts w:hint="eastAsia"/>
                <w:sz w:val="21"/>
                <w:szCs w:val="21"/>
                <w:lang w:val="en-US" w:eastAsia="zh-CN"/>
              </w:rPr>
              <w:t>并委托第三方根据排污许可证自行监测要求，</w:t>
            </w:r>
            <w:r>
              <w:rPr>
                <w:rFonts w:eastAsia="宋体"/>
                <w:sz w:val="21"/>
                <w:szCs w:val="21"/>
              </w:rPr>
              <w:t>定期对厂区环境质量和污染源进行监测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0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p>
        </w:tc>
        <w:tc>
          <w:tcPr>
            <w:tcW w:w="504"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“三同时”制度</w:t>
            </w:r>
          </w:p>
        </w:tc>
        <w:tc>
          <w:tcPr>
            <w:tcW w:w="4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根据本次评价提出的三同时验收一览表执行，并及时反馈环保设施运行状况，提出改进措施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91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环境监理</w:t>
            </w:r>
          </w:p>
        </w:tc>
        <w:tc>
          <w:tcPr>
            <w:tcW w:w="408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eastAsia="宋体"/>
                <w:sz w:val="21"/>
                <w:szCs w:val="21"/>
                <w:lang w:val="en-US" w:eastAsia="zh-CN"/>
              </w:rPr>
            </w:pPr>
            <w:r>
              <w:rPr>
                <w:rFonts w:hint="eastAsia"/>
                <w:sz w:val="21"/>
                <w:szCs w:val="21"/>
                <w:lang w:val="en-US" w:eastAsia="zh-CN"/>
              </w:rPr>
              <w:t>建设单位委托安徽万维环保科技咨询有限公司承担本项目的</w:t>
            </w:r>
            <w:r>
              <w:rPr>
                <w:rFonts w:eastAsia="宋体"/>
                <w:sz w:val="21"/>
                <w:szCs w:val="21"/>
              </w:rPr>
              <w:t>环境监理</w:t>
            </w:r>
            <w:r>
              <w:rPr>
                <w:rFonts w:hint="eastAsia"/>
                <w:sz w:val="21"/>
                <w:szCs w:val="21"/>
                <w:lang w:val="en-US" w:eastAsia="zh-CN"/>
              </w:rPr>
              <w:t>工作，并根据现阶段环境监理情况编制</w:t>
            </w:r>
            <w:r>
              <w:rPr>
                <w:rFonts w:hint="eastAsia" w:ascii="Times New Roman" w:hAnsi="Times New Roman"/>
                <w:sz w:val="21"/>
                <w:szCs w:val="21"/>
                <w:lang w:val="en-US" w:eastAsia="zh-CN"/>
              </w:rPr>
              <w:t>了《淮北申能发电有限公司平山电厂二期工程烟气处理设施专项验收环境监理报告》和《淮北申能发电有限公司申能安徽平山电厂二期工程环境监理总报告》</w:t>
            </w:r>
          </w:p>
        </w:tc>
      </w:tr>
    </w:tbl>
    <w:p>
      <w:pPr>
        <w:keepNext w:val="0"/>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highlight w:val="red"/>
          <w:lang w:val="en-US" w:eastAsia="zh-CN"/>
        </w:rPr>
      </w:pPr>
      <w:r>
        <w:rPr>
          <w:rFonts w:hint="eastAsia"/>
          <w:highlight w:val="red"/>
          <w:lang w:val="en-US" w:eastAsia="zh-CN"/>
        </w:rPr>
        <w:br w:type="page"/>
      </w:r>
    </w:p>
    <w:p>
      <w:pPr>
        <w:pStyle w:val="3"/>
        <w:keepNext/>
        <w:keepLines/>
        <w:pageBreakBefore w:val="0"/>
        <w:widowControl w:val="0"/>
        <w:numPr>
          <w:ilvl w:val="0"/>
          <w:numId w:val="4"/>
        </w:numPr>
        <w:kinsoku/>
        <w:wordWrap/>
        <w:overflowPunct/>
        <w:topLinePunct w:val="0"/>
        <w:autoSpaceDE/>
        <w:autoSpaceDN/>
        <w:bidi w:val="0"/>
        <w:adjustRightInd/>
        <w:snapToGrid/>
        <w:spacing w:before="0" w:after="120" w:line="360" w:lineRule="auto"/>
        <w:ind w:firstLine="0" w:firstLineChars="0"/>
        <w:textAlignment w:val="auto"/>
        <w:rPr>
          <w:rFonts w:hint="eastAsia" w:ascii="Times New Roman" w:hAnsi="Times New Roman" w:eastAsia="宋体" w:cs="Times New Roman"/>
          <w:color w:val="auto"/>
          <w:sz w:val="36"/>
          <w:szCs w:val="36"/>
          <w:highlight w:val="none"/>
          <w:lang w:val="en-US" w:eastAsia="zh-CN"/>
        </w:rPr>
      </w:pPr>
      <w:bookmarkStart w:id="69" w:name="_Toc27569"/>
      <w:r>
        <w:rPr>
          <w:rFonts w:hint="eastAsia" w:ascii="Times New Roman" w:hAnsi="Times New Roman" w:eastAsia="宋体" w:cs="Times New Roman"/>
          <w:color w:val="auto"/>
          <w:sz w:val="36"/>
          <w:szCs w:val="36"/>
          <w:highlight w:val="none"/>
          <w:lang w:val="en-US" w:eastAsia="zh-CN"/>
        </w:rPr>
        <w:t>环境影响报告书（表）主要结论与建议及其审批部门审批决定</w:t>
      </w:r>
      <w:bookmarkEnd w:id="69"/>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color w:val="auto"/>
          <w:highlight w:val="none"/>
          <w:lang w:val="en-US" w:eastAsia="zh-CN"/>
        </w:rPr>
      </w:pPr>
      <w:bookmarkStart w:id="70" w:name="_Toc2803"/>
      <w:bookmarkStart w:id="71" w:name="_Toc8850"/>
      <w:r>
        <w:rPr>
          <w:rFonts w:hint="eastAsia" w:cs="Times New Roman"/>
          <w:color w:val="auto"/>
          <w:highlight w:val="none"/>
          <w:lang w:val="en-US" w:eastAsia="zh-CN"/>
        </w:rPr>
        <w:t>5</w:t>
      </w:r>
      <w:r>
        <w:rPr>
          <w:rFonts w:hint="eastAsia" w:ascii="Times New Roman" w:hAnsi="Times New Roman" w:cs="Times New Roman"/>
          <w:color w:val="auto"/>
          <w:highlight w:val="none"/>
          <w:lang w:val="en-US" w:eastAsia="zh-CN"/>
        </w:rPr>
        <w:t>.1环境影响报告书主要结论</w:t>
      </w:r>
      <w:bookmarkEnd w:id="70"/>
      <w:bookmarkEnd w:id="71"/>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.1.1</w:t>
      </w:r>
      <w:r>
        <w:rPr>
          <w:rFonts w:hint="default" w:ascii="Times New Roman" w:hAnsi="Times New Roman" w:eastAsia="宋体" w:cs="Times New Roman"/>
          <w:color w:val="000000"/>
          <w:sz w:val="24"/>
          <w:szCs w:val="24"/>
          <w:highlight w:val="none"/>
        </w:rPr>
        <w:t>与产业政策及规划的相符性</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(1)本工程建设1×1350MW超超临界燃煤机组，是《产业结构调整指导目录（2011年本）（修定）》中的鼓励类项目。</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本工程为扩建项目，厂址不在《重点区域大气污染防治“十二五”规划》划定的重点区域，符合《国务院办公厅转发环境保护部等部门关于推进大气污染联防联控工作改善区域空气质量指导意见的通知》（国办发〔2010〕33号）等政策性文件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本工程为扩建的1350MW的超超临界燃煤机组，供电煤耗251克/千瓦时。同步建设高效脱硫、脱硝和除尘设施，并有效脱出汞及其化合物。电厂的建设符合《煤电节能减排升级与改造行动计划(2014-2020)》（发改能源〔2014〕2093号）等文件的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(4)项目建设用地不在《淮北市城市总体（2012-2030）》所规划的范围内，与《关于落实大气污染防治行动计划严格环境影响评价准入的通知》的要求是相符的。</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1.2</w:t>
      </w:r>
      <w:r>
        <w:rPr>
          <w:rFonts w:hint="default" w:ascii="Times New Roman" w:hAnsi="Times New Roman" w:eastAsia="宋体" w:cs="Times New Roman"/>
          <w:color w:val="000000"/>
          <w:sz w:val="24"/>
          <w:szCs w:val="24"/>
          <w:highlight w:val="none"/>
        </w:rPr>
        <w:t>污染防治对策及达标排放</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.1.2.1</w:t>
      </w:r>
      <w:r>
        <w:rPr>
          <w:rFonts w:hint="default" w:ascii="Times New Roman" w:hAnsi="Times New Roman" w:eastAsia="宋体" w:cs="Times New Roman"/>
          <w:color w:val="000000"/>
          <w:sz w:val="24"/>
          <w:szCs w:val="24"/>
          <w:highlight w:val="none"/>
        </w:rPr>
        <w:t>大气污染防治对策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1</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SO</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本工程配套建设高效石灰石－石膏湿法脱硫设施（塔内除尘），不设烟气旁路，不加装GGH，设计脱硫效率97.78%以上，SO</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的排放浓度设计煤种为17.01mg/Nm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、校核煤种为14.15mg/Nm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，均满足《关于印发《全面实施燃煤电厂超低排放和节能改造工作方案》的通知》（环发[2015]164号）的超低排放水平的限值要求。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(2)NOx防治对策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本工程采用低氮燃烧装置，锅炉出口NOx产生浓度低于200mg/m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，并安装SCR脱硝设施，脱除效率85%，烟囱NOx排放浓度低于30mg/m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，均满足《关于印发《全面实施燃煤电厂超低排放和节能改造工作方案》的通知》（环发[2015]164号）的超低排放水平的限值要求。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rPr>
        <w:t>(3)烟尘防治对策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本工程采用双室五电场静电除尘器，并在电除尘器前加装低低温省煤器，电除尘器保证除尘效率≥99.926%。加上脱硫设施的除尘效率67%，综合除尘效率可达到99.976%，烟尘排放浓度4.74mg/Nm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（校核煤种为4.97mg/Nm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），均满足《关于印发《全面实施燃煤电厂超低排放和节能改造工作方案》的通知》（环发[2015]164号）的超低排放水平的限值要求。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(4)汞及其化合物防治对策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本工程通过烟气脱硝、除尘和脱硫治理时的协同控制技术减少汞及其化合物的排放，协同脱除效率取70%，汞及其化合物排放浓度0.004mg/m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（校核煤种为0.006mg/m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），满足《火电厂大气污染物排放标准》（GB13223-2011）表1中新建燃煤机组的要求。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(5)排烟冷却塔</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本工程新建一座210m高的排烟冷却塔，烟气排放对评价区SO</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、NO</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、PM</w:t>
      </w:r>
      <w:r>
        <w:rPr>
          <w:rFonts w:hint="default" w:ascii="Times New Roman" w:hAnsi="Times New Roman" w:eastAsia="宋体" w:cs="Times New Roman"/>
          <w:color w:val="000000"/>
          <w:sz w:val="24"/>
          <w:szCs w:val="24"/>
          <w:highlight w:val="none"/>
          <w:vertAlign w:val="subscript"/>
        </w:rPr>
        <w:t>10</w:t>
      </w:r>
      <w:r>
        <w:rPr>
          <w:rFonts w:hint="default" w:ascii="Times New Roman" w:hAnsi="Times New Roman" w:eastAsia="宋体" w:cs="Times New Roman"/>
          <w:color w:val="000000"/>
          <w:sz w:val="24"/>
          <w:szCs w:val="24"/>
          <w:highlight w:val="none"/>
        </w:rPr>
        <w:t>及PM</w:t>
      </w:r>
      <w:r>
        <w:rPr>
          <w:rFonts w:hint="default" w:ascii="Times New Roman" w:hAnsi="Times New Roman" w:eastAsia="宋体" w:cs="Times New Roman"/>
          <w:color w:val="000000"/>
          <w:sz w:val="24"/>
          <w:szCs w:val="24"/>
          <w:highlight w:val="none"/>
          <w:vertAlign w:val="subscript"/>
        </w:rPr>
        <w:t>2.5</w:t>
      </w:r>
      <w:r>
        <w:rPr>
          <w:rFonts w:hint="default" w:ascii="Times New Roman" w:hAnsi="Times New Roman" w:eastAsia="宋体" w:cs="Times New Roman"/>
          <w:color w:val="000000"/>
          <w:sz w:val="24"/>
          <w:szCs w:val="24"/>
          <w:highlight w:val="none"/>
        </w:rPr>
        <w:t>地面浓度的影响满足《环境空气质量标准》（GB3095-2012）中相应标准要求。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(6)烟气监控计划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red"/>
        </w:rPr>
      </w:pPr>
      <w:r>
        <w:rPr>
          <w:rFonts w:hint="default" w:ascii="Times New Roman" w:hAnsi="Times New Roman" w:eastAsia="宋体" w:cs="Times New Roman"/>
          <w:color w:val="000000"/>
          <w:sz w:val="24"/>
          <w:szCs w:val="24"/>
          <w:highlight w:val="none"/>
        </w:rPr>
        <w:t>本工程装设烟气连续监测装置，并符合《固定污染源烟气排放连续监测技术规范》（HJ/T75-2007）的要求。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rPr>
        <w:t>.</w:t>
      </w:r>
      <w:r>
        <w:rPr>
          <w:rFonts w:hint="default" w:ascii="Times New Roman" w:hAnsi="Times New Roman" w:eastAsia="宋体" w:cs="Times New Roman"/>
          <w:color w:val="000000"/>
          <w:sz w:val="24"/>
          <w:szCs w:val="24"/>
          <w:highlight w:val="none"/>
          <w:lang w:val="en-US" w:eastAsia="zh-CN"/>
        </w:rPr>
        <w:t>1.2.2</w:t>
      </w:r>
      <w:r>
        <w:rPr>
          <w:rFonts w:hint="default" w:ascii="Times New Roman" w:hAnsi="Times New Roman" w:eastAsia="宋体" w:cs="Times New Roman"/>
          <w:color w:val="000000"/>
          <w:sz w:val="24"/>
          <w:szCs w:val="24"/>
          <w:highlight w:val="none"/>
        </w:rPr>
        <w:t>水污染防治对策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(1)化学废水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平山电厂一期2×660MW机组已设有一套完整的工业废水处理系统，设置了3座2000m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、2座1000m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的废水贮存池，及1套处理能力为25m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/h的废水处理设备。本期投运后，全厂再生废水量约6m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h，非经常性废水中一般空气预热器冲洗废水约两年产生一次，锅炉酸洗废水约六年产生一次，已有废水处理设施能满足本期投运后处理全厂废水的能力，因此本期不再扩建。此外考虑到1350MW机组的锅炉化学清洗排水量较大，本期需新增一座2000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废水贮存池，全厂的废水贮存池总容积可达到10000m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(2)超滤反洗排水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超滤反洗排水经石灰混凝澄清处理用于锅炉补给水或进入冷却塔循环水系统。</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(3)反渗透浓水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反渗透浓水直接至回用水池后用于煤场喷淋、脱硫用水等。</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(4)输煤系统冲洗水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本期工程设置2座沉煤池和一套40m</w:t>
      </w:r>
      <w:r>
        <w:rPr>
          <w:rFonts w:hint="default" w:ascii="Times New Roman" w:hAnsi="Times New Roman" w:eastAsia="宋体" w:cs="Times New Roman"/>
          <w:color w:val="000000"/>
          <w:sz w:val="24"/>
          <w:szCs w:val="24"/>
          <w:highlight w:val="none"/>
          <w:vertAlign w:val="superscript"/>
        </w:rPr>
        <w:t>3</w:t>
      </w:r>
      <w:r>
        <w:rPr>
          <w:rFonts w:hint="default" w:ascii="Times New Roman" w:hAnsi="Times New Roman" w:eastAsia="宋体" w:cs="Times New Roman"/>
          <w:color w:val="000000"/>
          <w:sz w:val="24"/>
          <w:szCs w:val="24"/>
          <w:highlight w:val="none"/>
        </w:rPr>
        <w:t>/h含煤废水处理设备，煤污水经沉淀后进入煤泥水处理装置。煤泥水经处理后回用，不外排。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(5)脱硫废水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本工程新建一套脱硫废水处理装置，处理能力30t/h。脱硫废水经中和、絮凝、沉淀等处理后，废水排入含煤废水回用水池回用，污泥经脱水后送至厂外处置。</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(6)生活污水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本期工程产生的生活污水以自流或部分提升的方式送至一期生活污水处理站进行处理后回用。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(7)冷却塔排污水</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冷却塔排污水部分直接作为脱硫系统用水和工艺冲洗水等；另外的部分进入本期新建的石灰混凝澄清处理系统进行软化处理。经软化后的冷却塔排水再回用于冷却塔。电厂产生的冷却塔排水可全部回用。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.1.2.3</w:t>
      </w:r>
      <w:r>
        <w:rPr>
          <w:rFonts w:hint="default" w:ascii="Times New Roman" w:hAnsi="Times New Roman" w:eastAsia="宋体" w:cs="Times New Roman"/>
          <w:color w:val="000000"/>
          <w:sz w:val="24"/>
          <w:szCs w:val="24"/>
          <w:highlight w:val="none"/>
        </w:rPr>
        <w:t>噪声防治对策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控制噪声源是降低电厂噪声最有效的方法，在设备招标时应对设备噪声限值提出要求。这与《环境噪声与振动控制工程技术导则》（HJ2034-2013）中关于对固定声源进行隔声处理时，宜尽可能靠近噪声源设置隔声措施的要求是相符的。</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(2)发电机、汽轮机、励磁机、汽动给水泵、氧化风机等设备除在招标过程中提出设备噪声要求外，均布置在室内，厂房门窗采用隔声门、窗。采取措施后，主厂房外1m处声压级不得高于70dB(A)。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(3)对于汽轮发电机、励磁机、风机等旋转机械设置独立的基础，并留有隔振缝，和周围结构脱开布置。</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(4)磨煤机及汽动给水泵汽机基础独立布置，汽动给水泵汽机采用弹簧基础隔振措施。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(5)送风机、一次风机进口装设消声器，引风机采用隔声包覆，引风机和锅炉上部管道包扎阻尼材料。采取措施后，风机外1m处声压级不得高于82dB(A)。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(6)浆液循环泵、输送泵、空压机、循环水泵等布置在厂房内，厂房采用隔声门窗。采取措施后，风机房/泵房外1m处声压级不得高于71dB(A)，中央水泵房外1m处声压级不得高于70dB(A)，空压机房外1m处声压级不得高于70dB(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(7)利用植物降噪的作用，在厂界设置绿化隔离带，密植淮北市当地的树木。厂区内根据功能分区，建设绿色隔声带进行降噪。</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(8)在目前的总平面布置方案中，冷却塔距离西侧和南侧围墙较近，因此本次环评建议在冷却塔的西侧和南侧设置声屏障（声屏障高12m、全长约450m，材料隔声量不得低于15dB）或在西南侧围墙是装设隔声设施。建设单位在初步设计阶段应委托专业声学工程公司根据设备具体布局和冷却塔工艺要求，选择合适的隔声措施，确保厂界和居民区的声环境质量达标。</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(9)加强铁路专用线运营期管理，本项目尽量将车流及作业安排在昼间，避免夜间运行对周围居民的影响。</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red"/>
        </w:rPr>
      </w:pPr>
      <w:r>
        <w:rPr>
          <w:rFonts w:hint="default" w:ascii="Times New Roman" w:hAnsi="Times New Roman" w:eastAsia="宋体" w:cs="Times New Roman"/>
          <w:color w:val="000000"/>
          <w:sz w:val="24"/>
          <w:szCs w:val="24"/>
          <w:highlight w:val="none"/>
        </w:rPr>
        <w:t>(10)加强运灰车辆管理，合理安排汽车运输密度，控制汽车鸣笛，禁止夜间行车，途经声环境敏感目标时行车速度应控制在50km/h以下，尽量将运灰道路沿线噪声影响降至最小。</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lang w:val="en-US" w:eastAsia="zh-CN"/>
        </w:rPr>
        <w:t>.1.2.4</w:t>
      </w:r>
      <w:r>
        <w:rPr>
          <w:rFonts w:hint="default" w:ascii="Times New Roman" w:hAnsi="Times New Roman" w:eastAsia="宋体" w:cs="Times New Roman"/>
          <w:color w:val="000000"/>
          <w:sz w:val="24"/>
          <w:szCs w:val="24"/>
          <w:highlight w:val="none"/>
        </w:rPr>
        <w:t>固体废物处置和综合利用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本工程厂内采用灰、渣分除，干灰粗细分储方式，便于综合利用。灰渣、脱硫石膏在综合利用不畅时运至灰场分区、分类堆放。</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原水处理产生的污泥经浓缩压滤成泥饼后委托环卫部门定期清运。本项目产生的生活垃圾将委托当地环卫部门清运。</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废烟气脱硝催化剂等危险废物由有资质单位负责回收。</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val="en-US" w:eastAsia="zh-CN"/>
        </w:rPr>
        <w:t>一、</w:t>
      </w:r>
      <w:r>
        <w:rPr>
          <w:rFonts w:hint="default" w:ascii="Times New Roman" w:hAnsi="Times New Roman" w:eastAsia="宋体" w:cs="Times New Roman"/>
          <w:color w:val="000000"/>
          <w:sz w:val="24"/>
          <w:szCs w:val="24"/>
          <w:highlight w:val="none"/>
        </w:rPr>
        <w:t>输煤系统及煤场污染防治措施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1</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本期工程厂外输煤系统采用全封闭式管带机，对外无扬尘。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2</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各转运站和煤仓间每个受料皮带设一套高压静电除尘器，煤仓间6个煤斗合设一套布袋除尘器，除尘效率达99.8%，转运站在每条皮带的头部和尾部设置自动气雾抑尘系统。</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3</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设一套移动车载式负压吸尘清扫系统，锅炉检修口及煤仓间皮带层、0.00m磨煤机周围、煤仓间给煤机层均留有与吸尘装置的连接接口。</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4</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输煤栈桥、煤仓间皮带层地面、转运站地面采用水冲洗，冲洗污水集中至各转运站及栈桥附近的污水坑，再由泵打至煤泥沉淀池沉淀处理后循环利用不外排。</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5</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在斗轮堆取料机本体上设有喷水抑尘装置，以防堆取煤时煤尘飞扬。</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6</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煤场上部设置干煤棚，两端设置防风抑尘网。</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输煤系统及煤场在采取了上述治理措施后，粉尘排放浓度能够满足《大气污染物综合排放标准》（GB16297-1996）相应标准要求。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lang w:val="en-US" w:eastAsia="zh-CN"/>
        </w:rPr>
        <w:t>二、</w:t>
      </w:r>
      <w:r>
        <w:rPr>
          <w:rFonts w:hint="default" w:ascii="Times New Roman" w:hAnsi="Times New Roman" w:eastAsia="宋体" w:cs="Times New Roman"/>
          <w:color w:val="000000"/>
          <w:sz w:val="24"/>
          <w:szCs w:val="24"/>
          <w:highlight w:val="none"/>
        </w:rPr>
        <w:t>灰场运行与运灰防尘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厂内干灰系统防尘对策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1)干灰库装灰处设有风机抽风装置，以防止放灰入车时的飞灰飞扬；每个灰库顶部均配有布袋除尘器。</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2)装运干灰采用罐式密闭汽车，调湿灰湿度保持在20～30％，以防止卸灰期间产生扬尘。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3)对洒落于地面的灰采用水冲洗，在装灰处设沉灰沟，冲灰水进沉灰沟中并排入沉煤池沉淀处理。</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三、</w:t>
      </w:r>
      <w:r>
        <w:rPr>
          <w:rFonts w:hint="default" w:ascii="Times New Roman" w:hAnsi="Times New Roman" w:eastAsia="宋体" w:cs="Times New Roman"/>
          <w:color w:val="000000"/>
          <w:sz w:val="24"/>
          <w:szCs w:val="24"/>
          <w:highlight w:val="none"/>
        </w:rPr>
        <w:t>灰场污染防治对策可行性</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1</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灰场扬尘防治措施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(a)灰场堆灰后及时用推土机铺开、推平，然后采用振动式压路机碾压，以防止表面干化后风吹起尘。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(b)灰渣堆放期间应根据天气情况和表面松硬情况喷水、加湿或重新碾压，对于由于运输造成的表面零散落灰，应及时补充碾压硬实，防止干化起尘。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(c)灰场配备洒水车对灰场及运灰道路洒水防尘。</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(d)风速大于8m/s时停止灰场作业。</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2</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灰场雨水处理</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在灰场坝坡上及外坡脚处设置排水沟，使雨水能有组织排走，防止雨水无组织向周围蔓延。</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3</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灰场防渗</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灰场底部采用天然黏土层+长丝无妨土工布1.5mm后单层HDPE防渗膜，渗透系数小于1×10</w:t>
      </w:r>
      <w:r>
        <w:rPr>
          <w:rFonts w:hint="default" w:ascii="Times New Roman" w:hAnsi="Times New Roman" w:eastAsia="宋体" w:cs="Times New Roman"/>
          <w:color w:val="000000"/>
          <w:sz w:val="24"/>
          <w:szCs w:val="24"/>
          <w:highlight w:val="none"/>
          <w:vertAlign w:val="superscript"/>
        </w:rPr>
        <w:t>-10</w:t>
      </w:r>
      <w:r>
        <w:rPr>
          <w:rFonts w:hint="default" w:ascii="Times New Roman" w:hAnsi="Times New Roman" w:eastAsia="宋体" w:cs="Times New Roman"/>
          <w:color w:val="000000"/>
          <w:sz w:val="24"/>
          <w:szCs w:val="24"/>
          <w:highlight w:val="none"/>
        </w:rPr>
        <w:t>cm/s，以防止灰水下渗。</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4</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灰场管理及防护距离要求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灰场拟设管理小区。灰场管理小区内有：灰场运行机械车库、运行人员的管理房；运灰车辆的冲洗场；部分运灰车的临时停车场；洒水车、压路机、推土机的停车场；车辆冲洗水的沉淀池等。</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5</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服役期满环保要求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整个灰场堆满后应按GB18599－2001关于封闭场地要求进行封闭：</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(a)关闭或封场后，仍需继续维护管理，直到稳定为止。以防止覆土层下沉、开裂，致使渗滤液量增加，防止固体废物堆体失稳而造成滑坡等事故。</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(b)关闭或封场后，应设置标志物，注明关闭或封场时间，以及使用该土地时应注意的事项。</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c)为防止固体废物直接暴露和雨水渗入堆体内，封场时表面应覆土二层，第一层为阻隔层，覆20～45cm厚的粘土，并压实，防止雨水渗入固体废物堆体内；第二层为覆盖层，覆天然土壤，以利植物生长，其厚度视栽种植物种类而定。</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(d)封场后，地下水监测系统应继续维持正常运转，直至水质稳定为止。</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灰场在采取了上述治理措施后，满足GB18599－2001《一般工业固体废弃物贮存、处置场污染控制标准》II类场地及其修改单的要求。</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四、</w:t>
      </w:r>
      <w:r>
        <w:rPr>
          <w:rFonts w:hint="default" w:ascii="Times New Roman" w:hAnsi="Times New Roman" w:eastAsia="宋体" w:cs="Times New Roman"/>
          <w:color w:val="000000"/>
          <w:sz w:val="24"/>
          <w:szCs w:val="24"/>
          <w:highlight w:val="none"/>
        </w:rPr>
        <w:t>地下水防渗措施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针对不同防渗区域的不同要求，在满足防渗标准要求前提下，采取不同防渗措施。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重点防渗区：危险废物暂存库采用压实粘土+防渗膜进行防渗，压实粘土厚度为1m，HDPE膜的渗透系数K≤1.0×10</w:t>
      </w:r>
      <w:r>
        <w:rPr>
          <w:rFonts w:hint="default" w:ascii="Times New Roman" w:hAnsi="Times New Roman" w:eastAsia="宋体" w:cs="Times New Roman"/>
          <w:color w:val="000000"/>
          <w:sz w:val="24"/>
          <w:szCs w:val="24"/>
          <w:highlight w:val="none"/>
          <w:vertAlign w:val="superscript"/>
        </w:rPr>
        <w:t>-10</w:t>
      </w:r>
      <w:r>
        <w:rPr>
          <w:rFonts w:hint="default" w:ascii="Times New Roman" w:hAnsi="Times New Roman" w:eastAsia="宋体" w:cs="Times New Roman"/>
          <w:color w:val="000000"/>
          <w:sz w:val="24"/>
          <w:szCs w:val="24"/>
          <w:highlight w:val="none"/>
        </w:rPr>
        <w:t>cm/s。</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一般防渗区：池体设施采用钢筋混凝土防渗，厚度不小于500mm，抗渗等级不低于P6；地面设施采用压实粘土+防渗膜的防渗进行防渗，压实粘土厚度不小于500mm，防渗HDPE膜的渗透系数K≤1.0×10</w:t>
      </w:r>
      <w:r>
        <w:rPr>
          <w:rFonts w:hint="default" w:ascii="Times New Roman" w:hAnsi="Times New Roman" w:eastAsia="宋体" w:cs="Times New Roman"/>
          <w:color w:val="000000"/>
          <w:sz w:val="24"/>
          <w:szCs w:val="24"/>
          <w:highlight w:val="none"/>
          <w:vertAlign w:val="superscript"/>
        </w:rPr>
        <w:t>-7</w:t>
      </w:r>
      <w:r>
        <w:rPr>
          <w:rFonts w:hint="default" w:ascii="Times New Roman" w:hAnsi="Times New Roman" w:eastAsia="宋体" w:cs="Times New Roman"/>
          <w:color w:val="000000"/>
          <w:sz w:val="24"/>
          <w:szCs w:val="24"/>
          <w:highlight w:val="none"/>
        </w:rPr>
        <w:t>cm/s。</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简单防渗区采取地面硬化。</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五、</w:t>
      </w:r>
      <w:r>
        <w:rPr>
          <w:rFonts w:hint="default" w:ascii="Times New Roman" w:hAnsi="Times New Roman" w:eastAsia="宋体" w:cs="Times New Roman"/>
          <w:color w:val="000000"/>
          <w:sz w:val="24"/>
          <w:szCs w:val="24"/>
          <w:highlight w:val="none"/>
        </w:rPr>
        <w:t>陆生生态保护措施</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1</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本工程场地绿化系数不低于20%</w:t>
      </w:r>
      <w:r>
        <w:rPr>
          <w:rFonts w:hint="eastAsia" w:cs="Times New Roman"/>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eastAsia" w:ascii="Times New Roman" w:hAnsi="Times New Roman" w:eastAsia="宋体" w:cs="Times New Roman"/>
          <w:color w:val="000000"/>
          <w:sz w:val="24"/>
          <w:szCs w:val="24"/>
          <w:highlight w:val="none"/>
          <w:lang w:eastAsia="zh-CN"/>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2</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施工活动尽量减少对周围植被影响</w:t>
      </w:r>
      <w:r>
        <w:rPr>
          <w:rFonts w:hint="eastAsia" w:cs="Times New Roman"/>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六、</w:t>
      </w:r>
      <w:r>
        <w:rPr>
          <w:rFonts w:hint="default" w:ascii="Times New Roman" w:hAnsi="Times New Roman" w:eastAsia="宋体" w:cs="Times New Roman"/>
          <w:color w:val="000000"/>
          <w:sz w:val="24"/>
          <w:szCs w:val="24"/>
          <w:highlight w:val="none"/>
        </w:rPr>
        <w:t>清洁生产分析</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对照《电力行业（燃煤发电企业）清洁生产评价指标体系》，本项目清洁生产水平达到I级，企业清洁生产水平达到国际领先水平。</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七、</w:t>
      </w:r>
      <w:r>
        <w:rPr>
          <w:rFonts w:hint="default" w:ascii="Times New Roman" w:hAnsi="Times New Roman" w:eastAsia="宋体" w:cs="Times New Roman"/>
          <w:color w:val="000000"/>
          <w:sz w:val="24"/>
          <w:szCs w:val="24"/>
          <w:highlight w:val="none"/>
        </w:rPr>
        <w:t>环境风险</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本项目的环境风险主要考虑氢气爆炸和液氨泄露对环境产生的影响。根据预测，液氨储罐接口发生泄漏的情况下，距离泄漏点342.28m范围内出现了LC</w:t>
      </w:r>
      <w:r>
        <w:rPr>
          <w:rFonts w:hint="default" w:ascii="Times New Roman" w:hAnsi="Times New Roman" w:eastAsia="宋体" w:cs="Times New Roman"/>
          <w:color w:val="000000"/>
          <w:sz w:val="24"/>
          <w:szCs w:val="24"/>
          <w:highlight w:val="none"/>
          <w:vertAlign w:val="subscript"/>
        </w:rPr>
        <w:t>50</w:t>
      </w:r>
      <w:r>
        <w:rPr>
          <w:rFonts w:hint="default" w:ascii="Times New Roman" w:hAnsi="Times New Roman" w:eastAsia="宋体" w:cs="Times New Roman"/>
          <w:color w:val="000000"/>
          <w:sz w:val="24"/>
          <w:szCs w:val="24"/>
          <w:highlight w:val="none"/>
        </w:rPr>
        <w:t>浓度，该范围内人员将会致死，946.95m范围内人员接触可发生强烈刺激症状。</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目前距离本项目液氨储罐最近的居民点为西南侧平山社区二庄，距离为474m。所以出现LC</w:t>
      </w:r>
      <w:r>
        <w:rPr>
          <w:rFonts w:hint="default" w:ascii="Times New Roman" w:hAnsi="Times New Roman" w:eastAsia="宋体" w:cs="Times New Roman"/>
          <w:color w:val="000000"/>
          <w:sz w:val="24"/>
          <w:szCs w:val="24"/>
          <w:highlight w:val="none"/>
          <w:vertAlign w:val="subscript"/>
        </w:rPr>
        <w:t>50</w:t>
      </w:r>
      <w:r>
        <w:rPr>
          <w:rFonts w:hint="default" w:ascii="Times New Roman" w:hAnsi="Times New Roman" w:eastAsia="宋体" w:cs="Times New Roman"/>
          <w:color w:val="000000"/>
          <w:sz w:val="24"/>
          <w:szCs w:val="24"/>
          <w:highlight w:val="none"/>
        </w:rPr>
        <w:t>浓度342.28m范围内无居民，不会造成周围环境敏感点人员伤亡，而出现IDHL浓度的946.95m范围内目前有平山社区二庄和平山社区平山的居民。根据区淮北市人民政府有关文件，平山社区二庄和平山社区平山的居民将与2016年年底前全部拆迁完，因此本工程建成后一旦发生液氨泄漏不会造成厂区外居民的死亡及出现强烈的刺激症状，但是对厂区内职工影响较大。建设单位和相关部门应高度重视风险后果的严重性，必需加强液氨区和供氢站的管理，消除事故隐患，采取有效的防范措施，杜绝事故的发生。在建设单位严格落实风险防范措施和风险应急预案的情况下，本项目环境风险是可接受的。</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八、</w:t>
      </w:r>
      <w:r>
        <w:rPr>
          <w:rFonts w:hint="default" w:ascii="Times New Roman" w:hAnsi="Times New Roman" w:eastAsia="宋体" w:cs="Times New Roman"/>
          <w:color w:val="000000"/>
          <w:sz w:val="24"/>
          <w:szCs w:val="24"/>
          <w:highlight w:val="none"/>
        </w:rPr>
        <w:t>公众参与</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1</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本工程建设的是高效的超超临界发电机组，采用最先进的环保治理措施，经预测分析，本工程建成后对环境的影响是可以接受的，公众不必担心本工程的建设会造成环境空气、水环境等污染。</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2</w:t>
      </w: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在本工程采用采取网站公示、现场张贴方式进行环境影响信息公开的基础上，采取现场发放调查表进行公众意见调查。因此，本次公众参与工作程序合法、形式有效。</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3</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公众意见调查结果表明，81.0%的个人支持本工程建设，17.2%基本支持本工程建设，0.7%对本工程建设表示无所谓、1.1%（3人）对本工程建设表示反对；在被调查的团体中，90.4%的团体支持本工程建设，7.7%基本支持本工程建设，1.9%对本工程建设表示不关心。公众意见回访调查中，调查人员对原持“不支持”态度的4位公众进行了电话回访，在详细了解了本工程建设情况及工程建设拟采取的环境保护措施后，其中1人对本工程的态度转为支持；另外3人仍表示不支持本工程的建设。因此，本次公众参与对象具有代表性、结果真实。</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eastAsia" w:cs="Times New Roman"/>
          <w:color w:val="000000"/>
          <w:sz w:val="24"/>
          <w:szCs w:val="24"/>
          <w:highlight w:val="none"/>
          <w:lang w:eastAsia="zh-CN"/>
        </w:rPr>
        <w:t>（</w:t>
      </w:r>
      <w:r>
        <w:rPr>
          <w:rFonts w:hint="eastAsia" w:cs="Times New Roman"/>
          <w:color w:val="000000"/>
          <w:sz w:val="24"/>
          <w:szCs w:val="24"/>
          <w:highlight w:val="none"/>
          <w:lang w:val="en-US" w:eastAsia="zh-CN"/>
        </w:rPr>
        <w:t>4</w:t>
      </w:r>
      <w:r>
        <w:rPr>
          <w:rFonts w:hint="eastAsia"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建议建设单位下阶段应继续做好与公众的沟通工作，让周边群众放心，消除顾虑</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b w:val="0"/>
          <w:bCs/>
          <w:color w:val="000000"/>
          <w:sz w:val="24"/>
          <w:szCs w:val="24"/>
          <w:highlight w:val="none"/>
        </w:rPr>
      </w:pPr>
      <w:r>
        <w:rPr>
          <w:rFonts w:hint="default" w:ascii="Times New Roman" w:hAnsi="Times New Roman" w:eastAsia="宋体" w:cs="Times New Roman"/>
          <w:b w:val="0"/>
          <w:bCs/>
          <w:color w:val="000000"/>
          <w:sz w:val="24"/>
          <w:szCs w:val="24"/>
          <w:highlight w:val="none"/>
          <w:lang w:val="en-US" w:eastAsia="zh-CN"/>
        </w:rPr>
        <w:t>九、</w:t>
      </w:r>
      <w:r>
        <w:rPr>
          <w:rFonts w:hint="default" w:ascii="Times New Roman" w:hAnsi="Times New Roman" w:eastAsia="宋体" w:cs="Times New Roman"/>
          <w:b w:val="0"/>
          <w:bCs/>
          <w:color w:val="000000"/>
          <w:sz w:val="24"/>
          <w:szCs w:val="24"/>
          <w:highlight w:val="none"/>
        </w:rPr>
        <w:t>煤炭替代方案和污染物总量控制指标</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年综合能源消费量约为92.36万吨标准煤，淮北市政府制定了《申能安徽平山电厂二期工程1×1350MW机组项目能耗置换方案》，根据该方案，申能安徽平山电厂二期工程的年综合能源消费量约为92.36万吨标准煤。目前淮北市可置换能耗99.93万吨标准煤，所置换出的能耗能够满足本工程的需要。</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本工程所需替代的SO</w:t>
      </w:r>
      <w:r>
        <w:rPr>
          <w:rFonts w:hint="default" w:ascii="Times New Roman" w:hAnsi="Times New Roman" w:eastAsia="宋体" w:cs="Times New Roman"/>
          <w:color w:val="000000"/>
          <w:sz w:val="24"/>
          <w:szCs w:val="24"/>
          <w:highlight w:val="none"/>
          <w:vertAlign w:val="subscript"/>
        </w:rPr>
        <w:t>2</w:t>
      </w:r>
      <w:r>
        <w:rPr>
          <w:rFonts w:hint="default" w:ascii="Times New Roman" w:hAnsi="Times New Roman" w:eastAsia="宋体" w:cs="Times New Roman"/>
          <w:color w:val="000000"/>
          <w:sz w:val="24"/>
          <w:szCs w:val="24"/>
          <w:highlight w:val="none"/>
        </w:rPr>
        <w:t>排放总量指标为2599t/a，NOx排放总量指标为2599t/a，烟尘排放总量指标为260t/a。</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根据安徽省环保厅主要污染物新增总量确认函，申能安徽平山电厂二期工程总量指标来源于临涣中利发电有限公司和淮北国安电力有限公司</w:t>
      </w: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十二五</w:t>
      </w:r>
      <w:r>
        <w:rPr>
          <w:rFonts w:hint="eastAsia"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期间新建脱硝、脱硫、除尘工程减排量中平衡调剂，本项目主要污染物排放总量指标落实。</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b/>
          <w:bCs w:val="0"/>
          <w:color w:val="000000"/>
          <w:sz w:val="24"/>
          <w:szCs w:val="24"/>
          <w:highlight w:val="none"/>
        </w:rPr>
      </w:pPr>
      <w:r>
        <w:rPr>
          <w:rFonts w:hint="default" w:ascii="Times New Roman" w:hAnsi="Times New Roman" w:eastAsia="宋体" w:cs="Times New Roman"/>
          <w:b w:val="0"/>
          <w:bCs/>
          <w:color w:val="000000"/>
          <w:sz w:val="24"/>
          <w:szCs w:val="24"/>
          <w:highlight w:val="none"/>
          <w:lang w:val="en-US" w:eastAsia="zh-CN"/>
        </w:rPr>
        <w:t>十、</w:t>
      </w:r>
      <w:r>
        <w:rPr>
          <w:rFonts w:hint="default" w:ascii="Times New Roman" w:hAnsi="Times New Roman" w:eastAsia="宋体" w:cs="Times New Roman"/>
          <w:b w:val="0"/>
          <w:bCs/>
          <w:color w:val="000000"/>
          <w:sz w:val="24"/>
          <w:szCs w:val="24"/>
          <w:highlight w:val="none"/>
        </w:rPr>
        <w:t>综合评价结论</w:t>
      </w:r>
    </w:p>
    <w:p>
      <w:pPr>
        <w:keepNext w:val="0"/>
        <w:keepLines w:val="0"/>
        <w:pageBreakBefore w:val="0"/>
        <w:widowControl w:val="0"/>
        <w:kinsoku/>
        <w:wordWrap/>
        <w:overflowPunct/>
        <w:topLinePunct w:val="0"/>
        <w:autoSpaceDE/>
        <w:autoSpaceDN/>
        <w:bidi w:val="0"/>
        <w:adjustRightInd/>
        <w:snapToGrid/>
        <w:jc w:val="both"/>
        <w:textAlignment w:val="auto"/>
        <w:outlineLvl w:val="9"/>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000000"/>
          <w:sz w:val="24"/>
          <w:szCs w:val="24"/>
          <w:highlight w:val="none"/>
        </w:rPr>
        <w:t>本项目符合国家产业政策和环保政策，其建设符合淮北市城市总体规划的要求，符合环境保护规划要求，清洁生产水平处于国内领先。本项目污染治理措施能够满足环保管理的要求，废气、噪声对周围环境影响在可接受水平，生产废水和生活污水厂内处理后全部回用，固废可全部综合利用；项目采取了严格的风险防范措施并制定了详细的应急预案，环境风险水平可以接受；煤炭总量替代方案可行，二氧化硫、氮氧化物和烟尘总量平衡途径落实，项目建设具有一定的社会经济效益。在严格落实“三同时”制度和各项环境保护措施的前提下，本工程对环境的影响是可以接受的。</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eastAsia" w:ascii="Times New Roman" w:hAnsi="Times New Roman" w:eastAsia="宋体" w:cs="Times New Roman"/>
          <w:b/>
          <w:color w:val="auto"/>
          <w:kern w:val="0"/>
          <w:sz w:val="30"/>
          <w:szCs w:val="20"/>
          <w:highlight w:val="none"/>
          <w:lang w:val="en-US" w:eastAsia="zh-CN" w:bidi="ar-SA"/>
        </w:rPr>
      </w:pPr>
      <w:bookmarkStart w:id="72" w:name="_Toc31425"/>
      <w:bookmarkStart w:id="73" w:name="_Toc29060"/>
      <w:r>
        <w:rPr>
          <w:rFonts w:hint="eastAsia" w:cs="Times New Roman"/>
          <w:b/>
          <w:color w:val="auto"/>
          <w:kern w:val="0"/>
          <w:sz w:val="30"/>
          <w:szCs w:val="20"/>
          <w:highlight w:val="none"/>
          <w:lang w:val="en-US" w:eastAsia="zh-CN" w:bidi="ar-SA"/>
        </w:rPr>
        <w:t>5</w:t>
      </w:r>
      <w:r>
        <w:rPr>
          <w:rFonts w:hint="eastAsia" w:ascii="Times New Roman" w:hAnsi="Times New Roman" w:eastAsia="宋体" w:cs="Times New Roman"/>
          <w:b/>
          <w:color w:val="auto"/>
          <w:kern w:val="0"/>
          <w:sz w:val="30"/>
          <w:szCs w:val="20"/>
          <w:highlight w:val="none"/>
          <w:lang w:val="en-US" w:eastAsia="zh-CN" w:bidi="ar-SA"/>
        </w:rPr>
        <w:t>.2环境影响报告书批复意见</w:t>
      </w:r>
      <w:bookmarkEnd w:id="72"/>
      <w:bookmarkEnd w:id="73"/>
    </w:p>
    <w:p>
      <w:pPr>
        <w:keepNext w:val="0"/>
        <w:keepLines w:val="0"/>
        <w:pageBreakBefore w:val="0"/>
        <w:widowControl w:val="0"/>
        <w:kinsoku/>
        <w:wordWrap/>
        <w:overflowPunct/>
        <w:topLinePunct w:val="0"/>
        <w:autoSpaceDE/>
        <w:autoSpaceDN/>
        <w:bidi w:val="0"/>
        <w:adjustRightInd/>
        <w:snapToGrid/>
        <w:jc w:val="both"/>
        <w:textAlignment w:val="auto"/>
        <w:rPr>
          <w:rFonts w:hint="eastAsia"/>
          <w:highlight w:val="none"/>
          <w:lang w:val="en-US" w:eastAsia="zh-CN"/>
        </w:rPr>
      </w:pPr>
      <w:r>
        <w:rPr>
          <w:rFonts w:hint="eastAsia"/>
          <w:highlight w:val="none"/>
          <w:lang w:val="en-US" w:eastAsia="zh-CN"/>
        </w:rPr>
        <w:t>安徽淮北平山电厂二期工程筹建处：</w:t>
      </w:r>
    </w:p>
    <w:p>
      <w:pPr>
        <w:keepNext w:val="0"/>
        <w:keepLines w:val="0"/>
        <w:pageBreakBefore w:val="0"/>
        <w:widowControl w:val="0"/>
        <w:kinsoku/>
        <w:wordWrap/>
        <w:overflowPunct/>
        <w:topLinePunct w:val="0"/>
        <w:autoSpaceDE/>
        <w:autoSpaceDN/>
        <w:bidi w:val="0"/>
        <w:adjustRightInd/>
        <w:snapToGrid/>
        <w:jc w:val="both"/>
        <w:textAlignment w:val="auto"/>
        <w:rPr>
          <w:rFonts w:hint="default" w:ascii="Times New Roman" w:hAnsi="Times New Roman" w:eastAsia="宋体" w:cs="Times New Roman"/>
          <w:highlight w:val="none"/>
          <w:lang w:val="en-US" w:eastAsia="zh-CN"/>
        </w:rPr>
      </w:pPr>
      <w:r>
        <w:rPr>
          <w:rFonts w:hint="default" w:ascii="Times New Roman" w:hAnsi="Times New Roman" w:eastAsia="宋体" w:cs="Times New Roman"/>
          <w:highlight w:val="none"/>
          <w:lang w:val="en-US" w:eastAsia="zh-CN"/>
        </w:rPr>
        <w:t>《申能安徽平山电厂二期工程环境影响报告书(报批稿)》(以下简称《报告书》）收悉。你公司拟在安徽淮北市烈山区淮北经济开发区现有厂区预留用地上建设二期工程</w:t>
      </w:r>
      <w:r>
        <w:rPr>
          <w:rFonts w:hint="eastAsia" w:ascii="Times New Roman" w:hAnsi="Times New Roman" w:eastAsia="宋体" w:cs="Times New Roman"/>
          <w:highlight w:val="none"/>
          <w:lang w:val="en-US" w:eastAsia="zh-CN"/>
        </w:rPr>
        <w:t>，</w:t>
      </w:r>
      <w:r>
        <w:rPr>
          <w:rFonts w:hint="default" w:ascii="Times New Roman" w:hAnsi="Times New Roman" w:eastAsia="宋体" w:cs="Times New Roman"/>
          <w:highlight w:val="none"/>
          <w:lang w:val="en-US" w:eastAsia="zh-CN"/>
        </w:rPr>
        <w:t>主要建设内容包括</w:t>
      </w:r>
      <w:r>
        <w:rPr>
          <w:rFonts w:hint="eastAsia" w:cs="Times New Roman"/>
          <w:highlight w:val="none"/>
          <w:lang w:val="en-US" w:eastAsia="zh-CN"/>
        </w:rPr>
        <w:t>：</w:t>
      </w:r>
      <w:r>
        <w:rPr>
          <w:rFonts w:hint="default" w:ascii="Times New Roman" w:hAnsi="Times New Roman" w:eastAsia="宋体" w:cs="Times New Roman"/>
          <w:highlight w:val="none"/>
          <w:lang w:val="en-US" w:eastAsia="zh-CN"/>
        </w:rPr>
        <w:t>建设1台3514t/h高效超超临界二次再热燃煤锅炉配1350MW的超超临界纯凝式汽轮发电机组，建设1座16000m</w:t>
      </w:r>
      <w:r>
        <w:rPr>
          <w:rFonts w:hint="default" w:ascii="Times New Roman" w:hAnsi="Times New Roman" w:eastAsia="宋体" w:cs="Times New Roman"/>
          <w:highlight w:val="none"/>
          <w:vertAlign w:val="superscript"/>
          <w:lang w:val="en-US" w:eastAsia="zh-CN"/>
        </w:rPr>
        <w:t>2</w:t>
      </w:r>
      <w:r>
        <w:rPr>
          <w:rFonts w:hint="default" w:ascii="Times New Roman" w:hAnsi="Times New Roman" w:eastAsia="宋体" w:cs="Times New Roman"/>
          <w:highlight w:val="none"/>
          <w:lang w:val="en-US" w:eastAsia="zh-CN"/>
        </w:rPr>
        <w:t>自然通风排烟冷却塔，配套建设煤库、渣仓、灰仓及脱硫、脱硝、除尘系统等。结合淮北市环保局初审意见，经研究，提出审批意见如下</w:t>
      </w:r>
      <w:r>
        <w:rPr>
          <w:rFonts w:hint="eastAsia" w:ascii="Times New Roman" w:hAnsi="Times New Roman" w:eastAsia="宋体" w:cs="Times New Roman"/>
          <w:highlight w:val="none"/>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一、本工程为国家火电示范工程项目，在全面落实《报告书》提出的各项环境保护措施和区域减排方案后，污染物可实现达标排放，主要污染物排放量满足总量控制指标要求。从环境保护角度，我厅同意你公司按《报告书》所列建设项目的性质、规模、地点、工艺、污染防治措施进行建设。</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二、项目建设及运营过程中应重点做好以下工作：</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一)强化大气污染防治措施。燃用设计煤种，锅炉烟气采用石灰石-石膏湿法脱硫；采用低氮燃烧技术及SCR工艺脱除氮氧化物，还原剂选用液氨；除尘采用双室五电场静电除尘器，脱硫塔后预留湿式电除尘位置；除尘、脱硫和脱硝协同脱除汞。建设一座210米高的排烟冷却塔，烟气污染物排放执行《火电厂大气污染物排放标准》（GB13223-2011）燃气轮机组排放限值及《全面实施燃煤电厂超低排放和节能改造工作方案》(环发[2015]164号)相关限值要求，即烟尘、二氧化硫、氮氧化物分别不高于10mg/m</w:t>
      </w:r>
      <w:r>
        <w:rPr>
          <w:rFonts w:hint="eastAsia"/>
          <w:highlight w:val="none"/>
          <w:vertAlign w:val="superscript"/>
          <w:lang w:val="en-US" w:eastAsia="zh-CN"/>
        </w:rPr>
        <w:t>3</w:t>
      </w:r>
      <w:r>
        <w:rPr>
          <w:rFonts w:hint="eastAsia"/>
          <w:highlight w:val="none"/>
          <w:lang w:val="en-US" w:eastAsia="zh-CN"/>
        </w:rPr>
        <w:t>、35mg/m</w:t>
      </w:r>
      <w:r>
        <w:rPr>
          <w:rFonts w:hint="eastAsia"/>
          <w:highlight w:val="none"/>
          <w:vertAlign w:val="superscript"/>
          <w:lang w:val="en-US" w:eastAsia="zh-CN"/>
        </w:rPr>
        <w:t>3</w:t>
      </w:r>
      <w:r>
        <w:rPr>
          <w:rFonts w:hint="eastAsia"/>
          <w:highlight w:val="none"/>
          <w:lang w:val="en-US" w:eastAsia="zh-CN"/>
        </w:rPr>
        <w:t>、50mg/m</w:t>
      </w:r>
      <w:r>
        <w:rPr>
          <w:rFonts w:hint="eastAsia"/>
          <w:highlight w:val="none"/>
          <w:vertAlign w:val="superscript"/>
          <w:lang w:val="en-US" w:eastAsia="zh-CN"/>
        </w:rPr>
        <w:t>3</w:t>
      </w:r>
      <w:r>
        <w:rPr>
          <w:rFonts w:hint="eastAsia"/>
          <w:highlight w:val="none"/>
          <w:lang w:val="en-US" w:eastAsia="zh-CN"/>
        </w:rPr>
        <w:t>。</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认真落实原辅料储运、破碎工序的扬尘控制措施，减少各类无组织排放。本期工程新建煤场采用干煤棚，两端设置防风抑尘网，采用全封闭输煤栈桥，各转运站、碎煤机室、煤仓、石灰石粉仓、灰仓、渣仓等起尘点均设除尘设备，煤场和输煤栈桥设置全自动喷洒水降尘设施。一期煤场按照二期煤场的污染防治要求同步进行改造。粉尘执行《大气污染物综合排放标准》(GB16297-1996)二级标准，厂界大气污染物排放须符合《大气污染物综合排放标准》(GB16297-1996)中无组织排放监控浓度限值要求。排烟冷却塔外设置450米的环境防护距离，防护距离内不得规划建设环境敏感点。</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二)严格落实水污染防治措施。优先取用淮北市经济开发区污水处理厂中水，不足部分取用地表水。按照“清污分流、雨污分流、一水多用”原则，完善厂区排水系统，提高水重复利用率。根据不同水质进行分类处理并回用，厂区各类生产废水及生活污水经处理后全部回用。设置足够容量的事故水池，确保各种工况下废污水不外排。按照“分区防渗”原则及《报告书》中提出的方案，分别对不同区域采取相应防渗处理措施，防渗系数应达到相关要求。合理布设地下水监测点位，并定期开展水质监测，发现污染时应立即采取措施阻断污染源，防止污染扩延并清理污染。</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三）强化噪声污染防治。优先选用低噪声、振动小设备，优化厂区平面布置，合理布设高噪声设备。采取减振、吸声、隔声等措施，厂界噪声执行《工业企业厂界环境噪声排放标准》（GB12348-2008）3类区标准。施工期噪声执行《建筑施工场界环境噪声排放标准》（GB12523-2011）有关规定。</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四）严格落实固体废物分类处置和综合利用措施。采用灰渣分除，灰渣全部综合利用。本期工程不建设永久灰场，临时事故灰场依托一期工程建设的水冲子灰场。严格控制运输过程扬尘污染。脱硝系统产生的废催化剂等危险废物，应按危险废物管理要求收集、储存、运输和处置。</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五）强化环境风险防范和应急措施。制定完备的环境风险应急预案，做好与当地政府及相关部门应急预案的衔接，并报当地环保部门备案。加强运行管理，保障污染治理设施正常运行；全面落实环境风险事故防范措施，特别是液氨储运、使用环节的安全管理。储罐区均应设置围堰，确保事故状态下废液、废水全部收集至事故池不外排。按照环境应急预案要求配备事故应急设施、物资和器材，定期进行应急培训和演练，有效防范和应对环境风险。</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六）进一步强化污染源管理工作。加强日常运行及维护管理，确保各类污染物稳定达标排放。按照国家和地方有关规定，建设规范的污染物排放口和固体废物堆放场，并设立标志牌。废气排放筒应合理设置采样口，设置烟气排放连续自动监测系统，与环保部门联网，公开大气污染物排放情况，接受公众监督。</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七）强化施工期环境管理。合理安排施工时间，优化施工工艺，尽量减少临时占地，严格控制施工场地、施工机械和车辆运输扬尘及噪声等环境影响，减少地表裸露面，全面落实《大气污染防治行动计划》相关要求，严格控制不利环境影响，防止施工造成环境污染或生态破坏。</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八）优化生产工艺和环境保护设施的设计、施工，加强生产设施和环保设施等的管理，采取措施进一步提高清洁生产水平，并保持在国内先进及以上水平。主要污染物排放总量按《报告书》所列指标执行，你公司应严格落实各项污染控制措施，确保项目运行后各项主要污染物排放量不超指标要求。</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九）在工程施工和运营过程中，应建立畅通的公众参与平台，及时解决公众提出的环境问题，满足公众合理的环境保护要求。高度重视项目建设与运行可能引起的社会稳定风险，定期发布企业环境信息并主动接受社会监督，及时采取措施解决公众关注的问题并消除影响。</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（十）按《报告书》及相关法律法规要求，加强施工期环境管理，合理组织施工，采取切实可行措施，严格控制施工扬尘、噪声、废水及固体废物对周围环境的影响。</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三、项目建设应严格执行环境保护设施与主体工程同时设计、同时施工、同时投入使用的环境保护“三同时”制度。项目完工后，应开展建设项目竣工环保验收；验收合格后，项目方可正式投入生产。</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四、若项目地点、规模、内容、生产工艺或污染防治措施等发生重大变动，应依法重新履行相关审批手续。</w:t>
      </w:r>
    </w:p>
    <w:p>
      <w:pPr>
        <w:keepNext w:val="0"/>
        <w:keepLines w:val="0"/>
        <w:pageBreakBefore w:val="0"/>
        <w:widowControl w:val="0"/>
        <w:kinsoku/>
        <w:wordWrap/>
        <w:overflowPunct/>
        <w:topLinePunct w:val="0"/>
        <w:autoSpaceDE/>
        <w:autoSpaceDN/>
        <w:bidi w:val="0"/>
        <w:adjustRightInd/>
        <w:snapToGrid/>
        <w:textAlignment w:val="auto"/>
        <w:rPr>
          <w:rFonts w:hint="eastAsia"/>
          <w:highlight w:val="none"/>
          <w:lang w:val="en-US" w:eastAsia="zh-CN"/>
        </w:rPr>
      </w:pPr>
      <w:r>
        <w:rPr>
          <w:rFonts w:hint="eastAsia"/>
          <w:highlight w:val="none"/>
          <w:lang w:val="en-US" w:eastAsia="zh-CN"/>
        </w:rPr>
        <w:t>五、淮北市人民政府应按照承诺，按时完成平山电厂环境防护距离内的居民搬迁安置工作；落实区域污染物削减方案。淮北市环保局负责该项目日常环境监管，加强施工期环境管理，并负责督促落实区域污染物削减方案。</w:t>
      </w:r>
    </w:p>
    <w:p>
      <w:pPr>
        <w:keepNext w:val="0"/>
        <w:keepLines w:val="0"/>
        <w:pageBreakBefore w:val="0"/>
        <w:widowControl w:val="0"/>
        <w:kinsoku/>
        <w:wordWrap/>
        <w:overflowPunct/>
        <w:topLinePunct w:val="0"/>
        <w:autoSpaceDE/>
        <w:autoSpaceDN/>
        <w:bidi w:val="0"/>
        <w:adjustRightInd/>
        <w:snapToGrid/>
        <w:textAlignment w:val="auto"/>
        <w:rPr>
          <w:rFonts w:hint="eastAsia"/>
          <w:highlight w:val="red"/>
          <w:lang w:val="en-US" w:eastAsia="zh-CN"/>
        </w:rPr>
      </w:pPr>
      <w:r>
        <w:rPr>
          <w:rFonts w:hint="eastAsia"/>
          <w:highlight w:val="none"/>
          <w:lang w:val="en-US" w:eastAsia="zh-CN"/>
        </w:rPr>
        <w:t>六、你公司收到此函后，应及时将批准后的《报告书》送淮北市环保局，并于30日内将送达回执送我厅环境影响评价处。</w:t>
      </w:r>
    </w:p>
    <w:p>
      <w:pPr>
        <w:rPr>
          <w:rFonts w:hint="eastAsia"/>
          <w:highlight w:val="red"/>
          <w:lang w:val="en-US" w:eastAsia="zh-CN"/>
        </w:rPr>
      </w:pPr>
      <w:r>
        <w:rPr>
          <w:rFonts w:hint="eastAsia"/>
          <w:highlight w:val="red"/>
          <w:lang w:val="en-US" w:eastAsia="zh-CN"/>
        </w:rPr>
        <w:br w:type="page"/>
      </w: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eastAsia" w:ascii="Times New Roman" w:hAnsi="Times New Roman" w:eastAsia="宋体" w:cs="Times New Roman"/>
          <w:color w:val="auto"/>
          <w:sz w:val="36"/>
          <w:szCs w:val="36"/>
          <w:highlight w:val="none"/>
          <w:lang w:val="en-US" w:eastAsia="zh-CN"/>
        </w:rPr>
      </w:pPr>
      <w:bookmarkStart w:id="74" w:name="_Toc10905_WPSOffice_Level1"/>
      <w:bookmarkStart w:id="75" w:name="_Toc10788"/>
      <w:bookmarkStart w:id="76" w:name="_Toc26531"/>
      <w:r>
        <w:rPr>
          <w:rFonts w:hint="eastAsia" w:cs="Times New Roman"/>
          <w:color w:val="auto"/>
          <w:sz w:val="36"/>
          <w:szCs w:val="36"/>
          <w:highlight w:val="none"/>
          <w:lang w:val="en-US" w:eastAsia="zh-CN"/>
        </w:rPr>
        <w:t>六</w:t>
      </w:r>
      <w:r>
        <w:rPr>
          <w:rFonts w:hint="eastAsia" w:ascii="Times New Roman" w:hAnsi="Times New Roman" w:eastAsia="宋体" w:cs="Times New Roman"/>
          <w:color w:val="auto"/>
          <w:sz w:val="36"/>
          <w:szCs w:val="36"/>
          <w:highlight w:val="none"/>
          <w:lang w:val="en-US" w:eastAsia="zh-CN"/>
        </w:rPr>
        <w:t>、验收监测评价标准</w:t>
      </w:r>
      <w:bookmarkEnd w:id="74"/>
      <w:bookmarkEnd w:id="75"/>
      <w:bookmarkEnd w:id="76"/>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eastAsia" w:ascii="Times New Roman" w:hAnsi="Times New Roman" w:cs="Times New Roman"/>
          <w:b/>
          <w:color w:val="auto"/>
          <w:kern w:val="0"/>
          <w:sz w:val="30"/>
          <w:szCs w:val="20"/>
          <w:highlight w:val="none"/>
          <w:lang w:val="en-US" w:eastAsia="zh-CN" w:bidi="ar-SA"/>
        </w:rPr>
      </w:pPr>
      <w:bookmarkStart w:id="77" w:name="_Toc25430"/>
      <w:r>
        <w:rPr>
          <w:rFonts w:hint="eastAsia" w:ascii="Times New Roman" w:hAnsi="Times New Roman" w:cs="Times New Roman"/>
          <w:b/>
          <w:color w:val="auto"/>
          <w:kern w:val="0"/>
          <w:sz w:val="30"/>
          <w:szCs w:val="20"/>
          <w:highlight w:val="none"/>
          <w:lang w:val="en-US" w:eastAsia="zh-CN" w:bidi="ar-SA"/>
        </w:rPr>
        <w:t>6.1大气污染物</w:t>
      </w:r>
      <w:bookmarkEnd w:id="77"/>
    </w:p>
    <w:p>
      <w:pPr>
        <w:pStyle w:val="27"/>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sz w:val="24"/>
          <w:szCs w:val="24"/>
          <w:highlight w:val="none"/>
          <w:lang w:val="en-US" w:eastAsia="zh-CN"/>
        </w:rPr>
      </w:pPr>
      <w:r>
        <w:rPr>
          <w:rFonts w:hint="default" w:ascii="Times New Roman" w:hAnsi="Times New Roman" w:cs="Times New Roman"/>
          <w:color w:val="000000"/>
          <w:sz w:val="24"/>
          <w:szCs w:val="24"/>
          <w:highlight w:val="none"/>
        </w:rPr>
        <w:t>根据《关于印发《全面实施燃煤电厂超低排放和节能改造工作方案》的通知》（环发</w:t>
      </w:r>
      <w:r>
        <w:rPr>
          <w:rFonts w:hint="default" w:ascii="Times New Roman" w:hAnsi="Times New Roman" w:eastAsia="Times New Roman" w:cs="Times New Roman"/>
          <w:color w:val="000000"/>
          <w:sz w:val="24"/>
          <w:szCs w:val="24"/>
          <w:highlight w:val="none"/>
        </w:rPr>
        <w:t>[2015]164</w:t>
      </w:r>
      <w:r>
        <w:rPr>
          <w:rFonts w:hint="default" w:ascii="Times New Roman" w:hAnsi="Times New Roman" w:cs="Times New Roman"/>
          <w:color w:val="000000"/>
          <w:sz w:val="24"/>
          <w:szCs w:val="24"/>
          <w:highlight w:val="none"/>
        </w:rPr>
        <w:t>号）的要求，全国有条件的新建燃煤发电机组达到超低排放水平（即在基准氧含量</w:t>
      </w:r>
      <w:r>
        <w:rPr>
          <w:rFonts w:hint="default" w:ascii="Times New Roman" w:hAnsi="Times New Roman" w:eastAsia="Times New Roman" w:cs="Times New Roman"/>
          <w:color w:val="000000"/>
          <w:sz w:val="24"/>
          <w:szCs w:val="24"/>
          <w:highlight w:val="none"/>
        </w:rPr>
        <w:t>6%</w:t>
      </w:r>
      <w:r>
        <w:rPr>
          <w:rFonts w:hint="default" w:ascii="Times New Roman" w:hAnsi="Times New Roman" w:cs="Times New Roman"/>
          <w:color w:val="000000"/>
          <w:sz w:val="24"/>
          <w:szCs w:val="24"/>
          <w:highlight w:val="none"/>
        </w:rPr>
        <w:t>条件下，烟尘、二氧化硫、氮氧化物排放浓度分别不高于</w:t>
      </w:r>
      <w:r>
        <w:rPr>
          <w:rFonts w:hint="default" w:ascii="Times New Roman" w:hAnsi="Times New Roman" w:eastAsia="Times New Roman" w:cs="Times New Roman"/>
          <w:color w:val="000000"/>
          <w:sz w:val="24"/>
          <w:szCs w:val="24"/>
          <w:highlight w:val="none"/>
        </w:rPr>
        <w:t>10</w:t>
      </w:r>
      <w:r>
        <w:rPr>
          <w:rFonts w:hint="default" w:ascii="Times New Roman" w:hAnsi="Times New Roman" w:cs="Times New Roman"/>
          <w:color w:val="000000"/>
          <w:sz w:val="24"/>
          <w:szCs w:val="24"/>
          <w:highlight w:val="none"/>
        </w:rPr>
        <w:t>、</w:t>
      </w:r>
      <w:r>
        <w:rPr>
          <w:rFonts w:hint="default" w:ascii="Times New Roman" w:hAnsi="Times New Roman" w:eastAsia="Times New Roman" w:cs="Times New Roman"/>
          <w:color w:val="000000"/>
          <w:sz w:val="24"/>
          <w:szCs w:val="24"/>
          <w:highlight w:val="none"/>
        </w:rPr>
        <w:t>35</w:t>
      </w:r>
      <w:r>
        <w:rPr>
          <w:rFonts w:hint="default" w:ascii="Times New Roman" w:hAnsi="Times New Roman" w:cs="Times New Roman"/>
          <w:color w:val="000000"/>
          <w:sz w:val="24"/>
          <w:szCs w:val="24"/>
          <w:highlight w:val="none"/>
        </w:rPr>
        <w:t>、</w:t>
      </w:r>
      <w:r>
        <w:rPr>
          <w:rFonts w:hint="default" w:ascii="Times New Roman" w:hAnsi="Times New Roman" w:eastAsia="Times New Roman" w:cs="Times New Roman"/>
          <w:color w:val="000000"/>
          <w:sz w:val="24"/>
          <w:szCs w:val="24"/>
          <w:highlight w:val="none"/>
        </w:rPr>
        <w:t>50</w:t>
      </w:r>
      <w:r>
        <w:rPr>
          <w:rFonts w:hint="default" w:ascii="Times New Roman" w:hAnsi="Times New Roman" w:cs="Times New Roman"/>
          <w:color w:val="000000"/>
          <w:sz w:val="24"/>
          <w:szCs w:val="24"/>
          <w:highlight w:val="none"/>
        </w:rPr>
        <w:t>毫克</w:t>
      </w:r>
      <w:r>
        <w:rPr>
          <w:rFonts w:hint="default" w:ascii="Times New Roman" w:hAnsi="Times New Roman" w:eastAsia="Times New Roman" w:cs="Times New Roman"/>
          <w:color w:val="000000"/>
          <w:sz w:val="24"/>
          <w:szCs w:val="24"/>
          <w:highlight w:val="none"/>
        </w:rPr>
        <w:t>/</w:t>
      </w:r>
      <w:r>
        <w:rPr>
          <w:rFonts w:hint="default" w:ascii="Times New Roman" w:hAnsi="Times New Roman" w:cs="Times New Roman"/>
          <w:color w:val="000000"/>
          <w:sz w:val="24"/>
          <w:szCs w:val="24"/>
          <w:highlight w:val="none"/>
        </w:rPr>
        <w:t>立方米）。因此，本工程锅炉烟气污染物排放按在基准氧含量</w:t>
      </w:r>
      <w:r>
        <w:rPr>
          <w:rFonts w:hint="default" w:ascii="Times New Roman" w:hAnsi="Times New Roman" w:eastAsia="Times New Roman" w:cs="Times New Roman"/>
          <w:color w:val="000000"/>
          <w:sz w:val="24"/>
          <w:szCs w:val="24"/>
          <w:highlight w:val="none"/>
        </w:rPr>
        <w:t>6%</w:t>
      </w:r>
      <w:r>
        <w:rPr>
          <w:rFonts w:hint="default" w:ascii="Times New Roman" w:hAnsi="Times New Roman" w:cs="Times New Roman"/>
          <w:color w:val="000000"/>
          <w:sz w:val="24"/>
          <w:szCs w:val="24"/>
          <w:highlight w:val="none"/>
        </w:rPr>
        <w:t>条件下，烟尘、二氧化硫、氮氧化物排放浓度分别不高于</w:t>
      </w:r>
      <w:r>
        <w:rPr>
          <w:rFonts w:hint="default" w:ascii="Times New Roman" w:hAnsi="Times New Roman" w:eastAsia="Times New Roman" w:cs="Times New Roman"/>
          <w:color w:val="000000"/>
          <w:sz w:val="24"/>
          <w:szCs w:val="24"/>
          <w:highlight w:val="none"/>
        </w:rPr>
        <w:t>10</w:t>
      </w:r>
      <w:r>
        <w:rPr>
          <w:rFonts w:hint="default" w:ascii="Times New Roman" w:hAnsi="Times New Roman" w:cs="Times New Roman"/>
          <w:color w:val="000000"/>
          <w:sz w:val="24"/>
          <w:szCs w:val="24"/>
          <w:highlight w:val="none"/>
        </w:rPr>
        <w:t>、</w:t>
      </w:r>
      <w:r>
        <w:rPr>
          <w:rFonts w:hint="default" w:ascii="Times New Roman" w:hAnsi="Times New Roman" w:eastAsia="Times New Roman" w:cs="Times New Roman"/>
          <w:color w:val="000000"/>
          <w:sz w:val="24"/>
          <w:szCs w:val="24"/>
          <w:highlight w:val="none"/>
        </w:rPr>
        <w:t>35</w:t>
      </w:r>
      <w:r>
        <w:rPr>
          <w:rFonts w:hint="default" w:ascii="Times New Roman" w:hAnsi="Times New Roman" w:cs="Times New Roman"/>
          <w:color w:val="000000"/>
          <w:sz w:val="24"/>
          <w:szCs w:val="24"/>
          <w:highlight w:val="none"/>
        </w:rPr>
        <w:t>、</w:t>
      </w:r>
      <w:r>
        <w:rPr>
          <w:rFonts w:hint="default" w:ascii="Times New Roman" w:hAnsi="Times New Roman" w:eastAsia="Times New Roman" w:cs="Times New Roman"/>
          <w:color w:val="000000"/>
          <w:sz w:val="24"/>
          <w:szCs w:val="24"/>
          <w:highlight w:val="none"/>
        </w:rPr>
        <w:t>50</w:t>
      </w:r>
      <w:r>
        <w:rPr>
          <w:rFonts w:hint="default" w:ascii="Times New Roman" w:hAnsi="Times New Roman" w:cs="Times New Roman"/>
          <w:color w:val="000000"/>
          <w:sz w:val="24"/>
          <w:szCs w:val="24"/>
          <w:highlight w:val="none"/>
        </w:rPr>
        <w:t>毫克</w:t>
      </w:r>
      <w:r>
        <w:rPr>
          <w:rFonts w:hint="default" w:ascii="Times New Roman" w:hAnsi="Times New Roman" w:eastAsia="Times New Roman" w:cs="Times New Roman"/>
          <w:color w:val="000000"/>
          <w:sz w:val="24"/>
          <w:szCs w:val="24"/>
          <w:highlight w:val="none"/>
        </w:rPr>
        <w:t>/</w:t>
      </w:r>
      <w:r>
        <w:rPr>
          <w:rFonts w:hint="default" w:ascii="Times New Roman" w:hAnsi="Times New Roman" w:cs="Times New Roman"/>
          <w:color w:val="000000"/>
          <w:sz w:val="24"/>
          <w:szCs w:val="24"/>
          <w:highlight w:val="none"/>
        </w:rPr>
        <w:t>立方米</w:t>
      </w:r>
      <w:r>
        <w:rPr>
          <w:rFonts w:hint="default" w:ascii="Times New Roman" w:hAnsi="Times New Roman" w:cs="Times New Roman"/>
          <w:color w:val="000000"/>
          <w:sz w:val="24"/>
          <w:szCs w:val="24"/>
          <w:highlight w:val="none"/>
          <w:lang w:val="en-US" w:eastAsia="zh-CN"/>
        </w:rPr>
        <w:t>执行；2019年12月24日原安徽省生态环境厅下达关于全面执行大气污染物特别排放限值的通知，因此本项目锅炉废气汞及其化合物</w:t>
      </w:r>
      <w:r>
        <w:rPr>
          <w:rFonts w:hint="eastAsia" w:ascii="Times New Roman" w:hAnsi="Times New Roman" w:cs="Times New Roman"/>
          <w:color w:val="000000"/>
          <w:sz w:val="24"/>
          <w:szCs w:val="24"/>
          <w:highlight w:val="none"/>
          <w:lang w:val="en-US" w:eastAsia="zh-CN"/>
        </w:rPr>
        <w:t>、烟气黑度</w:t>
      </w:r>
      <w:r>
        <w:rPr>
          <w:rFonts w:hint="default" w:ascii="Times New Roman" w:hAnsi="Times New Roman" w:cs="Times New Roman"/>
          <w:color w:val="000000"/>
          <w:sz w:val="24"/>
          <w:szCs w:val="24"/>
          <w:highlight w:val="none"/>
          <w:lang w:val="en-US" w:eastAsia="zh-CN"/>
        </w:rPr>
        <w:t>执行《火电厂大气污染物排放标准》（GB13223-2011）表2大气污染物特别排放限值。</w:t>
      </w:r>
    </w:p>
    <w:p>
      <w:pPr>
        <w:pStyle w:val="27"/>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000000"/>
          <w:sz w:val="24"/>
          <w:szCs w:val="24"/>
          <w:highlight w:val="none"/>
          <w:lang w:val="en-US" w:eastAsia="zh-CN"/>
        </w:rPr>
      </w:pPr>
      <w:r>
        <w:rPr>
          <w:rFonts w:hint="eastAsia"/>
          <w:color w:val="auto"/>
          <w:sz w:val="24"/>
          <w:szCs w:val="24"/>
          <w:highlight w:val="none"/>
          <w:lang w:val="en-US" w:eastAsia="zh-CN"/>
        </w:rPr>
        <w:t>粉</w:t>
      </w:r>
      <w:r>
        <w:rPr>
          <w:color w:val="auto"/>
          <w:sz w:val="24"/>
          <w:szCs w:val="24"/>
          <w:highlight w:val="none"/>
        </w:rPr>
        <w:t>尘无组织排放执行GB16297-1996表2中大气污染物无组织排放监控浓度限值。</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color w:val="000000"/>
          <w:sz w:val="24"/>
          <w:highlight w:val="none"/>
          <w:vertAlign w:val="baseline"/>
          <w:lang w:val="en-US" w:eastAsia="zh-CN"/>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6-1项目锅炉废气排放执行标准</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8"/>
        <w:gridCol w:w="3529"/>
        <w:gridCol w:w="2130"/>
        <w:gridCol w:w="21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项目</w:t>
            </w:r>
          </w:p>
        </w:tc>
        <w:tc>
          <w:tcPr>
            <w:tcW w:w="207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标准名称</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排放因子</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排放浓度</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rPr>
              <w:t>排放浓度</w:t>
            </w:r>
            <w:r>
              <w:rPr>
                <w:rFonts w:hint="eastAsia"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mg/Nm</w:t>
            </w:r>
            <w:r>
              <w:rPr>
                <w:rFonts w:hint="default" w:ascii="Times New Roman" w:hAnsi="Times New Roman" w:eastAsia="宋体" w:cs="Times New Roman"/>
                <w:color w:val="000000"/>
                <w:sz w:val="21"/>
                <w:szCs w:val="21"/>
                <w:highlight w:val="none"/>
                <w:vertAlign w:val="superscript"/>
              </w:rPr>
              <w:t>3</w:t>
            </w:r>
            <w:r>
              <w:rPr>
                <w:rFonts w:hint="eastAsia" w:ascii="Times New Roman" w:hAnsi="Times New Roman" w:eastAsia="宋体" w:cs="Times New Roman"/>
                <w:color w:val="000000"/>
                <w:sz w:val="21"/>
                <w:szCs w:val="21"/>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锅炉废气</w:t>
            </w:r>
          </w:p>
        </w:tc>
        <w:tc>
          <w:tcPr>
            <w:tcW w:w="207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《关于印发《全面实施燃煤电厂超低排放和节能改造工作方案》的通知》</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rPr>
              <w:t>（环发[2015]164号）</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SO</w:t>
            </w:r>
            <w:r>
              <w:rPr>
                <w:rFonts w:hint="default" w:ascii="Times New Roman" w:hAnsi="Times New Roman" w:eastAsia="宋体" w:cs="Times New Roman"/>
                <w:color w:val="000000"/>
                <w:sz w:val="21"/>
                <w:szCs w:val="21"/>
                <w:highlight w:val="none"/>
                <w:vertAlign w:val="subscript"/>
                <w:lang w:val="en-US" w:eastAsia="zh-CN"/>
              </w:rPr>
              <w:t>2</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207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NO</w:t>
            </w:r>
            <w:r>
              <w:rPr>
                <w:rFonts w:hint="default" w:ascii="Times New Roman" w:hAnsi="Times New Roman" w:eastAsia="宋体" w:cs="Times New Roman"/>
                <w:color w:val="000000"/>
                <w:sz w:val="21"/>
                <w:szCs w:val="21"/>
                <w:highlight w:val="none"/>
                <w:vertAlign w:val="subscript"/>
                <w:lang w:val="en-US" w:eastAsia="zh-CN"/>
              </w:rPr>
              <w:t>X</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207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烟尘</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207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lang w:val="en-US" w:eastAsia="zh-CN"/>
              </w:rPr>
              <w:t>《火电厂大气污染物排放标准》（GB13223-2011）表2大气污染物特别排放限值</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汞及其化合物</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default" w:ascii="Times New Roman" w:hAnsi="Times New Roman" w:eastAsia="宋体" w:cs="Times New Roman"/>
                <w:color w:val="000000"/>
                <w:sz w:val="21"/>
                <w:szCs w:val="21"/>
                <w:highlight w:val="none"/>
                <w:vertAlign w:val="baseline"/>
                <w:lang w:val="en-US" w:eastAsia="zh-CN"/>
              </w:rPr>
              <w:t>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42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p>
        </w:tc>
        <w:tc>
          <w:tcPr>
            <w:tcW w:w="207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lang w:val="en-US" w:eastAsia="zh-CN"/>
              </w:rPr>
            </w:pP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eastAsia"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烟气黑度</w:t>
            </w:r>
          </w:p>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（林格曼黑度）/级</w:t>
            </w:r>
          </w:p>
        </w:tc>
        <w:tc>
          <w:tcPr>
            <w:tcW w:w="1250"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color w:val="000000"/>
                <w:sz w:val="21"/>
                <w:szCs w:val="21"/>
                <w:highlight w:val="none"/>
                <w:vertAlign w:val="baseline"/>
                <w:lang w:val="en-US" w:eastAsia="zh-CN"/>
              </w:rPr>
            </w:pPr>
            <w:r>
              <w:rPr>
                <w:rFonts w:hint="eastAsia" w:ascii="Times New Roman" w:hAnsi="Times New Roman" w:eastAsia="宋体" w:cs="Times New Roman"/>
                <w:color w:val="000000"/>
                <w:sz w:val="21"/>
                <w:szCs w:val="21"/>
                <w:highlight w:val="none"/>
                <w:vertAlign w:val="baseline"/>
                <w:lang w:val="en-US" w:eastAsia="zh-CN"/>
              </w:rPr>
              <w:t>1</w:t>
            </w:r>
          </w:p>
        </w:tc>
      </w:tr>
    </w:tbl>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eastAsia" w:ascii="黑体" w:hAnsi="黑体" w:eastAsia="黑体" w:cs="黑体"/>
          <w:b w:val="0"/>
          <w:bCs/>
          <w:color w:val="000000"/>
          <w:sz w:val="21"/>
          <w:szCs w:val="21"/>
          <w:highlight w:val="none"/>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6</w:t>
      </w:r>
      <w:r>
        <w:rPr>
          <w:rFonts w:hint="eastAsia" w:ascii="黑体" w:hAnsi="黑体" w:eastAsia="黑体" w:cs="黑体"/>
          <w:b w:val="0"/>
          <w:bCs/>
          <w:color w:val="000000"/>
          <w:sz w:val="21"/>
          <w:szCs w:val="21"/>
          <w:highlight w:val="none"/>
        </w:rPr>
        <w:t>-</w:t>
      </w:r>
      <w:r>
        <w:rPr>
          <w:rFonts w:hint="eastAsia" w:ascii="黑体" w:hAnsi="黑体" w:eastAsia="黑体" w:cs="黑体"/>
          <w:b w:val="0"/>
          <w:bCs/>
          <w:color w:val="000000"/>
          <w:sz w:val="21"/>
          <w:szCs w:val="21"/>
          <w:highlight w:val="none"/>
          <w:lang w:val="en-US" w:eastAsia="zh-CN"/>
        </w:rPr>
        <w:t>2</w:t>
      </w:r>
      <w:r>
        <w:rPr>
          <w:rFonts w:hint="eastAsia" w:ascii="黑体" w:hAnsi="黑体" w:eastAsia="黑体" w:cs="黑体"/>
          <w:b w:val="0"/>
          <w:bCs/>
          <w:color w:val="000000"/>
          <w:sz w:val="21"/>
          <w:szCs w:val="21"/>
          <w:highlight w:val="none"/>
        </w:rPr>
        <w:t>大气污染物排放执行标准值</w:t>
      </w:r>
    </w:p>
    <w:tbl>
      <w:tblPr>
        <w:tblStyle w:val="23"/>
        <w:tblW w:w="4998" w:type="pct"/>
        <w:jc w:val="center"/>
        <w:tblLayout w:type="autofit"/>
        <w:tblCellMar>
          <w:top w:w="0" w:type="dxa"/>
          <w:left w:w="0" w:type="dxa"/>
          <w:bottom w:w="0" w:type="dxa"/>
          <w:right w:w="0" w:type="dxa"/>
        </w:tblCellMar>
      </w:tblPr>
      <w:tblGrid>
        <w:gridCol w:w="1397"/>
        <w:gridCol w:w="4066"/>
        <w:gridCol w:w="2856"/>
      </w:tblGrid>
      <w:tr>
        <w:trPr>
          <w:trHeight w:val="23" w:hRule="atLeast"/>
          <w:jc w:val="center"/>
        </w:trPr>
        <w:tc>
          <w:tcPr>
            <w:tcW w:w="840" w:type="pct"/>
            <w:vMerge w:val="restart"/>
            <w:tcBorders>
              <w:top w:val="single" w:color="000000" w:sz="6" w:space="0"/>
              <w:left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color w:val="auto"/>
                <w:highlight w:val="none"/>
              </w:rPr>
            </w:pPr>
            <w:r>
              <w:rPr>
                <w:color w:val="auto"/>
                <w:highlight w:val="none"/>
              </w:rPr>
              <w:t>污染物</w:t>
            </w:r>
          </w:p>
        </w:tc>
        <w:tc>
          <w:tcPr>
            <w:tcW w:w="2443" w:type="pct"/>
            <w:tcBorders>
              <w:top w:val="single" w:color="000000" w:sz="6" w:space="0"/>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firstLine="0" w:firstLineChars="0"/>
              <w:jc w:val="center"/>
              <w:textAlignment w:val="baseline"/>
              <w:outlineLvl w:val="9"/>
              <w:rPr>
                <w:color w:val="auto"/>
                <w:highlight w:val="none"/>
              </w:rPr>
            </w:pPr>
            <w:r>
              <w:rPr>
                <w:color w:val="auto"/>
                <w:highlight w:val="none"/>
              </w:rPr>
              <w:t>排放浓度限值(mg/</w:t>
            </w:r>
            <w:r>
              <w:rPr>
                <w:rFonts w:hint="eastAsia"/>
                <w:color w:val="auto"/>
                <w:highlight w:val="none"/>
                <w:lang w:eastAsia="zh-CN"/>
              </w:rPr>
              <w:t>m</w:t>
            </w:r>
            <w:r>
              <w:rPr>
                <w:rFonts w:hint="eastAsia"/>
                <w:color w:val="auto"/>
                <w:highlight w:val="none"/>
                <w:vertAlign w:val="superscript"/>
                <w:lang w:eastAsia="zh-CN"/>
              </w:rPr>
              <w:t>3</w:t>
            </w:r>
            <w:r>
              <w:rPr>
                <w:color w:val="auto"/>
                <w:highlight w:val="none"/>
              </w:rPr>
              <w:t>)</w:t>
            </w:r>
          </w:p>
        </w:tc>
        <w:tc>
          <w:tcPr>
            <w:tcW w:w="1716" w:type="pct"/>
            <w:vMerge w:val="restart"/>
            <w:tcBorders>
              <w:top w:val="single" w:color="000000" w:sz="6" w:space="0"/>
              <w:left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firstLine="0" w:firstLineChars="0"/>
              <w:jc w:val="center"/>
              <w:textAlignment w:val="baseline"/>
              <w:outlineLvl w:val="9"/>
              <w:rPr>
                <w:color w:val="auto"/>
                <w:highlight w:val="none"/>
              </w:rPr>
            </w:pPr>
            <w:r>
              <w:rPr>
                <w:color w:val="auto"/>
                <w:highlight w:val="none"/>
              </w:rPr>
              <w:t>标准</w:t>
            </w:r>
          </w:p>
        </w:tc>
      </w:tr>
      <w:tr>
        <w:tblPrEx>
          <w:tblCellMar>
            <w:top w:w="0" w:type="dxa"/>
            <w:left w:w="0" w:type="dxa"/>
            <w:bottom w:w="0" w:type="dxa"/>
            <w:right w:w="0" w:type="dxa"/>
          </w:tblCellMar>
        </w:tblPrEx>
        <w:trPr>
          <w:trHeight w:val="23" w:hRule="atLeast"/>
          <w:jc w:val="center"/>
        </w:trPr>
        <w:tc>
          <w:tcPr>
            <w:tcW w:w="840" w:type="pct"/>
            <w:vMerge w:val="continue"/>
            <w:tcBorders>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firstLine="0" w:firstLineChars="0"/>
              <w:jc w:val="center"/>
              <w:textAlignment w:val="baseline"/>
              <w:outlineLvl w:val="9"/>
              <w:rPr>
                <w:color w:val="auto"/>
                <w:highlight w:val="none"/>
              </w:rPr>
            </w:pPr>
          </w:p>
        </w:tc>
        <w:tc>
          <w:tcPr>
            <w:tcW w:w="2443" w:type="pct"/>
            <w:tcBorders>
              <w:top w:val="single" w:color="000000" w:sz="6" w:space="0"/>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color w:val="auto"/>
                <w:highlight w:val="none"/>
              </w:rPr>
            </w:pPr>
            <w:r>
              <w:rPr>
                <w:color w:val="auto"/>
                <w:highlight w:val="none"/>
              </w:rPr>
              <w:t>无组织排放监控</w:t>
            </w:r>
          </w:p>
        </w:tc>
        <w:tc>
          <w:tcPr>
            <w:tcW w:w="1716" w:type="pct"/>
            <w:vMerge w:val="continue"/>
            <w:tcBorders>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firstLine="0" w:firstLineChars="0"/>
              <w:jc w:val="center"/>
              <w:textAlignment w:val="baseline"/>
              <w:outlineLvl w:val="9"/>
              <w:rPr>
                <w:color w:val="auto"/>
                <w:highlight w:val="none"/>
              </w:rPr>
            </w:pPr>
          </w:p>
        </w:tc>
      </w:tr>
      <w:tr>
        <w:tblPrEx>
          <w:tblCellMar>
            <w:top w:w="0" w:type="dxa"/>
            <w:left w:w="0" w:type="dxa"/>
            <w:bottom w:w="0" w:type="dxa"/>
            <w:right w:w="0" w:type="dxa"/>
          </w:tblCellMar>
        </w:tblPrEx>
        <w:trPr>
          <w:trHeight w:val="23" w:hRule="atLeast"/>
          <w:jc w:val="center"/>
        </w:trPr>
        <w:tc>
          <w:tcPr>
            <w:tcW w:w="840" w:type="pct"/>
            <w:tcBorders>
              <w:top w:val="single" w:color="000000" w:sz="6" w:space="0"/>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color w:val="auto"/>
                <w:highlight w:val="none"/>
              </w:rPr>
            </w:pPr>
            <w:r>
              <w:rPr>
                <w:color w:val="auto"/>
                <w:highlight w:val="none"/>
              </w:rPr>
              <w:t>粉尘</w:t>
            </w:r>
          </w:p>
        </w:tc>
        <w:tc>
          <w:tcPr>
            <w:tcW w:w="2443" w:type="pct"/>
            <w:tcBorders>
              <w:top w:val="single" w:color="000000" w:sz="6" w:space="0"/>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firstLine="0" w:firstLineChars="0"/>
              <w:jc w:val="center"/>
              <w:textAlignment w:val="baseline"/>
              <w:outlineLvl w:val="9"/>
              <w:rPr>
                <w:color w:val="auto"/>
                <w:highlight w:val="none"/>
              </w:rPr>
            </w:pPr>
            <w:r>
              <w:rPr>
                <w:color w:val="auto"/>
                <w:highlight w:val="none"/>
              </w:rPr>
              <w:t>1.0</w:t>
            </w:r>
          </w:p>
        </w:tc>
        <w:tc>
          <w:tcPr>
            <w:tcW w:w="1716" w:type="pct"/>
            <w:tcBorders>
              <w:top w:val="single" w:color="000000" w:sz="6" w:space="0"/>
              <w:left w:val="single" w:color="000000" w:sz="6" w:space="0"/>
              <w:bottom w:val="single" w:color="000000" w:sz="6" w:space="0"/>
              <w:right w:val="single" w:color="000000" w:sz="6" w:space="0"/>
            </w:tcBorders>
            <w:noWrap w:val="0"/>
            <w:vAlign w:val="center"/>
          </w:tcPr>
          <w:p>
            <w:pPr>
              <w:pStyle w:val="31"/>
              <w:keepNext w:val="0"/>
              <w:keepLines/>
              <w:pageBreakBefore w:val="0"/>
              <w:widowControl w:val="0"/>
              <w:kinsoku/>
              <w:wordWrap/>
              <w:overflowPunct/>
              <w:topLinePunct w:val="0"/>
              <w:autoSpaceDE/>
              <w:autoSpaceDN/>
              <w:bidi w:val="0"/>
              <w:adjustRightInd w:val="0"/>
              <w:snapToGrid w:val="0"/>
              <w:ind w:left="0" w:leftChars="0" w:firstLine="0" w:firstLineChars="0"/>
              <w:jc w:val="center"/>
              <w:textAlignment w:val="baseline"/>
              <w:outlineLvl w:val="9"/>
              <w:rPr>
                <w:color w:val="auto"/>
                <w:highlight w:val="none"/>
              </w:rPr>
            </w:pPr>
            <w:r>
              <w:rPr>
                <w:color w:val="auto"/>
                <w:highlight w:val="none"/>
              </w:rPr>
              <w:t>《大气污染物综合排放标准》（GB16297-1996）表2中二级标准</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eastAsia" w:ascii="Times New Roman" w:hAnsi="Times New Roman" w:cs="Times New Roman"/>
          <w:b/>
          <w:color w:val="auto"/>
          <w:kern w:val="0"/>
          <w:sz w:val="30"/>
          <w:szCs w:val="20"/>
          <w:highlight w:val="none"/>
          <w:lang w:val="en-US" w:eastAsia="zh-CN" w:bidi="ar-SA"/>
        </w:rPr>
      </w:pPr>
      <w:bookmarkStart w:id="78" w:name="_Toc314"/>
      <w:r>
        <w:rPr>
          <w:rFonts w:hint="eastAsia" w:ascii="Times New Roman" w:hAnsi="Times New Roman" w:cs="Times New Roman"/>
          <w:b/>
          <w:color w:val="auto"/>
          <w:kern w:val="0"/>
          <w:sz w:val="30"/>
          <w:szCs w:val="20"/>
          <w:highlight w:val="none"/>
          <w:lang w:val="en-US" w:eastAsia="zh-CN" w:bidi="ar-SA"/>
        </w:rPr>
        <w:t>6.2废水</w:t>
      </w:r>
      <w:bookmarkEnd w:id="78"/>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本工程无废水外排，电厂工业废水和生活污水经处理达到《城市污水再生利用工业用水水质》</w:t>
      </w:r>
      <w:r>
        <w:rPr>
          <w:rFonts w:hint="default" w:ascii="Times New Roman" w:hAnsi="Times New Roman" w:eastAsia="宋体" w:cs="Times New Roman"/>
          <w:color w:val="000000"/>
          <w:kern w:val="0"/>
          <w:sz w:val="24"/>
          <w:szCs w:val="24"/>
          <w:lang w:val="en-US" w:eastAsia="zh-CN" w:bidi="ar"/>
        </w:rPr>
        <w:t>(GB/T19923</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2005)</w:t>
      </w:r>
      <w:r>
        <w:rPr>
          <w:rFonts w:hint="eastAsia" w:ascii="宋体" w:hAnsi="宋体" w:eastAsia="宋体" w:cs="宋体"/>
          <w:color w:val="000000"/>
          <w:kern w:val="0"/>
          <w:sz w:val="24"/>
          <w:szCs w:val="24"/>
          <w:lang w:val="en-US" w:eastAsia="zh-CN" w:bidi="ar"/>
        </w:rPr>
        <w:t>和《城市污水再生利用城市杂用水水质》</w:t>
      </w:r>
      <w:r>
        <w:rPr>
          <w:rFonts w:hint="default" w:ascii="Times New Roman" w:hAnsi="Times New Roman" w:eastAsia="宋体" w:cs="Times New Roman"/>
          <w:color w:val="000000"/>
          <w:kern w:val="0"/>
          <w:sz w:val="24"/>
          <w:szCs w:val="24"/>
          <w:lang w:val="en-US" w:eastAsia="zh-CN" w:bidi="ar"/>
        </w:rPr>
        <w:t>(GB/T18920</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2002)</w:t>
      </w:r>
      <w:r>
        <w:rPr>
          <w:rFonts w:hint="eastAsia" w:ascii="宋体" w:hAnsi="宋体" w:eastAsia="宋体" w:cs="宋体"/>
          <w:color w:val="000000"/>
          <w:kern w:val="0"/>
          <w:sz w:val="24"/>
          <w:szCs w:val="24"/>
          <w:lang w:val="en-US" w:eastAsia="zh-CN" w:bidi="ar"/>
        </w:rPr>
        <w:t>标准后回用。</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eastAsia="黑体"/>
          <w:lang w:eastAsia="zh-CN"/>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6</w:t>
      </w:r>
      <w:r>
        <w:rPr>
          <w:rFonts w:hint="eastAsia" w:ascii="黑体" w:hAnsi="黑体" w:eastAsia="黑体" w:cs="黑体"/>
          <w:b w:val="0"/>
          <w:bCs/>
          <w:color w:val="000000"/>
          <w:sz w:val="21"/>
          <w:szCs w:val="21"/>
          <w:highlight w:val="none"/>
        </w:rPr>
        <w:t>-</w:t>
      </w:r>
      <w:r>
        <w:rPr>
          <w:rFonts w:hint="eastAsia" w:ascii="黑体" w:hAnsi="黑体" w:eastAsia="黑体" w:cs="黑体"/>
          <w:b w:val="0"/>
          <w:bCs/>
          <w:color w:val="000000"/>
          <w:sz w:val="21"/>
          <w:szCs w:val="21"/>
          <w:highlight w:val="none"/>
          <w:lang w:val="en-US" w:eastAsia="zh-CN"/>
        </w:rPr>
        <w:t>3城市污水再生利用工业用水水质</w:t>
      </w:r>
      <w:r>
        <w:rPr>
          <w:rFonts w:hint="eastAsia" w:ascii="黑体" w:hAnsi="黑体" w:eastAsia="黑体" w:cs="黑体"/>
          <w:b w:val="0"/>
          <w:bCs/>
          <w:color w:val="000000"/>
          <w:sz w:val="21"/>
          <w:szCs w:val="21"/>
          <w:highlight w:val="none"/>
        </w:rPr>
        <w:t>标准值</w:t>
      </w:r>
      <w:r>
        <w:rPr>
          <w:rFonts w:hint="eastAsia" w:ascii="黑体" w:hAnsi="黑体" w:eastAsia="黑体" w:cs="黑体"/>
          <w:b w:val="0"/>
          <w:bCs/>
          <w:color w:val="000000"/>
          <w:sz w:val="21"/>
          <w:szCs w:val="21"/>
          <w:highlight w:val="none"/>
          <w:lang w:eastAsia="zh-CN"/>
        </w:rPr>
        <w:t>（</w:t>
      </w:r>
      <w:r>
        <w:rPr>
          <w:rFonts w:hint="eastAsia" w:ascii="黑体" w:hAnsi="黑体" w:eastAsia="黑体" w:cs="黑体"/>
          <w:b w:val="0"/>
          <w:bCs/>
          <w:color w:val="000000"/>
          <w:sz w:val="21"/>
          <w:szCs w:val="21"/>
          <w:highlight w:val="none"/>
          <w:lang w:val="en-US" w:eastAsia="zh-CN"/>
        </w:rPr>
        <w:t>单位：mg/L，pH无量纲</w:t>
      </w:r>
      <w:r>
        <w:rPr>
          <w:rFonts w:hint="eastAsia" w:ascii="黑体" w:hAnsi="黑体" w:eastAsia="黑体" w:cs="黑体"/>
          <w:b w:val="0"/>
          <w:bCs/>
          <w:color w:val="000000"/>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ind w:firstLine="0" w:firstLineChars="0"/>
        <w:textAlignment w:val="auto"/>
      </w:pPr>
      <w:r>
        <w:drawing>
          <wp:inline distT="0" distB="0" distL="114300" distR="114300">
            <wp:extent cx="5272405" cy="2419985"/>
            <wp:effectExtent l="0" t="0" r="10795" b="5715"/>
            <wp:docPr id="1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3"/>
                    <pic:cNvPicPr>
                      <a:picLocks noChangeAspect="1"/>
                    </pic:cNvPicPr>
                  </pic:nvPicPr>
                  <pic:blipFill>
                    <a:blip r:embed="rId51"/>
                    <a:stretch>
                      <a:fillRect/>
                    </a:stretch>
                  </pic:blipFill>
                  <pic:spPr>
                    <a:xfrm>
                      <a:off x="0" y="0"/>
                      <a:ext cx="5272405" cy="241998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6</w:t>
      </w:r>
      <w:r>
        <w:rPr>
          <w:rFonts w:hint="eastAsia" w:ascii="黑体" w:hAnsi="黑体" w:eastAsia="黑体" w:cs="黑体"/>
          <w:b w:val="0"/>
          <w:bCs/>
          <w:color w:val="000000"/>
          <w:sz w:val="21"/>
          <w:szCs w:val="21"/>
          <w:highlight w:val="none"/>
        </w:rPr>
        <w:t>-</w:t>
      </w:r>
      <w:r>
        <w:rPr>
          <w:rFonts w:hint="eastAsia" w:ascii="黑体" w:hAnsi="黑体" w:eastAsia="黑体" w:cs="黑体"/>
          <w:b w:val="0"/>
          <w:bCs/>
          <w:color w:val="000000"/>
          <w:sz w:val="21"/>
          <w:szCs w:val="21"/>
          <w:highlight w:val="none"/>
          <w:lang w:val="en-US" w:eastAsia="zh-CN"/>
        </w:rPr>
        <w:t>4城市污水再生利用</w:t>
      </w:r>
      <w:r>
        <w:rPr>
          <w:rFonts w:hint="eastAsia" w:ascii="黑体" w:hAnsi="黑体" w:eastAsia="黑体" w:cs="黑体"/>
          <w:b w:val="0"/>
          <w:bCs/>
          <w:color w:val="000000"/>
          <w:sz w:val="21"/>
          <w:szCs w:val="21"/>
          <w:highlight w:val="none"/>
        </w:rPr>
        <w:t>标准值</w:t>
      </w:r>
      <w:r>
        <w:rPr>
          <w:rFonts w:hint="eastAsia" w:ascii="黑体" w:hAnsi="黑体" w:eastAsia="黑体" w:cs="黑体"/>
          <w:b w:val="0"/>
          <w:bCs/>
          <w:color w:val="000000"/>
          <w:sz w:val="21"/>
          <w:szCs w:val="21"/>
          <w:highlight w:val="none"/>
          <w:lang w:eastAsia="zh-CN"/>
        </w:rPr>
        <w:t>（</w:t>
      </w:r>
      <w:r>
        <w:rPr>
          <w:rFonts w:hint="eastAsia" w:ascii="黑体" w:hAnsi="黑体" w:eastAsia="黑体" w:cs="黑体"/>
          <w:b w:val="0"/>
          <w:bCs/>
          <w:color w:val="000000"/>
          <w:sz w:val="21"/>
          <w:szCs w:val="21"/>
          <w:highlight w:val="none"/>
          <w:lang w:val="en-US" w:eastAsia="zh-CN"/>
        </w:rPr>
        <w:t>单位：mg/L，pH无量纲</w:t>
      </w:r>
      <w:r>
        <w:rPr>
          <w:rFonts w:hint="eastAsia" w:ascii="黑体" w:hAnsi="黑体" w:eastAsia="黑体" w:cs="黑体"/>
          <w:b w:val="0"/>
          <w:bCs/>
          <w:color w:val="000000"/>
          <w:sz w:val="21"/>
          <w:szCs w:val="21"/>
          <w:highlight w:val="none"/>
          <w:lang w:eastAsia="zh-CN"/>
        </w:rPr>
        <w:t>）</w:t>
      </w:r>
    </w:p>
    <w:p>
      <w:pPr>
        <w:keepNext w:val="0"/>
        <w:keepLines w:val="0"/>
        <w:pageBreakBefore w:val="0"/>
        <w:widowControl w:val="0"/>
        <w:kinsoku/>
        <w:wordWrap/>
        <w:overflowPunct/>
        <w:topLinePunct w:val="0"/>
        <w:autoSpaceDE/>
        <w:autoSpaceDN/>
        <w:bidi w:val="0"/>
        <w:adjustRightInd/>
        <w:snapToGrid/>
        <w:ind w:firstLine="0" w:firstLineChars="0"/>
        <w:textAlignment w:val="auto"/>
      </w:pPr>
      <w:r>
        <w:drawing>
          <wp:inline distT="0" distB="0" distL="114300" distR="114300">
            <wp:extent cx="5302885" cy="1927860"/>
            <wp:effectExtent l="0" t="0" r="5715" b="2540"/>
            <wp:docPr id="2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pic:cNvPicPr>
                      <a:picLocks noChangeAspect="1"/>
                    </pic:cNvPicPr>
                  </pic:nvPicPr>
                  <pic:blipFill>
                    <a:blip r:embed="rId52"/>
                    <a:stretch>
                      <a:fillRect/>
                    </a:stretch>
                  </pic:blipFill>
                  <pic:spPr>
                    <a:xfrm>
                      <a:off x="0" y="0"/>
                      <a:ext cx="5302885" cy="192786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eastAsia" w:ascii="Times New Roman" w:hAnsi="Times New Roman" w:cs="Times New Roman"/>
          <w:b/>
          <w:color w:val="auto"/>
          <w:kern w:val="0"/>
          <w:sz w:val="30"/>
          <w:szCs w:val="20"/>
          <w:highlight w:val="none"/>
          <w:lang w:val="en-US" w:eastAsia="zh-CN" w:bidi="ar-SA"/>
        </w:rPr>
      </w:pPr>
      <w:bookmarkStart w:id="79" w:name="_Toc13064"/>
      <w:r>
        <w:rPr>
          <w:rFonts w:hint="eastAsia" w:ascii="Times New Roman" w:hAnsi="Times New Roman" w:cs="Times New Roman"/>
          <w:b/>
          <w:color w:val="auto"/>
          <w:kern w:val="0"/>
          <w:sz w:val="30"/>
          <w:szCs w:val="20"/>
          <w:highlight w:val="none"/>
          <w:lang w:val="en-US" w:eastAsia="zh-CN" w:bidi="ar-SA"/>
        </w:rPr>
        <w:t>6.3噪声</w:t>
      </w:r>
      <w:bookmarkEnd w:id="79"/>
    </w:p>
    <w:p>
      <w:pPr>
        <w:keepNext w:val="0"/>
        <w:keepLines w:val="0"/>
        <w:widowControl/>
        <w:suppressLineNumbers w:val="0"/>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根据《安徽淮北经济开发区（安徽淮北龙湖高新技术产业开发区）总体规划（</w:t>
      </w:r>
      <w:r>
        <w:rPr>
          <w:rFonts w:hint="default" w:ascii="Times New Roman" w:hAnsi="Times New Roman" w:eastAsia="宋体" w:cs="Times New Roman"/>
          <w:color w:val="000000"/>
          <w:kern w:val="0"/>
          <w:sz w:val="24"/>
          <w:szCs w:val="24"/>
          <w:lang w:val="en-US" w:eastAsia="zh-CN" w:bidi="ar"/>
        </w:rPr>
        <w:t>2016-2030</w:t>
      </w:r>
      <w:r>
        <w:rPr>
          <w:rFonts w:hint="eastAsia" w:ascii="宋体" w:hAnsi="宋体" w:eastAsia="宋体" w:cs="宋体"/>
          <w:color w:val="000000"/>
          <w:kern w:val="0"/>
          <w:sz w:val="24"/>
          <w:szCs w:val="24"/>
          <w:lang w:val="en-US" w:eastAsia="zh-CN" w:bidi="ar"/>
        </w:rPr>
        <w:t>年）》，本期工程所在的安徽淮北经济开发区是综合功能型开发区，属于《声环境质量标准》（</w:t>
      </w:r>
      <w:r>
        <w:rPr>
          <w:rFonts w:hint="default" w:ascii="Times New Roman" w:hAnsi="Times New Roman" w:eastAsia="宋体" w:cs="Times New Roman"/>
          <w:color w:val="000000"/>
          <w:kern w:val="0"/>
          <w:sz w:val="24"/>
          <w:szCs w:val="24"/>
          <w:lang w:val="en-US" w:eastAsia="zh-CN" w:bidi="ar"/>
        </w:rPr>
        <w:t>GB3096-2008</w:t>
      </w:r>
      <w:r>
        <w:rPr>
          <w:rFonts w:hint="eastAsia" w:ascii="宋体" w:hAnsi="宋体" w:eastAsia="宋体" w:cs="宋体"/>
          <w:color w:val="000000"/>
          <w:kern w:val="0"/>
          <w:sz w:val="24"/>
          <w:szCs w:val="24"/>
          <w:lang w:val="en-US" w:eastAsia="zh-CN" w:bidi="ar"/>
        </w:rPr>
        <w:t>）中的</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类类声环境功能区，即以工业生产、仓储物流为主要功能，需要防止工业噪声对周围环境产生严重影响的区域。并且，淮北市环境保护局也发文对本期工程的环评执行标准进行了确认（淮环函</w:t>
      </w:r>
      <w:r>
        <w:rPr>
          <w:rFonts w:hint="default" w:ascii="Times New Roman" w:hAnsi="Times New Roman" w:eastAsia="宋体" w:cs="Times New Roman"/>
          <w:color w:val="000000"/>
          <w:kern w:val="0"/>
          <w:sz w:val="24"/>
          <w:szCs w:val="24"/>
          <w:lang w:val="en-US" w:eastAsia="zh-CN" w:bidi="ar"/>
        </w:rPr>
        <w:t>[2015]451</w:t>
      </w:r>
      <w:r>
        <w:rPr>
          <w:rFonts w:hint="eastAsia" w:ascii="宋体" w:hAnsi="宋体" w:eastAsia="宋体" w:cs="宋体"/>
          <w:color w:val="000000"/>
          <w:kern w:val="0"/>
          <w:sz w:val="24"/>
          <w:szCs w:val="24"/>
          <w:lang w:val="en-US" w:eastAsia="zh-CN" w:bidi="ar"/>
        </w:rPr>
        <w:t>号文）。因此本期工程运行期厂界噪声执行《工业企业厂界环境噪声排放标准》（</w:t>
      </w:r>
      <w:r>
        <w:rPr>
          <w:rFonts w:hint="default" w:ascii="Times New Roman" w:hAnsi="Times New Roman" w:eastAsia="宋体" w:cs="Times New Roman"/>
          <w:color w:val="000000"/>
          <w:kern w:val="0"/>
          <w:sz w:val="24"/>
          <w:szCs w:val="24"/>
          <w:lang w:val="en-US" w:eastAsia="zh-CN" w:bidi="ar"/>
        </w:rPr>
        <w:t>GB12348-2008</w:t>
      </w:r>
      <w:r>
        <w:rPr>
          <w:rFonts w:hint="eastAsia" w:ascii="宋体" w:hAnsi="宋体" w:eastAsia="宋体" w:cs="宋体"/>
          <w:color w:val="000000"/>
          <w:kern w:val="0"/>
          <w:sz w:val="24"/>
          <w:szCs w:val="24"/>
          <w:lang w:val="en-US" w:eastAsia="zh-CN" w:bidi="ar"/>
        </w:rPr>
        <w:t>）的</w:t>
      </w:r>
      <w:r>
        <w:rPr>
          <w:rFonts w:hint="default" w:ascii="Times New Roman" w:hAnsi="Times New Roman" w:eastAsia="宋体" w:cs="Times New Roman"/>
          <w:color w:val="000000"/>
          <w:kern w:val="0"/>
          <w:sz w:val="24"/>
          <w:szCs w:val="24"/>
          <w:lang w:val="en-US" w:eastAsia="zh-CN" w:bidi="ar"/>
        </w:rPr>
        <w:t>3</w:t>
      </w:r>
      <w:r>
        <w:rPr>
          <w:rFonts w:hint="eastAsia" w:ascii="宋体" w:hAnsi="宋体" w:eastAsia="宋体" w:cs="宋体"/>
          <w:color w:val="000000"/>
          <w:kern w:val="0"/>
          <w:sz w:val="24"/>
          <w:szCs w:val="24"/>
          <w:lang w:val="en-US" w:eastAsia="zh-CN" w:bidi="ar"/>
        </w:rPr>
        <w:t>类标准。</w:t>
      </w:r>
    </w:p>
    <w:p>
      <w:pPr>
        <w:ind w:firstLine="0" w:firstLineChars="0"/>
        <w:jc w:val="center"/>
        <w:rPr>
          <w:rFonts w:eastAsia="黑体"/>
          <w:sz w:val="21"/>
          <w:szCs w:val="21"/>
        </w:rPr>
      </w:pPr>
      <w:r>
        <w:rPr>
          <w:rFonts w:eastAsia="黑体"/>
          <w:sz w:val="21"/>
          <w:szCs w:val="21"/>
        </w:rPr>
        <w:t>表</w:t>
      </w:r>
      <w:r>
        <w:rPr>
          <w:rFonts w:hint="eastAsia" w:eastAsia="黑体"/>
          <w:sz w:val="21"/>
          <w:szCs w:val="21"/>
          <w:lang w:val="en-US" w:eastAsia="zh-CN"/>
        </w:rPr>
        <w:t>6-5</w:t>
      </w:r>
      <w:r>
        <w:rPr>
          <w:rFonts w:eastAsia="黑体"/>
          <w:sz w:val="21"/>
          <w:szCs w:val="21"/>
        </w:rPr>
        <w:t>噪声</w:t>
      </w:r>
      <w:r>
        <w:rPr>
          <w:rFonts w:hint="eastAsia" w:eastAsia="黑体"/>
          <w:sz w:val="21"/>
          <w:szCs w:val="21"/>
          <w:lang w:val="en-US" w:eastAsia="zh-CN"/>
        </w:rPr>
        <w:t>限值</w:t>
      </w:r>
      <w:r>
        <w:rPr>
          <w:rFonts w:eastAsia="黑体"/>
          <w:sz w:val="21"/>
          <w:szCs w:val="21"/>
        </w:rPr>
        <w:t>标准值</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34"/>
        <w:gridCol w:w="3703"/>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37" w:hRule="atLeast"/>
          <w:jc w:val="center"/>
        </w:trPr>
        <w:tc>
          <w:tcPr>
            <w:tcW w:w="113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评价范围</w:t>
            </w:r>
          </w:p>
        </w:tc>
        <w:tc>
          <w:tcPr>
            <w:tcW w:w="21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执行标准</w:t>
            </w:r>
          </w:p>
        </w:tc>
        <w:tc>
          <w:tcPr>
            <w:tcW w:w="1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135"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运行期厂界噪声</w:t>
            </w:r>
          </w:p>
        </w:tc>
        <w:tc>
          <w:tcPr>
            <w:tcW w:w="217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《工业企业厂界环境噪声排放标准》（GB12348-2008）中3类标准</w:t>
            </w:r>
          </w:p>
        </w:tc>
        <w:tc>
          <w:tcPr>
            <w:tcW w:w="169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宋体"/>
                <w:sz w:val="21"/>
                <w:szCs w:val="21"/>
              </w:rPr>
            </w:pPr>
            <w:r>
              <w:rPr>
                <w:rFonts w:eastAsia="宋体"/>
                <w:sz w:val="21"/>
                <w:szCs w:val="21"/>
              </w:rPr>
              <w:t>昼间65dB(A)夜间55dB(A)</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eastAsia" w:ascii="Times New Roman" w:hAnsi="Times New Roman" w:cs="Times New Roman"/>
          <w:b/>
          <w:color w:val="auto"/>
          <w:kern w:val="0"/>
          <w:sz w:val="30"/>
          <w:szCs w:val="20"/>
          <w:highlight w:val="none"/>
          <w:lang w:val="en-US" w:eastAsia="zh-CN" w:bidi="ar-SA"/>
        </w:rPr>
      </w:pPr>
      <w:bookmarkStart w:id="80" w:name="_Toc32738"/>
      <w:r>
        <w:rPr>
          <w:rFonts w:hint="eastAsia" w:ascii="Times New Roman" w:hAnsi="Times New Roman" w:cs="Times New Roman"/>
          <w:b/>
          <w:color w:val="auto"/>
          <w:kern w:val="0"/>
          <w:sz w:val="30"/>
          <w:szCs w:val="20"/>
          <w:highlight w:val="none"/>
          <w:lang w:val="en-US" w:eastAsia="zh-CN" w:bidi="ar-SA"/>
        </w:rPr>
        <w:t>6.4固体废弃物</w:t>
      </w:r>
      <w:bookmarkEnd w:id="80"/>
    </w:p>
    <w:p>
      <w:pPr>
        <w:keepNext w:val="0"/>
        <w:keepLines w:val="0"/>
        <w:widowControl/>
        <w:suppressLineNumbers w:val="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工业固体废弃物执行《一般工业固体废物贮存、处置场污染控制标准》(GB18599－2020)及其修改单中一般固体废弃物处置标准；危险废物处置执行《危险废物贮存污染控制标准》（GB18597-2001）及其修改单的标准。</w:t>
      </w:r>
    </w:p>
    <w:p>
      <w:pPr>
        <w:keepNext w:val="0"/>
        <w:keepLines w:val="0"/>
        <w:widowControl/>
        <w:suppressLineNumbers w:val="0"/>
        <w:jc w:val="left"/>
        <w:rPr>
          <w:rFonts w:hint="default" w:ascii="Times New Roman" w:hAnsi="Times New Roman" w:eastAsia="宋体" w:cs="Times New Roman"/>
          <w:color w:val="auto"/>
          <w:kern w:val="0"/>
          <w:sz w:val="24"/>
          <w:szCs w:val="24"/>
          <w:lang w:val="en-US" w:eastAsia="zh-CN" w:bidi="ar"/>
        </w:rPr>
      </w:pPr>
      <w:r>
        <w:rPr>
          <w:rFonts w:hint="default" w:ascii="Times New Roman" w:hAnsi="Times New Roman" w:eastAsia="宋体" w:cs="Times New Roman"/>
          <w:color w:val="auto"/>
          <w:kern w:val="0"/>
          <w:sz w:val="24"/>
          <w:szCs w:val="24"/>
          <w:lang w:val="en-US" w:eastAsia="zh-CN" w:bidi="ar"/>
        </w:rPr>
        <w:t>项目委托淮北宏欧贸易有限公司处置项目脱硫石膏；委托淮北平哲商贸有限责任公司和淮北中湖商贸有限责任公司处置项目粉煤灰、渣。</w:t>
      </w:r>
    </w:p>
    <w:p>
      <w:pPr>
        <w:keepNext w:val="0"/>
        <w:keepLines w:val="0"/>
        <w:widowControl/>
        <w:suppressLineNumbers w:val="0"/>
        <w:jc w:val="left"/>
        <w:rPr>
          <w:rFonts w:hint="default" w:ascii="Times New Roman" w:hAnsi="Times New Roman" w:eastAsia="宋体" w:cs="Times New Roman"/>
          <w:color w:val="auto"/>
        </w:rPr>
      </w:pPr>
      <w:r>
        <w:rPr>
          <w:rFonts w:hint="default" w:ascii="Times New Roman" w:hAnsi="Times New Roman" w:eastAsia="宋体" w:cs="Times New Roman"/>
          <w:color w:val="auto"/>
          <w:kern w:val="0"/>
          <w:sz w:val="24"/>
          <w:szCs w:val="24"/>
          <w:lang w:val="en-US" w:eastAsia="zh-CN" w:bidi="ar"/>
        </w:rPr>
        <w:t>脱硝催化剂更换周期约为5-6年，一次产生量约245t/次，废催化剂作危险废物管理，厂内不设废催化剂暂存间。目前项目暂无废催化剂产生。</w:t>
      </w:r>
    </w:p>
    <w:p>
      <w:pPr>
        <w:keepNext w:val="0"/>
        <w:keepLines w:val="0"/>
        <w:pageBreakBefore w:val="0"/>
        <w:widowControl w:val="0"/>
        <w:kinsoku/>
        <w:wordWrap/>
        <w:overflowPunct/>
        <w:topLinePunct w:val="0"/>
        <w:autoSpaceDE/>
        <w:autoSpaceDN/>
        <w:bidi w:val="0"/>
        <w:adjustRightInd/>
        <w:snapToGrid/>
        <w:ind w:firstLine="0" w:firstLineChars="0"/>
        <w:textAlignment w:val="auto"/>
        <w:outlineLvl w:val="1"/>
        <w:rPr>
          <w:rFonts w:hint="default" w:ascii="Times New Roman" w:hAnsi="Times New Roman" w:eastAsia="宋体" w:cs="Times New Roman"/>
          <w:b/>
          <w:color w:val="auto"/>
          <w:kern w:val="0"/>
          <w:sz w:val="30"/>
          <w:szCs w:val="20"/>
          <w:highlight w:val="none"/>
          <w:lang w:val="en-US" w:eastAsia="zh-CN" w:bidi="ar-SA"/>
        </w:rPr>
      </w:pPr>
      <w:bookmarkStart w:id="81" w:name="_Toc9336"/>
      <w:r>
        <w:rPr>
          <w:rFonts w:hint="eastAsia" w:ascii="Times New Roman" w:hAnsi="Times New Roman" w:eastAsia="宋体" w:cs="Times New Roman"/>
          <w:b/>
          <w:color w:val="auto"/>
          <w:kern w:val="0"/>
          <w:sz w:val="30"/>
          <w:szCs w:val="20"/>
          <w:highlight w:val="none"/>
          <w:lang w:val="en-US" w:eastAsia="zh-CN" w:bidi="ar-SA"/>
        </w:rPr>
        <w:t>6.5土壤和地下水</w:t>
      </w:r>
      <w:bookmarkEnd w:id="81"/>
    </w:p>
    <w:p>
      <w:pPr>
        <w:pStyle w:val="8"/>
        <w:keepNext w:val="0"/>
        <w:keepLines w:val="0"/>
        <w:pageBreakBefore w:val="0"/>
        <w:widowControl/>
        <w:kinsoku/>
        <w:wordWrap/>
        <w:overflowPunct/>
        <w:topLinePunct w:val="0"/>
        <w:autoSpaceDE/>
        <w:autoSpaceDN/>
        <w:bidi w:val="0"/>
        <w:adjustRightInd/>
        <w:snapToGrid/>
        <w:spacing w:after="0"/>
        <w:ind w:firstLine="480" w:firstLineChars="200"/>
        <w:jc w:val="both"/>
        <w:textAlignment w:val="auto"/>
        <w:rPr>
          <w:rFonts w:hint="default" w:ascii="Times New Roman" w:hAnsi="Times New Roman" w:eastAsia="宋体" w:cs="Times New Roman"/>
          <w:b w:val="0"/>
          <w:bCs w:val="0"/>
          <w:color w:val="000000" w:themeColor="text1"/>
          <w:kern w:val="0"/>
          <w:sz w:val="24"/>
          <w:szCs w:val="24"/>
          <w:highlight w:val="none"/>
          <w:lang w:val="en-US"/>
          <w14:textFill>
            <w14:solidFill>
              <w14:schemeClr w14:val="tx1"/>
            </w14:solidFill>
          </w14:textFill>
        </w:rPr>
      </w:pPr>
      <w:r>
        <w:rPr>
          <w:rFonts w:hint="default" w:ascii="Times New Roman" w:hAnsi="Times New Roman" w:eastAsia="宋体" w:cs="Times New Roman"/>
          <w:sz w:val="24"/>
          <w:szCs w:val="24"/>
          <w:lang w:val="en-US" w:eastAsia="zh-CN"/>
        </w:rPr>
        <w:t>本次监测土壤执行《土壤环境质量建设用地土壤污染风险管控标准（试行）》（GB36600-2018）二类用地筛选值要求。地下水执行《地下水质量标准》（GB/T14848-2017）Ⅲ类标准要求。</w:t>
      </w:r>
    </w:p>
    <w:p>
      <w:pPr>
        <w:pStyle w:val="8"/>
        <w:keepNext w:val="0"/>
        <w:keepLines w:val="0"/>
        <w:pageBreakBefore w:val="0"/>
        <w:widowControl/>
        <w:kinsoku/>
        <w:wordWrap/>
        <w:overflowPunct/>
        <w:topLinePunct w:val="0"/>
        <w:autoSpaceDE/>
        <w:autoSpaceDN/>
        <w:bidi w:val="0"/>
        <w:adjustRightInd/>
        <w:snapToGrid/>
        <w:spacing w:after="0" w:line="360" w:lineRule="auto"/>
        <w:ind w:firstLine="0" w:firstLineChars="0"/>
        <w:jc w:val="center"/>
        <w:textAlignment w:val="auto"/>
        <w:rPr>
          <w:rFonts w:hint="default" w:ascii="Times New Roman" w:hAnsi="Times New Roman" w:eastAsia="黑体" w:cs="Times New Roman"/>
          <w:b w:val="0"/>
          <w:bCs w:val="0"/>
          <w:color w:val="000000" w:themeColor="text1"/>
          <w:kern w:val="0"/>
          <w:sz w:val="21"/>
          <w:szCs w:val="21"/>
          <w:highlight w:val="none"/>
          <w14:textFill>
            <w14:solidFill>
              <w14:schemeClr w14:val="tx1"/>
            </w14:solidFill>
          </w14:textFill>
        </w:rPr>
      </w:pPr>
      <w:r>
        <w:rPr>
          <w:rFonts w:hint="default" w:ascii="Times New Roman" w:hAnsi="Times New Roman" w:eastAsia="黑体" w:cs="Times New Roman"/>
          <w:b w:val="0"/>
          <w:bCs w:val="0"/>
          <w:color w:val="000000" w:themeColor="text1"/>
          <w:kern w:val="0"/>
          <w:sz w:val="21"/>
          <w:szCs w:val="21"/>
          <w:highlight w:val="none"/>
          <w14:textFill>
            <w14:solidFill>
              <w14:schemeClr w14:val="tx1"/>
            </w14:solidFill>
          </w14:textFill>
        </w:rPr>
        <w:t>表</w:t>
      </w:r>
      <w:r>
        <w:rPr>
          <w:rFonts w:hint="eastAsia" w:ascii="Times New Roman" w:hAnsi="Times New Roman" w:eastAsia="黑体" w:cs="Times New Roman"/>
          <w:b w:val="0"/>
          <w:bCs w:val="0"/>
          <w:color w:val="000000" w:themeColor="text1"/>
          <w:kern w:val="0"/>
          <w:sz w:val="21"/>
          <w:szCs w:val="21"/>
          <w:highlight w:val="none"/>
          <w:lang w:val="en-US" w:eastAsia="zh-CN"/>
          <w14:textFill>
            <w14:solidFill>
              <w14:schemeClr w14:val="tx1"/>
            </w14:solidFill>
          </w14:textFill>
        </w:rPr>
        <w:t>6-6</w:t>
      </w:r>
      <w:r>
        <w:rPr>
          <w:rFonts w:hint="default" w:ascii="Times New Roman" w:hAnsi="Times New Roman" w:eastAsia="黑体" w:cs="Times New Roman"/>
          <w:b w:val="0"/>
          <w:bCs w:val="0"/>
          <w:color w:val="000000" w:themeColor="text1"/>
          <w:kern w:val="0"/>
          <w:sz w:val="21"/>
          <w:szCs w:val="21"/>
          <w:highlight w:val="none"/>
          <w14:textFill>
            <w14:solidFill>
              <w14:schemeClr w14:val="tx1"/>
            </w14:solidFill>
          </w14:textFill>
        </w:rPr>
        <w:t>建设用地土壤污染风险筛选值和管制值（基本项目）</w:t>
      </w:r>
      <w:r>
        <w:rPr>
          <w:rFonts w:hint="default" w:ascii="Times New Roman" w:hAnsi="Times New Roman" w:eastAsia="黑体" w:cs="Times New Roman"/>
          <w:color w:val="000000" w:themeColor="text1"/>
          <w:sz w:val="21"/>
          <w:szCs w:val="21"/>
          <w:highlight w:val="none"/>
          <w:lang w:val="en-US" w:eastAsia="zh-CN" w:bidi="ar-SA"/>
          <w14:textFill>
            <w14:solidFill>
              <w14:schemeClr w14:val="tx1"/>
            </w14:solidFill>
          </w14:textFill>
        </w:rPr>
        <w:t>（单位：mg/kg）</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759"/>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序号</w:t>
            </w:r>
          </w:p>
        </w:tc>
        <w:tc>
          <w:tcPr>
            <w:tcW w:w="175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污染物名称</w:t>
            </w:r>
          </w:p>
        </w:tc>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CAS编号</w:t>
            </w:r>
          </w:p>
        </w:tc>
        <w:tc>
          <w:tcPr>
            <w:tcW w:w="2435"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筛选值</w:t>
            </w:r>
          </w:p>
        </w:tc>
        <w:tc>
          <w:tcPr>
            <w:tcW w:w="2436" w:type="dxa"/>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管制值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p>
        </w:tc>
        <w:tc>
          <w:tcPr>
            <w:tcW w:w="175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p>
        </w:tc>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第一类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用地</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第二类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用地</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第一类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用地</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第二类</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用地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重金属无机物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7440-38-2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r>
              <w:rPr>
                <w:rFonts w:hint="default" w:ascii="Times New Roman" w:hAnsi="Times New Roman" w:eastAsia="宋体" w:cs="Times New Roman"/>
                <w:color w:val="000000" w:themeColor="text1"/>
                <w:kern w:val="2"/>
                <w:sz w:val="21"/>
                <w:szCs w:val="21"/>
                <w:vertAlign w:val="superscript"/>
                <w14:textFill>
                  <w14:solidFill>
                    <w14:schemeClr w14:val="tx1"/>
                  </w14:solidFill>
                </w14:textFill>
              </w:rPr>
              <w:t>①</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60</w:t>
            </w:r>
            <w:r>
              <w:rPr>
                <w:rFonts w:hint="default" w:ascii="Times New Roman" w:hAnsi="Times New Roman" w:eastAsia="宋体" w:cs="Times New Roman"/>
                <w:color w:val="000000" w:themeColor="text1"/>
                <w:kern w:val="2"/>
                <w:sz w:val="21"/>
                <w:szCs w:val="21"/>
                <w:vertAlign w:val="superscript"/>
                <w14:textFill>
                  <w14:solidFill>
                    <w14:schemeClr w14:val="tx1"/>
                  </w14:solidFill>
                </w14:textFill>
              </w:rPr>
              <w:t>①</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镉</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7440-43-9</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铬（六价）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18540-29-9</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铜</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7440-50-8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18000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铅</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7439-92-1</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汞</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7439-97-6</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镍</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7440-02-0</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挥发性有机物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四氯化碳</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56-23-5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氯仿</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67-66-3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氯甲烷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74-87-3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1,1-二氯乙烷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75-34-3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1,2-二氯乙烷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107-06-2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13</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1,1-二氯乙烯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75-35-4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14</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顺-1,2-二氯乙烯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156-59-2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596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反-1,2-二氯乙烯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156-60-5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16</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二氯甲烷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75-09-2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616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17</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1,2-二氯丙烷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78-87-5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18</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1,1,1,2-四氯乙烷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630-20-6</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19</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1,1,2,2-四氯乙烷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79-34-5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四氯乙烯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127-18-4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21</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1,1,1-三氯乙烷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71-55-6</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701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840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840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840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22</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1,1,2-三氯乙烷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79-00-5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23</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三氯乙烯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79-01-6</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24</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1,2,3-三氯丙烷</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96-18-4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25</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75-01-4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0.12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0.43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26</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71-43-2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27</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氯苯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108-90-7</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1,2-二氯苯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95-50-1</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29</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1,4-二氯苯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106-46-7</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30</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乙苯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100-41-4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31</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苯乙烯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100-42-5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32</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甲苯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108-88-3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33</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间二甲苯+对二甲苯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108-38-3,</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106-42-3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163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34</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邻二甲苯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95-47-6</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222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640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640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半挥发性有机物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35</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硝基苯</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98-95-3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190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36</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苯胺</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62-53-3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211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663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37</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2-氯酚</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95-57-8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2256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38</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苯并[a]蒽</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56-55-3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39</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苯并[a]芘</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50-32-8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40</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苯并[b]荧蒽</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205-99-2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41</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苯并[k]荧蒽</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207-08-9</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42</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䓛</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218-01-9</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490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4900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43</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二苯并[a,h]蒽</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53-70-3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0.55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44</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茚并[1,2,3-cd]芘</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193-39-5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75"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45</w:t>
            </w:r>
          </w:p>
        </w:tc>
        <w:tc>
          <w:tcPr>
            <w:tcW w:w="175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萘</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91-20-3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255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注：①具体地块土壤中污染物检测含量超过筛选值，但等于或者低于土壤环境背景值不纳入污染地块管理。土壤环境背景值可参见《建设用地土壤污染风险管控标准（试行）》（GB36600—2018）附录A。</w:t>
            </w:r>
          </w:p>
        </w:tc>
      </w:tr>
    </w:tbl>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b/>
          <w:color w:val="auto"/>
          <w:kern w:val="44"/>
          <w:sz w:val="36"/>
          <w:szCs w:val="24"/>
          <w:highlight w:val="red"/>
          <w:lang w:val="en-US" w:eastAsia="zh-CN" w:bidi="ar-SA"/>
        </w:rPr>
      </w:pPr>
      <w:r>
        <w:rPr>
          <w:rFonts w:hint="eastAsia" w:ascii="Times New Roman" w:hAnsi="Times New Roman" w:cs="Times New Roman"/>
          <w:b/>
          <w:color w:val="auto"/>
          <w:kern w:val="44"/>
          <w:sz w:val="36"/>
          <w:szCs w:val="24"/>
          <w:highlight w:val="red"/>
          <w:lang w:val="en-US" w:eastAsia="zh-CN" w:bidi="ar-SA"/>
        </w:rPr>
        <w:br w:type="page"/>
      </w: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default" w:ascii="Times New Roman" w:hAnsi="Times New Roman" w:eastAsia="宋体" w:cs="Times New Roman"/>
          <w:color w:val="auto"/>
          <w:sz w:val="36"/>
          <w:szCs w:val="36"/>
          <w:highlight w:val="none"/>
          <w:lang w:val="en-US" w:eastAsia="zh-CN"/>
        </w:rPr>
      </w:pPr>
      <w:bookmarkStart w:id="82" w:name="_Toc16246"/>
      <w:r>
        <w:rPr>
          <w:rFonts w:hint="eastAsia" w:cs="Times New Roman"/>
          <w:color w:val="auto"/>
          <w:sz w:val="36"/>
          <w:szCs w:val="36"/>
          <w:highlight w:val="none"/>
          <w:lang w:val="en-US" w:eastAsia="zh-CN"/>
        </w:rPr>
        <w:t>七</w:t>
      </w:r>
      <w:r>
        <w:rPr>
          <w:rFonts w:hint="eastAsia" w:ascii="Times New Roman" w:hAnsi="Times New Roman" w:eastAsia="宋体" w:cs="Times New Roman"/>
          <w:color w:val="auto"/>
          <w:sz w:val="36"/>
          <w:szCs w:val="36"/>
          <w:highlight w:val="none"/>
          <w:lang w:val="en-US" w:eastAsia="zh-CN"/>
        </w:rPr>
        <w:t>、</w:t>
      </w:r>
      <w:r>
        <w:rPr>
          <w:rFonts w:hint="default" w:ascii="Times New Roman" w:hAnsi="Times New Roman" w:eastAsia="宋体" w:cs="Times New Roman"/>
          <w:color w:val="auto"/>
          <w:sz w:val="36"/>
          <w:szCs w:val="36"/>
          <w:highlight w:val="none"/>
          <w:lang w:val="en-US" w:eastAsia="zh-CN"/>
        </w:rPr>
        <w:t>验收监测内容</w:t>
      </w:r>
      <w:bookmarkEnd w:id="82"/>
    </w:p>
    <w:p>
      <w:pPr>
        <w:pStyle w:val="4"/>
        <w:keepNext/>
        <w:keepLines w:val="0"/>
        <w:pageBreakBefore w:val="0"/>
        <w:widowControl w:val="0"/>
        <w:tabs>
          <w:tab w:val="left" w:pos="561"/>
        </w:tabs>
        <w:kinsoku/>
        <w:wordWrap/>
        <w:overflowPunct/>
        <w:topLinePunct w:val="0"/>
        <w:autoSpaceDE/>
        <w:autoSpaceDN/>
        <w:bidi w:val="0"/>
        <w:adjustRightInd/>
        <w:snapToGrid/>
        <w:ind w:firstLine="0" w:firstLineChars="0"/>
        <w:textAlignment w:val="auto"/>
        <w:rPr>
          <w:rFonts w:hint="eastAsia" w:ascii="Times New Roman" w:hAnsi="Times New Roman" w:eastAsia="宋体" w:cs="Times New Roman"/>
          <w:b/>
          <w:color w:val="auto"/>
          <w:kern w:val="0"/>
          <w:sz w:val="30"/>
          <w:szCs w:val="20"/>
          <w:highlight w:val="red"/>
          <w:lang w:val="en-US" w:eastAsia="zh-CN" w:bidi="ar-SA"/>
        </w:rPr>
      </w:pPr>
      <w:bookmarkStart w:id="83" w:name="_Toc11820"/>
      <w:bookmarkStart w:id="84" w:name="_Toc5544"/>
      <w:r>
        <w:rPr>
          <w:rFonts w:hint="eastAsia" w:cs="Times New Roman"/>
          <w:b/>
          <w:color w:val="auto"/>
          <w:kern w:val="0"/>
          <w:sz w:val="30"/>
          <w:szCs w:val="20"/>
          <w:highlight w:val="none"/>
          <w:lang w:val="en-US" w:eastAsia="zh-CN" w:bidi="ar-SA"/>
        </w:rPr>
        <w:t>7</w:t>
      </w:r>
      <w:r>
        <w:rPr>
          <w:rFonts w:hint="eastAsia" w:ascii="Times New Roman" w:hAnsi="Times New Roman" w:eastAsia="宋体" w:cs="Times New Roman"/>
          <w:b/>
          <w:color w:val="auto"/>
          <w:kern w:val="0"/>
          <w:sz w:val="30"/>
          <w:szCs w:val="20"/>
          <w:highlight w:val="none"/>
          <w:lang w:val="en-US" w:eastAsia="zh-CN" w:bidi="ar-SA"/>
        </w:rPr>
        <w:t>.1验收监测期间生产工况</w:t>
      </w:r>
      <w:bookmarkEnd w:id="83"/>
      <w:bookmarkEnd w:id="8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themeColor="text1"/>
          <w:sz w:val="24"/>
          <w:szCs w:val="24"/>
          <w:highlight w:val="none"/>
          <w14:textFill>
            <w14:solidFill>
              <w14:schemeClr w14:val="tx1"/>
            </w14:solidFill>
          </w14:textFill>
        </w:rPr>
      </w:pPr>
      <w:r>
        <w:rPr>
          <w:rFonts w:hint="default" w:ascii="Times New Roman" w:hAnsi="Times New Roman" w:cs="Times New Roman"/>
          <w:color w:val="000000" w:themeColor="text1"/>
          <w:sz w:val="24"/>
          <w:szCs w:val="24"/>
          <w:highlight w:val="none"/>
          <w14:textFill>
            <w14:solidFill>
              <w14:schemeClr w14:val="tx1"/>
            </w14:solidFill>
          </w14:textFill>
        </w:rPr>
        <w:t>验收监测期间，</w:t>
      </w:r>
      <w:r>
        <w:rPr>
          <w:rFonts w:hint="eastAsia" w:cs="Times New Roman"/>
          <w:color w:val="000000" w:themeColor="text1"/>
          <w:sz w:val="24"/>
          <w:szCs w:val="24"/>
          <w:highlight w:val="none"/>
          <w:lang w:val="en-US" w:eastAsia="zh-CN"/>
          <w14:textFill>
            <w14:solidFill>
              <w14:schemeClr w14:val="tx1"/>
            </w14:solidFill>
          </w14:textFill>
        </w:rPr>
        <w:t>平山电厂调整工矿至75%以上，满足监测要求</w:t>
      </w:r>
      <w:r>
        <w:rPr>
          <w:rFonts w:hint="default" w:ascii="Times New Roman" w:hAnsi="Times New Roman" w:cs="Times New Roman"/>
          <w:color w:val="000000" w:themeColor="text1"/>
          <w:sz w:val="24"/>
          <w:szCs w:val="24"/>
          <w:highlight w:val="none"/>
          <w14:textFill>
            <w14:solidFill>
              <w14:schemeClr w14:val="tx1"/>
            </w14:solidFill>
          </w14:textFill>
        </w:rPr>
        <w:t>。</w:t>
      </w:r>
    </w:p>
    <w:p>
      <w:pPr>
        <w:pStyle w:val="8"/>
        <w:jc w:val="center"/>
        <w:rPr>
          <w:rFonts w:ascii="黑体" w:hAnsi="黑体" w:eastAsia="黑体" w:cs="黑体"/>
          <w:bCs/>
          <w:szCs w:val="21"/>
        </w:rPr>
      </w:pPr>
      <w:r>
        <w:rPr>
          <w:rFonts w:hint="eastAsia" w:ascii="黑体" w:hAnsi="黑体" w:eastAsia="黑体" w:cs="黑体"/>
          <w:bCs/>
          <w:szCs w:val="21"/>
          <w:lang w:val="en-US" w:eastAsia="zh-CN"/>
        </w:rPr>
        <w:t>表7-1</w:t>
      </w:r>
      <w:r>
        <w:rPr>
          <w:rFonts w:hint="eastAsia" w:ascii="黑体" w:hAnsi="黑体" w:eastAsia="黑体" w:cs="黑体"/>
          <w:bCs/>
          <w:szCs w:val="21"/>
        </w:rPr>
        <w:t>#3机组验收监测期间机组运行工况一览表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gridCol w:w="1975"/>
        <w:gridCol w:w="1416"/>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监测日期</w:t>
            </w:r>
          </w:p>
        </w:tc>
        <w:tc>
          <w:tcPr>
            <w:tcW w:w="1975"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额定电负荷（MW）</w:t>
            </w:r>
          </w:p>
        </w:tc>
        <w:tc>
          <w:tcPr>
            <w:tcW w:w="1416"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实际电负荷（MW）</w:t>
            </w:r>
          </w:p>
        </w:tc>
        <w:tc>
          <w:tcPr>
            <w:tcW w:w="1717"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运行负荷率（%）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2022.8.18</w:t>
            </w:r>
          </w:p>
        </w:tc>
        <w:tc>
          <w:tcPr>
            <w:tcW w:w="1975" w:type="dxa"/>
            <w:vMerge w:val="restar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1350</w:t>
            </w:r>
          </w:p>
        </w:tc>
        <w:tc>
          <w:tcPr>
            <w:tcW w:w="1416"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1227.19</w:t>
            </w:r>
          </w:p>
        </w:tc>
        <w:tc>
          <w:tcPr>
            <w:tcW w:w="1717"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90.90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2022.8.19</w:t>
            </w:r>
          </w:p>
        </w:tc>
        <w:tc>
          <w:tcPr>
            <w:tcW w:w="1975" w:type="dxa"/>
            <w:vMerge w:val="continue"/>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p>
        </w:tc>
        <w:tc>
          <w:tcPr>
            <w:tcW w:w="1416"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1240.67</w:t>
            </w:r>
          </w:p>
        </w:tc>
        <w:tc>
          <w:tcPr>
            <w:tcW w:w="1717"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91.90</w:t>
            </w:r>
          </w:p>
        </w:tc>
      </w:tr>
    </w:tbl>
    <w:p>
      <w:pPr>
        <w:spacing w:line="360" w:lineRule="auto"/>
        <w:jc w:val="center"/>
        <w:rPr>
          <w:rFonts w:ascii="Times New Roman" w:hAnsi="Times New Roman" w:eastAsia="宋体" w:cs="Times New Roman"/>
          <w:b/>
          <w:szCs w:val="21"/>
        </w:rPr>
      </w:pPr>
      <w:r>
        <w:rPr>
          <w:rFonts w:hint="eastAsia" w:ascii="黑体" w:hAnsi="黑体" w:eastAsia="黑体" w:cs="黑体"/>
          <w:bCs/>
          <w:szCs w:val="21"/>
          <w:lang w:val="en-US" w:eastAsia="zh-CN"/>
        </w:rPr>
        <w:t>表7-2</w:t>
      </w:r>
      <w:r>
        <w:rPr>
          <w:rFonts w:hint="eastAsia" w:ascii="黑体" w:hAnsi="黑体" w:eastAsia="黑体" w:cs="黑体"/>
          <w:bCs/>
          <w:szCs w:val="21"/>
        </w:rPr>
        <w:t>验收监测期间锅炉运行工况一览表</w:t>
      </w:r>
    </w:p>
    <w:tbl>
      <w:tblPr>
        <w:tblStyle w:val="2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9"/>
        <w:gridCol w:w="1975"/>
        <w:gridCol w:w="1416"/>
        <w:gridCol w:w="1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监测日期</w:t>
            </w:r>
          </w:p>
        </w:tc>
        <w:tc>
          <w:tcPr>
            <w:tcW w:w="1975"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设计最大蒸汽量（t/h）</w:t>
            </w:r>
          </w:p>
        </w:tc>
        <w:tc>
          <w:tcPr>
            <w:tcW w:w="1416"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平均蒸汽流（t/h）</w:t>
            </w:r>
          </w:p>
        </w:tc>
        <w:tc>
          <w:tcPr>
            <w:tcW w:w="1717"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运行负荷率（%）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2022.8.18</w:t>
            </w:r>
          </w:p>
        </w:tc>
        <w:tc>
          <w:tcPr>
            <w:tcW w:w="1975" w:type="dxa"/>
            <w:vMerge w:val="restar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3448</w:t>
            </w:r>
          </w:p>
        </w:tc>
        <w:tc>
          <w:tcPr>
            <w:tcW w:w="1416"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3249</w:t>
            </w:r>
          </w:p>
        </w:tc>
        <w:tc>
          <w:tcPr>
            <w:tcW w:w="1717"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94.23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059"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2022.8.19</w:t>
            </w:r>
          </w:p>
        </w:tc>
        <w:tc>
          <w:tcPr>
            <w:tcW w:w="1975" w:type="dxa"/>
            <w:vMerge w:val="continue"/>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p>
        </w:tc>
        <w:tc>
          <w:tcPr>
            <w:tcW w:w="1416"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3315</w:t>
            </w:r>
          </w:p>
        </w:tc>
        <w:tc>
          <w:tcPr>
            <w:tcW w:w="1717" w:type="dxa"/>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ascii="Times New Roman" w:hAnsi="Times New Roman" w:eastAsia="宋体" w:cs="Times New Roman"/>
                <w:kern w:val="0"/>
                <w:sz w:val="20"/>
              </w:rPr>
            </w:pPr>
            <w:r>
              <w:rPr>
                <w:rFonts w:hint="eastAsia" w:ascii="Times New Roman" w:hAnsi="Times New Roman" w:eastAsia="宋体" w:cs="Times New Roman"/>
                <w:kern w:val="0"/>
                <w:sz w:val="20"/>
              </w:rPr>
              <w:t>96.14</w:t>
            </w:r>
          </w:p>
        </w:tc>
      </w:tr>
    </w:tbl>
    <w:p>
      <w:pPr>
        <w:pStyle w:val="26"/>
        <w:rPr>
          <w:rFonts w:hint="default"/>
        </w:rPr>
      </w:pP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ascii="Times New Roman" w:hAnsi="Times New Roman" w:eastAsia="宋体" w:cs="Times New Roman"/>
          <w:b/>
          <w:bCs/>
          <w:color w:val="000000"/>
          <w:szCs w:val="28"/>
          <w:highlight w:val="none"/>
          <w:lang w:val="en-US" w:eastAsia="zh-CN"/>
        </w:rPr>
      </w:pPr>
      <w:bookmarkStart w:id="85" w:name="_Toc6464"/>
      <w:r>
        <w:rPr>
          <w:rFonts w:hint="eastAsia"/>
          <w:color w:val="auto"/>
          <w:highlight w:val="none"/>
          <w:lang w:val="en-US" w:eastAsia="zh-CN"/>
        </w:rPr>
        <w:t>7.2废气</w:t>
      </w:r>
      <w:r>
        <w:rPr>
          <w:rFonts w:hint="default" w:ascii="Times New Roman" w:hAnsi="Times New Roman" w:eastAsia="宋体" w:cs="Times New Roman"/>
          <w:b/>
          <w:bCs/>
          <w:color w:val="000000"/>
          <w:szCs w:val="28"/>
          <w:highlight w:val="none"/>
        </w:rPr>
        <w:t>监测</w:t>
      </w:r>
      <w:r>
        <w:rPr>
          <w:rFonts w:hint="eastAsia" w:ascii="Times New Roman" w:hAnsi="Times New Roman" w:eastAsia="宋体" w:cs="Times New Roman"/>
          <w:b/>
          <w:bCs/>
          <w:color w:val="000000"/>
          <w:szCs w:val="28"/>
          <w:highlight w:val="none"/>
          <w:lang w:val="en-US" w:eastAsia="zh-CN"/>
        </w:rPr>
        <w:t>内容</w:t>
      </w:r>
      <w:bookmarkEnd w:id="85"/>
    </w:p>
    <w:p>
      <w:pPr>
        <w:keepNext w:val="0"/>
        <w:keepLines w:val="0"/>
        <w:pageBreakBefore w:val="0"/>
        <w:widowControl w:val="0"/>
        <w:kinsoku/>
        <w:wordWrap/>
        <w:overflowPunct/>
        <w:topLinePunct w:val="0"/>
        <w:autoSpaceDE/>
        <w:autoSpaceDN/>
        <w:bidi w:val="0"/>
        <w:adjustRightInd/>
        <w:snapToGrid/>
        <w:textAlignment w:val="auto"/>
        <w:outlineLvl w:val="2"/>
        <w:rPr>
          <w:rFonts w:hint="default"/>
          <w:highlight w:val="none"/>
          <w:lang w:val="en-US" w:eastAsia="zh-CN"/>
        </w:rPr>
      </w:pPr>
      <w:r>
        <w:rPr>
          <w:rFonts w:hint="eastAsia"/>
          <w:color w:val="auto"/>
          <w:highlight w:val="none"/>
          <w:lang w:val="en-US" w:eastAsia="zh-CN"/>
        </w:rPr>
        <w:t>7.2.1</w:t>
      </w:r>
      <w:r>
        <w:rPr>
          <w:rFonts w:hint="default"/>
          <w:color w:val="auto"/>
          <w:highlight w:val="none"/>
        </w:rPr>
        <w:t>有组织废气监测</w:t>
      </w:r>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color w:val="000000"/>
          <w:sz w:val="24"/>
          <w:highlight w:val="none"/>
          <w:vertAlign w:val="baseline"/>
          <w:lang w:val="en-US" w:eastAsia="zh-CN"/>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7-3</w:t>
      </w:r>
      <w:r>
        <w:rPr>
          <w:rFonts w:hint="eastAsia" w:ascii="黑体" w:hAnsi="黑体" w:eastAsia="黑体" w:cs="黑体"/>
          <w:b w:val="0"/>
          <w:bCs/>
          <w:color w:val="auto"/>
          <w:sz w:val="21"/>
          <w:szCs w:val="21"/>
          <w:highlight w:val="none"/>
          <w:lang w:val="en-US" w:eastAsia="zh-CN"/>
        </w:rPr>
        <w:t>有组织废气监测点位及监测内容</w:t>
      </w:r>
    </w:p>
    <w:tbl>
      <w:tblPr>
        <w:tblStyle w:val="23"/>
        <w:tblW w:w="4998" w:type="pct"/>
        <w:jc w:val="center"/>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Layout w:type="autofit"/>
        <w:tblCellMar>
          <w:top w:w="0" w:type="dxa"/>
          <w:left w:w="108" w:type="dxa"/>
          <w:bottom w:w="0" w:type="dxa"/>
          <w:right w:w="108" w:type="dxa"/>
        </w:tblCellMar>
      </w:tblPr>
      <w:tblGrid>
        <w:gridCol w:w="2301"/>
        <w:gridCol w:w="3693"/>
        <w:gridCol w:w="2525"/>
      </w:tblGrid>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794" w:hRule="atLeast"/>
          <w:jc w:val="center"/>
        </w:trPr>
        <w:tc>
          <w:tcPr>
            <w:tcW w:w="1350"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bookmarkStart w:id="86" w:name="_Toc452046047"/>
            <w:bookmarkStart w:id="87" w:name="_Toc186249550"/>
            <w:bookmarkStart w:id="88" w:name="_Toc187277792"/>
            <w:bookmarkStart w:id="89" w:name="_Toc186249410"/>
            <w:r>
              <w:rPr>
                <w:rFonts w:hint="default" w:ascii="Times New Roman" w:hAnsi="Times New Roman" w:eastAsia="宋体" w:cs="Times New Roman"/>
                <w:color w:val="auto"/>
                <w:kern w:val="2"/>
                <w:sz w:val="21"/>
                <w:szCs w:val="21"/>
                <w:highlight w:val="none"/>
                <w:lang w:val="en-US" w:eastAsia="zh-CN" w:bidi="ar-SA"/>
              </w:rPr>
              <w:t>监测点位</w:t>
            </w:r>
          </w:p>
        </w:tc>
        <w:tc>
          <w:tcPr>
            <w:tcW w:w="2167"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监测项目</w:t>
            </w:r>
          </w:p>
        </w:tc>
        <w:tc>
          <w:tcPr>
            <w:tcW w:w="1481" w:type="pct"/>
            <w:tcBorders>
              <w:tl2br w:val="nil"/>
              <w:tr2bl w:val="nil"/>
            </w:tcBorders>
            <w:noWrap w:val="0"/>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kern w:val="2"/>
                <w:sz w:val="21"/>
                <w:szCs w:val="21"/>
                <w:highlight w:val="none"/>
                <w:lang w:val="en-US" w:eastAsia="zh-CN" w:bidi="ar-SA"/>
              </w:rPr>
              <w:t>检测</w:t>
            </w:r>
            <w:r>
              <w:rPr>
                <w:rFonts w:hint="default" w:ascii="Times New Roman" w:hAnsi="Times New Roman" w:eastAsia="宋体" w:cs="Times New Roman"/>
                <w:color w:val="auto"/>
                <w:kern w:val="2"/>
                <w:sz w:val="21"/>
                <w:szCs w:val="21"/>
                <w:highlight w:val="none"/>
                <w:lang w:val="en-US" w:eastAsia="zh-CN" w:bidi="ar-SA"/>
              </w:rPr>
              <w:t>频次</w:t>
            </w:r>
          </w:p>
        </w:tc>
      </w:tr>
      <w:tr>
        <w:tblPrEx>
          <w:tblBorders>
            <w:top w:val="single" w:color="auto" w:sz="4" w:space="0"/>
            <w:left w:val="single" w:color="auto" w:sz="4" w:space="0"/>
            <w:bottom w:val="single" w:color="auto" w:sz="4" w:space="0"/>
            <w:right w:val="single" w:color="auto" w:sz="4" w:space="0"/>
            <w:insideH w:val="single" w:color="000000" w:sz="6" w:space="0"/>
            <w:insideV w:val="single" w:color="000000" w:sz="6" w:space="0"/>
          </w:tblBorders>
          <w:tblCellMar>
            <w:top w:w="0" w:type="dxa"/>
            <w:left w:w="108" w:type="dxa"/>
            <w:bottom w:w="0" w:type="dxa"/>
            <w:right w:w="108" w:type="dxa"/>
          </w:tblCellMar>
        </w:tblPrEx>
        <w:trPr>
          <w:cantSplit/>
          <w:trHeight w:val="794" w:hRule="atLeast"/>
          <w:jc w:val="center"/>
        </w:trPr>
        <w:tc>
          <w:tcPr>
            <w:tcW w:w="1350"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lang w:val="en-US" w:eastAsia="zh-CN"/>
              </w:rPr>
              <w:t>烟气排气筒出口</w:t>
            </w:r>
          </w:p>
        </w:tc>
        <w:tc>
          <w:tcPr>
            <w:tcW w:w="2167"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cs="Times New Roman"/>
                <w:sz w:val="21"/>
                <w:szCs w:val="21"/>
                <w:highlight w:val="none"/>
                <w:vertAlign w:val="baseline"/>
                <w:lang w:val="en-US" w:eastAsia="zh-CN"/>
              </w:rPr>
              <w:t>颗粒物、氮氧化物、二氧化硫、汞及其化合物</w:t>
            </w:r>
            <w:r>
              <w:rPr>
                <w:rFonts w:hint="eastAsia" w:ascii="Times New Roman" w:hAnsi="Times New Roman" w:cs="Times New Roman"/>
                <w:sz w:val="21"/>
                <w:szCs w:val="21"/>
                <w:highlight w:val="none"/>
                <w:vertAlign w:val="baseline"/>
                <w:lang w:val="en-US" w:eastAsia="zh-CN"/>
              </w:rPr>
              <w:t>、</w:t>
            </w:r>
            <w:r>
              <w:rPr>
                <w:rFonts w:hint="default" w:ascii="Times New Roman" w:hAnsi="Times New Roman" w:cs="Times New Roman"/>
                <w:sz w:val="21"/>
                <w:szCs w:val="21"/>
                <w:highlight w:val="none"/>
                <w:vertAlign w:val="baseline"/>
                <w:lang w:val="en-US" w:eastAsia="zh-CN"/>
              </w:rPr>
              <w:t>烟气参数（烟气流速、烟气温度、烟气湿度等）</w:t>
            </w:r>
          </w:p>
        </w:tc>
        <w:tc>
          <w:tcPr>
            <w:tcW w:w="1481" w:type="pct"/>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eastAsia" w:ascii="Times New Roman" w:hAnsi="Times New Roman" w:cs="Times New Roman"/>
                <w:sz w:val="21"/>
                <w:szCs w:val="21"/>
                <w:highlight w:val="none"/>
                <w:vertAlign w:val="baseline"/>
                <w:lang w:val="en-US" w:eastAsia="zh-CN"/>
              </w:rPr>
              <w:t>两天；每天三次</w:t>
            </w:r>
          </w:p>
        </w:tc>
      </w:tr>
      <w:bookmarkEnd w:id="86"/>
      <w:bookmarkEnd w:id="87"/>
      <w:bookmarkEnd w:id="88"/>
      <w:bookmarkEnd w:id="89"/>
    </w:tbl>
    <w:p>
      <w:pPr>
        <w:pStyle w:val="8"/>
        <w:keepNext w:val="0"/>
        <w:keepLines w:val="0"/>
        <w:pageBreakBefore w:val="0"/>
        <w:widowControl w:val="0"/>
        <w:kinsoku/>
        <w:wordWrap/>
        <w:overflowPunct/>
        <w:topLinePunct w:val="0"/>
        <w:autoSpaceDE/>
        <w:autoSpaceDN/>
        <w:bidi w:val="0"/>
        <w:adjustRightInd/>
        <w:snapToGrid/>
        <w:spacing w:after="0"/>
        <w:textAlignment w:val="auto"/>
        <w:outlineLvl w:val="2"/>
        <w:rPr>
          <w:rFonts w:hint="default"/>
          <w:color w:val="auto"/>
          <w:highlight w:val="none"/>
        </w:rPr>
      </w:pPr>
      <w:r>
        <w:rPr>
          <w:rFonts w:hint="eastAsia"/>
          <w:color w:val="auto"/>
          <w:highlight w:val="none"/>
          <w:lang w:val="en-US" w:eastAsia="zh-CN"/>
        </w:rPr>
        <w:t>7.2.2无</w:t>
      </w:r>
      <w:r>
        <w:rPr>
          <w:rFonts w:hint="default"/>
          <w:color w:val="auto"/>
          <w:highlight w:val="none"/>
        </w:rPr>
        <w:t>组织废气监测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color w:val="auto"/>
          <w:sz w:val="24"/>
          <w:szCs w:val="24"/>
          <w:highlight w:val="none"/>
        </w:rPr>
      </w:pPr>
      <w:r>
        <w:rPr>
          <w:rFonts w:hint="default"/>
          <w:color w:val="auto"/>
          <w:sz w:val="24"/>
          <w:szCs w:val="24"/>
          <w:highlight w:val="none"/>
        </w:rPr>
        <w:t>（1）监测点位：根据废气排放特点及建设项目区域环境特征</w:t>
      </w:r>
      <w:r>
        <w:rPr>
          <w:rFonts w:hint="eastAsia"/>
          <w:color w:val="auto"/>
          <w:sz w:val="24"/>
          <w:szCs w:val="24"/>
          <w:highlight w:val="none"/>
          <w:lang w:eastAsia="zh-CN"/>
        </w:rPr>
        <w:t>，</w:t>
      </w:r>
      <w:r>
        <w:rPr>
          <w:rFonts w:hint="default"/>
          <w:color w:val="auto"/>
          <w:sz w:val="24"/>
          <w:szCs w:val="24"/>
          <w:highlight w:val="none"/>
        </w:rPr>
        <w:t>在厂界外布设4个大气无组织监测点</w:t>
      </w:r>
      <w:r>
        <w:rPr>
          <w:rFonts w:hint="eastAsia"/>
          <w:color w:val="auto"/>
          <w:sz w:val="24"/>
          <w:szCs w:val="24"/>
          <w:highlight w:val="none"/>
          <w:lang w:eastAsia="zh-CN"/>
        </w:rPr>
        <w:t>，</w:t>
      </w:r>
      <w:r>
        <w:rPr>
          <w:rFonts w:hint="default"/>
          <w:color w:val="auto"/>
          <w:sz w:val="24"/>
          <w:szCs w:val="24"/>
          <w:highlight w:val="none"/>
        </w:rPr>
        <w:t>点位选择根据监测时气象情况确定</w:t>
      </w:r>
      <w:r>
        <w:rPr>
          <w:rFonts w:hint="eastAsia"/>
          <w:color w:val="auto"/>
          <w:sz w:val="24"/>
          <w:szCs w:val="24"/>
          <w:highlight w:val="none"/>
          <w:lang w:eastAsia="zh-CN"/>
        </w:rPr>
        <w:t>，</w:t>
      </w:r>
      <w:r>
        <w:rPr>
          <w:rFonts w:hint="default"/>
          <w:color w:val="auto"/>
          <w:sz w:val="24"/>
          <w:szCs w:val="24"/>
          <w:highlight w:val="none"/>
        </w:rPr>
        <w:t>上风向1个参照点</w:t>
      </w:r>
      <w:r>
        <w:rPr>
          <w:rFonts w:hint="eastAsia"/>
          <w:color w:val="auto"/>
          <w:sz w:val="24"/>
          <w:szCs w:val="24"/>
          <w:highlight w:val="none"/>
          <w:lang w:eastAsia="zh-CN"/>
        </w:rPr>
        <w:t>，</w:t>
      </w:r>
      <w:r>
        <w:rPr>
          <w:rFonts w:hint="default"/>
          <w:color w:val="auto"/>
          <w:sz w:val="24"/>
          <w:szCs w:val="24"/>
          <w:highlight w:val="none"/>
        </w:rPr>
        <w:t>下风向3个监控点。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color w:val="auto"/>
          <w:sz w:val="24"/>
          <w:szCs w:val="24"/>
          <w:highlight w:val="none"/>
        </w:rPr>
      </w:pPr>
      <w:r>
        <w:rPr>
          <w:rFonts w:hint="default"/>
          <w:color w:val="auto"/>
          <w:sz w:val="24"/>
          <w:szCs w:val="24"/>
          <w:highlight w:val="none"/>
        </w:rPr>
        <w:t>（2）监测项目：厂界</w:t>
      </w:r>
      <w:r>
        <w:rPr>
          <w:rFonts w:hint="default"/>
          <w:color w:val="auto"/>
          <w:sz w:val="24"/>
          <w:szCs w:val="24"/>
          <w:highlight w:val="none"/>
          <w:lang w:val="en-US" w:eastAsia="zh-CN"/>
        </w:rPr>
        <w:t>无组织</w:t>
      </w:r>
      <w:r>
        <w:rPr>
          <w:rFonts w:hint="default"/>
          <w:color w:val="auto"/>
          <w:sz w:val="24"/>
          <w:szCs w:val="24"/>
          <w:highlight w:val="none"/>
        </w:rPr>
        <w:t>颗粒物。</w:t>
      </w:r>
      <w:r>
        <w:rPr>
          <w:rFonts w:hint="eastAsia"/>
          <w:color w:val="auto"/>
          <w:sz w:val="24"/>
          <w:szCs w:val="24"/>
          <w:highlight w:val="none"/>
        </w:rPr>
        <w:t>同时</w:t>
      </w:r>
      <w:r>
        <w:rPr>
          <w:color w:val="auto"/>
          <w:sz w:val="24"/>
          <w:szCs w:val="24"/>
          <w:highlight w:val="none"/>
        </w:rPr>
        <w:t>记录气象参数</w:t>
      </w:r>
    </w:p>
    <w:p>
      <w:pPr>
        <w:pStyle w:val="8"/>
        <w:keepNext w:val="0"/>
        <w:keepLines w:val="0"/>
        <w:pageBreakBefore w:val="0"/>
        <w:widowControl w:val="0"/>
        <w:kinsoku/>
        <w:wordWrap/>
        <w:overflowPunct/>
        <w:topLinePunct w:val="0"/>
        <w:autoSpaceDE/>
        <w:autoSpaceDN/>
        <w:bidi w:val="0"/>
        <w:adjustRightInd/>
        <w:snapToGrid/>
        <w:spacing w:after="0"/>
        <w:textAlignment w:val="auto"/>
        <w:outlineLvl w:val="9"/>
        <w:rPr>
          <w:rFonts w:hint="default"/>
          <w:color w:val="auto"/>
          <w:sz w:val="24"/>
          <w:szCs w:val="24"/>
          <w:highlight w:val="none"/>
        </w:rPr>
      </w:pPr>
      <w:r>
        <w:rPr>
          <w:rFonts w:hint="default"/>
          <w:color w:val="auto"/>
          <w:sz w:val="24"/>
          <w:szCs w:val="24"/>
          <w:highlight w:val="none"/>
        </w:rPr>
        <w:t>（3）监测频次：小时均值</w:t>
      </w:r>
      <w:r>
        <w:rPr>
          <w:rFonts w:hint="eastAsia"/>
          <w:color w:val="auto"/>
          <w:sz w:val="24"/>
          <w:szCs w:val="24"/>
          <w:highlight w:val="none"/>
          <w:lang w:eastAsia="zh-CN"/>
        </w:rPr>
        <w:t>，</w:t>
      </w:r>
      <w:r>
        <w:rPr>
          <w:rFonts w:hint="default"/>
          <w:color w:val="auto"/>
          <w:sz w:val="24"/>
          <w:szCs w:val="24"/>
          <w:highlight w:val="none"/>
        </w:rPr>
        <w:t>4次/天</w:t>
      </w:r>
      <w:r>
        <w:rPr>
          <w:rFonts w:hint="eastAsia"/>
          <w:color w:val="auto"/>
          <w:sz w:val="24"/>
          <w:szCs w:val="24"/>
          <w:highlight w:val="none"/>
          <w:lang w:eastAsia="zh-CN"/>
        </w:rPr>
        <w:t>，</w:t>
      </w:r>
      <w:r>
        <w:rPr>
          <w:rFonts w:hint="default"/>
          <w:color w:val="auto"/>
          <w:sz w:val="24"/>
          <w:szCs w:val="24"/>
          <w:highlight w:val="none"/>
          <w:lang w:val="en-US" w:eastAsia="zh-CN"/>
        </w:rPr>
        <w:t>连续</w:t>
      </w:r>
      <w:r>
        <w:rPr>
          <w:rFonts w:hint="default"/>
          <w:color w:val="auto"/>
          <w:sz w:val="24"/>
          <w:szCs w:val="24"/>
          <w:highlight w:val="none"/>
        </w:rPr>
        <w:t>监测两天。</w:t>
      </w: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highlight w:val="none"/>
          <w:lang w:val="en-US" w:eastAsia="zh-CN"/>
        </w:rPr>
      </w:pPr>
      <w:bookmarkStart w:id="90" w:name="_Toc18654"/>
      <w:r>
        <w:rPr>
          <w:rFonts w:hint="eastAsia"/>
          <w:color w:val="auto"/>
          <w:highlight w:val="none"/>
          <w:lang w:val="en-US" w:eastAsia="zh-CN"/>
        </w:rPr>
        <w:t>7.3废水监测内容</w:t>
      </w:r>
      <w:bookmarkEnd w:id="90"/>
    </w:p>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outlineLvl w:val="9"/>
        <w:rPr>
          <w:rFonts w:hint="default" w:ascii="Times New Roman" w:hAnsi="Times New Roman" w:eastAsia="宋体" w:cs="Times New Roman"/>
          <w:color w:val="000000"/>
          <w:sz w:val="24"/>
          <w:highlight w:val="none"/>
          <w:vertAlign w:val="baseline"/>
          <w:lang w:val="en-US" w:eastAsia="zh-CN"/>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7-4</w:t>
      </w:r>
      <w:r>
        <w:rPr>
          <w:rFonts w:hint="eastAsia" w:ascii="黑体" w:hAnsi="黑体" w:eastAsia="黑体" w:cs="黑体"/>
          <w:b w:val="0"/>
          <w:bCs/>
          <w:color w:val="auto"/>
          <w:sz w:val="21"/>
          <w:szCs w:val="21"/>
          <w:highlight w:val="none"/>
          <w:lang w:val="en-US" w:eastAsia="zh-CN"/>
        </w:rPr>
        <w:t>废水监测点位及监测内容</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4616"/>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监测点位</w:t>
            </w:r>
          </w:p>
        </w:tc>
        <w:tc>
          <w:tcPr>
            <w:tcW w:w="4616" w:type="dxa"/>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监测项目</w:t>
            </w:r>
          </w:p>
        </w:tc>
        <w:tc>
          <w:tcPr>
            <w:tcW w:w="2016" w:type="dxa"/>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color w:val="auto"/>
                <w:kern w:val="2"/>
                <w:sz w:val="21"/>
                <w:szCs w:val="21"/>
                <w:highlight w:val="none"/>
                <w:lang w:val="en-US" w:eastAsia="zh-CN" w:bidi="ar-SA"/>
              </w:rPr>
              <w:t>检测</w:t>
            </w:r>
            <w:r>
              <w:rPr>
                <w:rFonts w:hint="default" w:ascii="Times New Roman" w:hAnsi="Times New Roman" w:eastAsia="宋体" w:cs="Times New Roman"/>
                <w:color w:val="auto"/>
                <w:kern w:val="2"/>
                <w:sz w:val="21"/>
                <w:szCs w:val="21"/>
                <w:highlight w:val="none"/>
                <w:lang w:val="en-US" w:eastAsia="zh-CN" w:bidi="ar-SA"/>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脱硫废水进口</w:t>
            </w:r>
          </w:p>
        </w:tc>
        <w:tc>
          <w:tcPr>
            <w:tcW w:w="4616" w:type="dxa"/>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pH、SS、Pb、Cd、Hg、As、硫化物、氟化物</w:t>
            </w:r>
          </w:p>
        </w:tc>
        <w:tc>
          <w:tcPr>
            <w:tcW w:w="2016" w:type="dxa"/>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4次/天，2天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脱硫废水出口</w:t>
            </w:r>
          </w:p>
        </w:tc>
        <w:tc>
          <w:tcPr>
            <w:tcW w:w="4616" w:type="dxa"/>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生活废水出口</w:t>
            </w:r>
          </w:p>
        </w:tc>
        <w:tc>
          <w:tcPr>
            <w:tcW w:w="4616" w:type="dxa"/>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pH、悬浮物、浊度、COD、BOD5、氨氮、铁、</w:t>
            </w:r>
            <w:r>
              <w:rPr>
                <w:rFonts w:hint="eastAsia" w:ascii="宋体" w:hAnsi="宋体" w:eastAsia="宋体" w:cs="宋体"/>
                <w:color w:val="000000"/>
                <w:kern w:val="0"/>
                <w:sz w:val="21"/>
                <w:szCs w:val="21"/>
                <w:lang w:val="en-US" w:eastAsia="zh-CN" w:bidi="ar"/>
              </w:rPr>
              <w:t>溶解性总固体、氯离子、溶解氧</w:t>
            </w: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工业水池出口</w:t>
            </w:r>
          </w:p>
        </w:tc>
        <w:tc>
          <w:tcPr>
            <w:tcW w:w="46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cs="Times New Roman"/>
                <w:sz w:val="21"/>
                <w:szCs w:val="21"/>
                <w:lang w:val="en-US"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887" w:type="dxa"/>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sz w:val="21"/>
                <w:szCs w:val="21"/>
                <w:lang w:val="en-US" w:eastAsia="zh-CN"/>
              </w:rPr>
              <w:t>含煤废水处理回用水池出口</w:t>
            </w:r>
          </w:p>
        </w:tc>
        <w:tc>
          <w:tcPr>
            <w:tcW w:w="4616" w:type="dxa"/>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auto"/>
              <w:rPr>
                <w:rFonts w:hint="eastAsia" w:ascii="Times New Roman" w:hAnsi="Times New Roman" w:cs="Times New Roman"/>
                <w:sz w:val="21"/>
                <w:szCs w:val="21"/>
                <w:lang w:val="en-US" w:eastAsia="zh-CN"/>
              </w:rPr>
            </w:pPr>
          </w:p>
        </w:tc>
        <w:tc>
          <w:tcPr>
            <w:tcW w:w="2016" w:type="dxa"/>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sz w:val="21"/>
                <w:szCs w:val="21"/>
                <w:lang w:val="en-US" w:eastAsia="zh-CN"/>
              </w:rPr>
            </w:pPr>
          </w:p>
        </w:tc>
      </w:tr>
    </w:tbl>
    <w:p>
      <w:pPr>
        <w:pStyle w:val="8"/>
        <w:keepNext w:val="0"/>
        <w:keepLines w:val="0"/>
        <w:pageBreakBefore w:val="0"/>
        <w:widowControl w:val="0"/>
        <w:kinsoku/>
        <w:wordWrap/>
        <w:overflowPunct/>
        <w:topLinePunct w:val="0"/>
        <w:autoSpaceDE/>
        <w:autoSpaceDN/>
        <w:bidi w:val="0"/>
        <w:adjustRightInd/>
        <w:snapToGrid/>
        <w:spacing w:after="0"/>
        <w:textAlignment w:val="auto"/>
        <w:outlineLvl w:val="9"/>
        <w:rPr>
          <w:rFonts w:hint="eastAsia" w:ascii="黑体" w:hAnsi="黑体" w:eastAsia="黑体" w:cs="黑体"/>
          <w:b w:val="0"/>
          <w:bCs/>
          <w:color w:val="000000"/>
          <w:sz w:val="21"/>
          <w:szCs w:val="21"/>
          <w:highlight w:val="none"/>
        </w:rPr>
      </w:pP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highlight w:val="none"/>
          <w:lang w:val="en-US" w:eastAsia="zh-CN"/>
        </w:rPr>
      </w:pPr>
      <w:bookmarkStart w:id="91" w:name="_Toc25605"/>
      <w:r>
        <w:rPr>
          <w:rFonts w:hint="eastAsia"/>
          <w:color w:val="auto"/>
          <w:highlight w:val="none"/>
          <w:lang w:val="en-US" w:eastAsia="zh-CN"/>
        </w:rPr>
        <w:t>7.4噪声监测内容</w:t>
      </w:r>
      <w:bookmarkEnd w:id="91"/>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outlineLvl w:val="9"/>
        <w:rPr>
          <w:rStyle w:val="30"/>
          <w:rFonts w:hint="eastAsia"/>
          <w:b/>
          <w:color w:val="auto"/>
          <w:highlight w:val="red"/>
          <w:lang w:val="en-US" w:eastAsia="zh-CN"/>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7-5</w:t>
      </w:r>
      <w:r>
        <w:rPr>
          <w:rFonts w:hint="eastAsia" w:ascii="黑体" w:hAnsi="黑体" w:eastAsia="黑体" w:cs="黑体"/>
          <w:b w:val="0"/>
          <w:bCs/>
          <w:color w:val="auto"/>
          <w:sz w:val="21"/>
          <w:szCs w:val="21"/>
          <w:highlight w:val="none"/>
          <w:lang w:val="en-US" w:eastAsia="zh-CN"/>
        </w:rPr>
        <w:t>噪声监测点位及监测内容</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7"/>
        <w:gridCol w:w="4616"/>
        <w:gridCol w:w="20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7" w:type="pct"/>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监测点位</w:t>
            </w:r>
          </w:p>
        </w:tc>
        <w:tc>
          <w:tcPr>
            <w:tcW w:w="2708" w:type="pct"/>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default" w:ascii="Times New Roman" w:hAnsi="Times New Roman" w:eastAsia="宋体" w:cs="Times New Roman"/>
                <w:color w:val="auto"/>
                <w:kern w:val="2"/>
                <w:sz w:val="21"/>
                <w:szCs w:val="21"/>
                <w:highlight w:val="none"/>
                <w:lang w:val="en-US" w:eastAsia="zh-CN" w:bidi="ar-SA"/>
              </w:rPr>
              <w:t>监测项目</w:t>
            </w:r>
          </w:p>
        </w:tc>
        <w:tc>
          <w:tcPr>
            <w:tcW w:w="1183" w:type="pct"/>
            <w:vAlign w:val="center"/>
          </w:tcPr>
          <w:p>
            <w:pPr>
              <w:pStyle w:val="29"/>
              <w:keepNext w:val="0"/>
              <w:keepLines w:val="0"/>
              <w:pageBreakBefore w:val="0"/>
              <w:widowControl w:val="0"/>
              <w:kinsoku/>
              <w:wordWrap/>
              <w:overflowPunct/>
              <w:topLinePunct w:val="0"/>
              <w:bidi w:val="0"/>
              <w:spacing w:line="240" w:lineRule="auto"/>
              <w:ind w:firstLine="0" w:firstLineChars="0"/>
              <w:jc w:val="center"/>
              <w:textAlignment w:val="auto"/>
              <w:rPr>
                <w:rFonts w:hint="eastAsia" w:ascii="Times New Roman" w:hAnsi="Times New Roman" w:cs="Times New Roman"/>
                <w:sz w:val="21"/>
                <w:szCs w:val="21"/>
                <w:lang w:val="en-US" w:eastAsia="zh-CN"/>
              </w:rPr>
            </w:pPr>
            <w:r>
              <w:rPr>
                <w:rFonts w:hint="eastAsia" w:ascii="Times New Roman" w:hAnsi="Times New Roman" w:cs="Times New Roman"/>
                <w:color w:val="auto"/>
                <w:kern w:val="2"/>
                <w:sz w:val="21"/>
                <w:szCs w:val="21"/>
                <w:highlight w:val="none"/>
                <w:lang w:val="en-US" w:eastAsia="zh-CN" w:bidi="ar-SA"/>
              </w:rPr>
              <w:t>检测</w:t>
            </w:r>
            <w:r>
              <w:rPr>
                <w:rFonts w:hint="default" w:ascii="Times New Roman" w:hAnsi="Times New Roman" w:eastAsia="宋体" w:cs="Times New Roman"/>
                <w:color w:val="auto"/>
                <w:kern w:val="2"/>
                <w:sz w:val="21"/>
                <w:szCs w:val="21"/>
                <w:highlight w:val="none"/>
                <w:lang w:val="en-US" w:eastAsia="zh-CN" w:bidi="ar-SA"/>
              </w:rPr>
              <w:t>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107" w:type="pct"/>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厂界四周</w:t>
            </w:r>
          </w:p>
        </w:tc>
        <w:tc>
          <w:tcPr>
            <w:tcW w:w="2708" w:type="pct"/>
            <w:vAlign w:val="center"/>
          </w:tcPr>
          <w:p>
            <w:pPr>
              <w:keepNext w:val="0"/>
              <w:keepLines w:val="0"/>
              <w:pageBreakBefore w:val="0"/>
              <w:widowControl/>
              <w:kinsoku/>
              <w:wordWrap/>
              <w:overflowPunct/>
              <w:topLinePunct w:val="0"/>
              <w:bidi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工业企业厂界环境噪声</w:t>
            </w:r>
          </w:p>
        </w:tc>
        <w:tc>
          <w:tcPr>
            <w:tcW w:w="1183" w:type="pct"/>
            <w:vAlign w:val="center"/>
          </w:tcPr>
          <w:p>
            <w:pPr>
              <w:keepNext w:val="0"/>
              <w:keepLines w:val="0"/>
              <w:pageBreakBefore w:val="0"/>
              <w:kinsoku/>
              <w:wordWrap/>
              <w:overflowPunct/>
              <w:topLinePunct w:val="0"/>
              <w:bidi w:val="0"/>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昼夜各一次，2天</w:t>
            </w:r>
          </w:p>
        </w:tc>
      </w:tr>
    </w:tbl>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textAlignment w:val="auto"/>
        <w:rPr>
          <w:rFonts w:hint="eastAsia"/>
          <w:color w:val="auto"/>
          <w:highlight w:val="none"/>
          <w:lang w:val="en-US" w:eastAsia="zh-CN"/>
        </w:rPr>
      </w:pPr>
      <w:bookmarkStart w:id="92" w:name="_Toc18682"/>
      <w:r>
        <w:rPr>
          <w:rFonts w:hint="eastAsia"/>
          <w:color w:val="auto"/>
          <w:highlight w:val="none"/>
          <w:lang w:val="en-US" w:eastAsia="zh-CN"/>
        </w:rPr>
        <w:t>7.4地下水和土壤监测内容</w:t>
      </w:r>
      <w:bookmarkEnd w:id="92"/>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outlineLvl w:val="9"/>
        <w:rPr>
          <w:rFonts w:hint="eastAsia" w:ascii="Times New Roman" w:hAnsi="Times New Roman" w:eastAsia="宋体" w:cs="Times New Roman"/>
          <w:b/>
          <w:color w:val="auto"/>
          <w:kern w:val="0"/>
          <w:sz w:val="30"/>
          <w:szCs w:val="20"/>
          <w:highlight w:val="none"/>
          <w:lang w:val="en-US" w:eastAsia="zh-CN" w:bidi="ar-SA"/>
        </w:rPr>
      </w:pPr>
      <w:r>
        <w:rPr>
          <w:rFonts w:hint="eastAsia" w:ascii="黑体" w:hAnsi="黑体" w:eastAsia="黑体" w:cs="黑体"/>
          <w:b w:val="0"/>
          <w:bCs/>
          <w:color w:val="000000"/>
          <w:sz w:val="21"/>
          <w:szCs w:val="21"/>
          <w:highlight w:val="none"/>
        </w:rPr>
        <w:t>表</w:t>
      </w:r>
      <w:r>
        <w:rPr>
          <w:rFonts w:hint="eastAsia" w:ascii="黑体" w:hAnsi="黑体" w:eastAsia="黑体" w:cs="黑体"/>
          <w:b w:val="0"/>
          <w:bCs/>
          <w:color w:val="000000"/>
          <w:sz w:val="21"/>
          <w:szCs w:val="21"/>
          <w:highlight w:val="none"/>
          <w:lang w:val="en-US" w:eastAsia="zh-CN"/>
        </w:rPr>
        <w:t>7-6</w:t>
      </w:r>
      <w:r>
        <w:rPr>
          <w:rFonts w:hint="eastAsia" w:ascii="黑体" w:hAnsi="黑体" w:eastAsia="黑体" w:cs="黑体"/>
          <w:b w:val="0"/>
          <w:bCs/>
          <w:color w:val="auto"/>
          <w:sz w:val="21"/>
          <w:szCs w:val="21"/>
          <w:highlight w:val="none"/>
          <w:lang w:val="en-US" w:eastAsia="zh-CN"/>
        </w:rPr>
        <w:t>地下水和土壤监测点位及监测内容</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6"/>
        <w:gridCol w:w="1224"/>
        <w:gridCol w:w="3953"/>
        <w:gridCol w:w="1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监测点位</w:t>
            </w:r>
          </w:p>
        </w:tc>
        <w:tc>
          <w:tcPr>
            <w:tcW w:w="71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检测类型</w:t>
            </w:r>
          </w:p>
        </w:tc>
        <w:tc>
          <w:tcPr>
            <w:tcW w:w="2319"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监测因子</w:t>
            </w:r>
          </w:p>
        </w:tc>
        <w:tc>
          <w:tcPr>
            <w:tcW w:w="1012"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eastAsia="宋体" w:cs="Times New Roman"/>
                <w:sz w:val="21"/>
                <w:szCs w:val="21"/>
                <w:lang w:val="en-US"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地下水监测点1#、2#、3#</w:t>
            </w:r>
          </w:p>
        </w:tc>
        <w:tc>
          <w:tcPr>
            <w:tcW w:w="71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sz w:val="21"/>
                <w:szCs w:val="21"/>
                <w:lang w:val="en-US" w:eastAsia="zh-CN"/>
              </w:rPr>
              <w:t>地下水</w:t>
            </w:r>
          </w:p>
        </w:tc>
        <w:tc>
          <w:tcPr>
            <w:tcW w:w="2319"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GB/T14848-2017中表1</w:t>
            </w:r>
            <w:r>
              <w:rPr>
                <w:rFonts w:hint="eastAsia" w:cs="Times New Roman"/>
                <w:sz w:val="21"/>
                <w:szCs w:val="21"/>
                <w:lang w:val="en-US" w:eastAsia="zh-CN"/>
              </w:rPr>
              <w:t>内</w:t>
            </w:r>
            <w:r>
              <w:rPr>
                <w:rFonts w:hint="eastAsia" w:ascii="Times New Roman" w:hAnsi="Times New Roman" w:cs="Times New Roman"/>
                <w:sz w:val="21"/>
                <w:szCs w:val="21"/>
                <w:lang w:val="en-US" w:eastAsia="zh-CN"/>
              </w:rPr>
              <w:t>3</w:t>
            </w:r>
            <w:r>
              <w:rPr>
                <w:rFonts w:hint="eastAsia" w:cs="Times New Roman"/>
                <w:sz w:val="21"/>
                <w:szCs w:val="21"/>
                <w:lang w:val="en-US" w:eastAsia="zh-CN"/>
              </w:rPr>
              <w:t>3</w:t>
            </w:r>
            <w:r>
              <w:rPr>
                <w:rFonts w:hint="eastAsia" w:ascii="Times New Roman" w:hAnsi="Times New Roman" w:cs="Times New Roman"/>
                <w:sz w:val="21"/>
                <w:szCs w:val="21"/>
                <w:lang w:val="en-US" w:eastAsia="zh-CN"/>
              </w:rPr>
              <w:t>项（放射性</w:t>
            </w:r>
            <w:r>
              <w:rPr>
                <w:rFonts w:hint="eastAsia" w:cs="Times New Roman"/>
                <w:sz w:val="21"/>
                <w:szCs w:val="21"/>
                <w:lang w:val="en-US" w:eastAsia="zh-CN"/>
              </w:rPr>
              <w:t>、菌类</w:t>
            </w:r>
            <w:r>
              <w:rPr>
                <w:rFonts w:hint="eastAsia" w:ascii="Times New Roman" w:hAnsi="Times New Roman" w:cs="Times New Roman"/>
                <w:sz w:val="21"/>
                <w:szCs w:val="21"/>
                <w:lang w:val="en-US" w:eastAsia="zh-CN"/>
              </w:rPr>
              <w:t>除外）</w:t>
            </w:r>
          </w:p>
        </w:tc>
        <w:tc>
          <w:tcPr>
            <w:tcW w:w="1012"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1次/天，1天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4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土壤监测点1#、2#、3#</w:t>
            </w:r>
          </w:p>
        </w:tc>
        <w:tc>
          <w:tcPr>
            <w:tcW w:w="718"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土壤</w:t>
            </w:r>
          </w:p>
        </w:tc>
        <w:tc>
          <w:tcPr>
            <w:tcW w:w="2319"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val="en-US" w:eastAsia="zh-CN"/>
              </w:rPr>
            </w:pPr>
            <w:r>
              <w:rPr>
                <w:rFonts w:hint="eastAsia" w:ascii="Times New Roman" w:hAnsi="Times New Roman" w:cs="Times New Roman"/>
                <w:sz w:val="21"/>
                <w:szCs w:val="21"/>
                <w:lang w:val="en-US" w:eastAsia="zh-CN"/>
              </w:rPr>
              <w:t>GB36600-2018表1基本45项</w:t>
            </w:r>
          </w:p>
        </w:tc>
        <w:tc>
          <w:tcPr>
            <w:tcW w:w="1012"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ascii="Times New Roman" w:hAnsi="Times New Roman" w:cs="Times New Roman"/>
                <w:sz w:val="21"/>
                <w:szCs w:val="21"/>
              </w:rPr>
            </w:pPr>
            <w:r>
              <w:rPr>
                <w:rFonts w:hint="eastAsia" w:ascii="Times New Roman" w:hAnsi="Times New Roman" w:cs="Times New Roman"/>
                <w:sz w:val="21"/>
                <w:szCs w:val="21"/>
                <w:lang w:val="en-US" w:eastAsia="zh-CN"/>
              </w:rPr>
              <w:t>1次/天，1天</w:t>
            </w:r>
          </w:p>
        </w:tc>
      </w:tr>
    </w:tbl>
    <w:p>
      <w:pPr>
        <w:pStyle w:val="8"/>
        <w:keepNext w:val="0"/>
        <w:keepLines w:val="0"/>
        <w:pageBreakBefore w:val="0"/>
        <w:widowControl w:val="0"/>
        <w:kinsoku/>
        <w:wordWrap/>
        <w:overflowPunct/>
        <w:topLinePunct w:val="0"/>
        <w:autoSpaceDE/>
        <w:autoSpaceDN/>
        <w:bidi w:val="0"/>
        <w:adjustRightInd/>
        <w:snapToGrid/>
        <w:spacing w:after="0"/>
        <w:textAlignment w:val="auto"/>
        <w:outlineLvl w:val="9"/>
        <w:rPr>
          <w:rStyle w:val="30"/>
          <w:rFonts w:hint="eastAsia"/>
          <w:b/>
          <w:color w:val="auto"/>
          <w:highlight w:val="red"/>
          <w:lang w:val="en-US" w:eastAsia="zh-CN"/>
        </w:rPr>
      </w:pPr>
    </w:p>
    <w:p>
      <w:pPr>
        <w:pStyle w:val="8"/>
        <w:keepNext w:val="0"/>
        <w:keepLines w:val="0"/>
        <w:pageBreakBefore w:val="0"/>
        <w:widowControl w:val="0"/>
        <w:kinsoku/>
        <w:wordWrap/>
        <w:overflowPunct/>
        <w:topLinePunct w:val="0"/>
        <w:autoSpaceDE/>
        <w:autoSpaceDN/>
        <w:bidi w:val="0"/>
        <w:adjustRightInd/>
        <w:snapToGrid/>
        <w:spacing w:after="0"/>
        <w:textAlignment w:val="auto"/>
        <w:outlineLvl w:val="9"/>
        <w:rPr>
          <w:rStyle w:val="30"/>
          <w:rFonts w:hint="eastAsia"/>
          <w:b/>
          <w:color w:val="auto"/>
          <w:highlight w:val="red"/>
          <w:lang w:val="en-US" w:eastAsia="zh-CN"/>
        </w:rPr>
      </w:pPr>
    </w:p>
    <w:p>
      <w:pPr>
        <w:pStyle w:val="8"/>
        <w:keepNext w:val="0"/>
        <w:keepLines w:val="0"/>
        <w:pageBreakBefore w:val="0"/>
        <w:widowControl w:val="0"/>
        <w:kinsoku/>
        <w:wordWrap/>
        <w:overflowPunct/>
        <w:topLinePunct w:val="0"/>
        <w:autoSpaceDE/>
        <w:autoSpaceDN/>
        <w:bidi w:val="0"/>
        <w:adjustRightInd/>
        <w:snapToGrid/>
        <w:spacing w:after="0"/>
        <w:textAlignment w:val="auto"/>
        <w:outlineLvl w:val="9"/>
        <w:rPr>
          <w:rStyle w:val="30"/>
          <w:rFonts w:hint="eastAsia"/>
          <w:b/>
          <w:color w:val="auto"/>
          <w:highlight w:val="red"/>
          <w:lang w:val="en-US" w:eastAsia="zh-CN"/>
        </w:rPr>
      </w:pPr>
      <w:r>
        <w:rPr>
          <w:rStyle w:val="30"/>
          <w:rFonts w:hint="eastAsia"/>
          <w:b/>
          <w:color w:val="auto"/>
          <w:highlight w:val="red"/>
          <w:lang w:val="en-US" w:eastAsia="zh-CN"/>
        </w:rPr>
        <w:br w:type="page"/>
      </w:r>
    </w:p>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default" w:ascii="Times New Roman" w:hAnsi="Times New Roman" w:eastAsia="宋体" w:cs="Times New Roman"/>
          <w:color w:val="auto"/>
          <w:sz w:val="36"/>
          <w:szCs w:val="36"/>
          <w:highlight w:val="none"/>
          <w:lang w:val="en-US" w:eastAsia="zh-CN"/>
        </w:rPr>
      </w:pPr>
      <w:bookmarkStart w:id="93" w:name="_Toc6545"/>
      <w:r>
        <w:rPr>
          <w:rFonts w:hint="eastAsia" w:cs="Times New Roman"/>
          <w:color w:val="auto"/>
          <w:sz w:val="36"/>
          <w:szCs w:val="36"/>
          <w:highlight w:val="none"/>
          <w:lang w:val="en-US" w:eastAsia="zh-CN"/>
        </w:rPr>
        <w:t>八</w:t>
      </w:r>
      <w:r>
        <w:rPr>
          <w:rFonts w:hint="eastAsia" w:ascii="Times New Roman" w:hAnsi="Times New Roman" w:eastAsia="宋体" w:cs="Times New Roman"/>
          <w:color w:val="auto"/>
          <w:sz w:val="36"/>
          <w:szCs w:val="36"/>
          <w:highlight w:val="none"/>
          <w:lang w:val="en-US" w:eastAsia="zh-CN"/>
        </w:rPr>
        <w:t>、</w:t>
      </w:r>
      <w:r>
        <w:rPr>
          <w:rFonts w:hint="default" w:ascii="Times New Roman" w:hAnsi="Times New Roman" w:eastAsia="宋体" w:cs="Times New Roman"/>
          <w:color w:val="auto"/>
          <w:sz w:val="36"/>
          <w:szCs w:val="36"/>
          <w:highlight w:val="none"/>
          <w:lang w:val="en-US" w:eastAsia="zh-CN"/>
        </w:rPr>
        <w:t>监测分析方法及质量保证措施</w:t>
      </w:r>
      <w:bookmarkEnd w:id="93"/>
    </w:p>
    <w:p>
      <w:pPr>
        <w:pStyle w:val="4"/>
        <w:keepNext/>
        <w:keepLines w:val="0"/>
        <w:pageBreakBefore w:val="0"/>
        <w:widowControl w:val="0"/>
        <w:tabs>
          <w:tab w:val="left" w:pos="561"/>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highlight w:val="none"/>
          <w:lang w:val="en-US" w:eastAsia="zh-CN"/>
        </w:rPr>
      </w:pPr>
      <w:bookmarkStart w:id="94" w:name="_Toc4693"/>
      <w:bookmarkStart w:id="95" w:name="_Toc346"/>
      <w:r>
        <w:rPr>
          <w:rFonts w:hint="eastAsia" w:cs="Times New Roman"/>
          <w:color w:val="auto"/>
          <w:highlight w:val="none"/>
          <w:lang w:val="en-US" w:eastAsia="zh-CN"/>
        </w:rPr>
        <w:t>8</w:t>
      </w:r>
      <w:r>
        <w:rPr>
          <w:rFonts w:hint="default" w:ascii="Times New Roman" w:hAnsi="Times New Roman" w:cs="Times New Roman"/>
          <w:color w:val="auto"/>
          <w:highlight w:val="none"/>
          <w:lang w:val="en-US" w:eastAsia="zh-CN"/>
        </w:rPr>
        <w:t>.1验收监测质量保证和质量控制措施</w:t>
      </w:r>
      <w:bookmarkEnd w:id="94"/>
      <w:bookmarkEnd w:id="9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1、及时了解生产工况，保证监测过程中工况负荷满足验收监测要求；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2、合理布置监测点位，保证点位布设的科学性和合理性；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3、监测分析方法采用国家标准分析方法，监测人员持证上岗；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4、现场采样和测试前，空气采样器要进行流量校准，声级计需用声级计校准器进行校准；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color w:val="000000"/>
          <w:sz w:val="24"/>
          <w:highlight w:val="none"/>
        </w:rPr>
      </w:pPr>
      <w:r>
        <w:rPr>
          <w:rFonts w:hint="default" w:ascii="Times New Roman" w:hAnsi="Times New Roman" w:cs="Times New Roman"/>
          <w:color w:val="000000"/>
          <w:sz w:val="24"/>
          <w:highlight w:val="none"/>
        </w:rPr>
        <w:t>5、样品采集、运输、保存严格按照国家规定的技术要求实施；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color w:val="000000"/>
          <w:kern w:val="2"/>
          <w:sz w:val="24"/>
          <w:szCs w:val="24"/>
          <w:highlight w:val="none"/>
          <w:lang w:val="en-US" w:eastAsia="zh-CN" w:bidi="ar-SA"/>
        </w:rPr>
      </w:pPr>
      <w:r>
        <w:rPr>
          <w:rFonts w:hint="default" w:ascii="Times New Roman" w:hAnsi="Times New Roman" w:eastAsia="宋体" w:cs="Times New Roman"/>
          <w:b w:val="0"/>
          <w:color w:val="000000"/>
          <w:kern w:val="2"/>
          <w:sz w:val="24"/>
          <w:szCs w:val="24"/>
          <w:highlight w:val="none"/>
          <w:lang w:val="en-US" w:eastAsia="zh-CN" w:bidi="ar-SA"/>
        </w:rPr>
        <w:t>6、监测数据及验收监测报告</w:t>
      </w:r>
      <w:r>
        <w:rPr>
          <w:rFonts w:hint="eastAsia" w:ascii="Times New Roman" w:hAnsi="Times New Roman" w:cs="Times New Roman"/>
          <w:b w:val="0"/>
          <w:color w:val="000000"/>
          <w:kern w:val="2"/>
          <w:sz w:val="24"/>
          <w:szCs w:val="24"/>
          <w:highlight w:val="none"/>
          <w:lang w:val="en-US" w:eastAsia="zh-CN" w:bidi="ar-SA"/>
        </w:rPr>
        <w:t>第三方机构</w:t>
      </w:r>
      <w:r>
        <w:rPr>
          <w:rFonts w:hint="default" w:ascii="Times New Roman" w:hAnsi="Times New Roman" w:eastAsia="宋体" w:cs="Times New Roman"/>
          <w:b w:val="0"/>
          <w:color w:val="000000"/>
          <w:kern w:val="2"/>
          <w:sz w:val="24"/>
          <w:szCs w:val="24"/>
          <w:highlight w:val="none"/>
          <w:lang w:val="en-US" w:eastAsia="zh-CN" w:bidi="ar-SA"/>
        </w:rPr>
        <w:t>严格执行三级审核制度，经过校核、审核、审定后方可报出。</w:t>
      </w:r>
    </w:p>
    <w:p>
      <w:pPr>
        <w:pStyle w:val="4"/>
        <w:keepNext/>
        <w:keepLines w:val="0"/>
        <w:pageBreakBefore w:val="0"/>
        <w:widowControl w:val="0"/>
        <w:tabs>
          <w:tab w:val="left" w:pos="561"/>
        </w:tabs>
        <w:kinsoku/>
        <w:wordWrap/>
        <w:overflowPunct/>
        <w:topLinePunct w:val="0"/>
        <w:autoSpaceDE/>
        <w:autoSpaceDN/>
        <w:bidi w:val="0"/>
        <w:adjustRightInd/>
        <w:snapToGrid/>
        <w:ind w:firstLine="0" w:firstLineChars="0"/>
        <w:textAlignment w:val="auto"/>
        <w:rPr>
          <w:rFonts w:hint="default" w:ascii="Times New Roman" w:hAnsi="Times New Roman" w:cs="Times New Roman"/>
          <w:color w:val="auto"/>
          <w:highlight w:val="none"/>
          <w:lang w:val="en-US" w:eastAsia="zh-CN"/>
        </w:rPr>
      </w:pPr>
      <w:bookmarkStart w:id="96" w:name="_Toc30078"/>
      <w:bookmarkStart w:id="97" w:name="_Toc24111"/>
      <w:r>
        <w:rPr>
          <w:rFonts w:hint="eastAsia" w:cs="Times New Roman"/>
          <w:color w:val="auto"/>
          <w:highlight w:val="none"/>
          <w:lang w:val="en-US" w:eastAsia="zh-CN"/>
        </w:rPr>
        <w:t>8</w:t>
      </w:r>
      <w:r>
        <w:rPr>
          <w:rFonts w:hint="default" w:ascii="Times New Roman" w:hAnsi="Times New Roman" w:cs="Times New Roman"/>
          <w:color w:val="auto"/>
          <w:highlight w:val="none"/>
          <w:lang w:val="en-US" w:eastAsia="zh-CN"/>
        </w:rPr>
        <w:t>.2监测分析方法</w:t>
      </w:r>
      <w:bookmarkEnd w:id="96"/>
      <w:bookmarkEnd w:id="97"/>
    </w:p>
    <w:p>
      <w:pPr>
        <w:pStyle w:val="8"/>
        <w:keepNext w:val="0"/>
        <w:keepLines w:val="0"/>
        <w:pageBreakBefore w:val="0"/>
        <w:widowControl w:val="0"/>
        <w:numPr>
          <w:ilvl w:val="0"/>
          <w:numId w:val="0"/>
        </w:numPr>
        <w:kinsoku/>
        <w:wordWrap/>
        <w:overflowPunct/>
        <w:topLinePunct w:val="0"/>
        <w:autoSpaceDE/>
        <w:autoSpaceDN/>
        <w:bidi w:val="0"/>
        <w:adjustRightInd/>
        <w:snapToGrid/>
        <w:spacing w:after="0"/>
        <w:ind w:firstLine="0" w:firstLineChars="0"/>
        <w:jc w:val="both"/>
        <w:textAlignment w:val="auto"/>
        <w:outlineLvl w:val="9"/>
        <w:rPr>
          <w:rFonts w:hint="default"/>
          <w:color w:val="auto"/>
          <w:sz w:val="24"/>
          <w:szCs w:val="24"/>
          <w:highlight w:val="red"/>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color w:val="auto"/>
          <w:sz w:val="24"/>
          <w:szCs w:val="24"/>
          <w:highlight w:val="none"/>
        </w:rPr>
        <w:t>监测分析方法及其仪器如表</w:t>
      </w:r>
      <w:r>
        <w:rPr>
          <w:rFonts w:hint="eastAsia"/>
          <w:color w:val="auto"/>
          <w:sz w:val="24"/>
          <w:szCs w:val="24"/>
          <w:highlight w:val="none"/>
          <w:lang w:val="en-US" w:eastAsia="zh-CN"/>
        </w:rPr>
        <w:t>8-1</w:t>
      </w:r>
      <w:r>
        <w:rPr>
          <w:rFonts w:hint="default"/>
          <w:color w:val="auto"/>
          <w:sz w:val="24"/>
          <w:szCs w:val="24"/>
          <w:highlight w:val="none"/>
        </w:rPr>
        <w:t>所示。</w:t>
      </w:r>
    </w:p>
    <w:p>
      <w:pPr>
        <w:pStyle w:val="8"/>
        <w:keepNext w:val="0"/>
        <w:keepLines w:val="0"/>
        <w:pageBreakBefore w:val="0"/>
        <w:widowControl w:val="0"/>
        <w:kinsoku/>
        <w:wordWrap/>
        <w:overflowPunct/>
        <w:topLinePunct w:val="0"/>
        <w:autoSpaceDE/>
        <w:autoSpaceDN/>
        <w:bidi w:val="0"/>
        <w:adjustRightInd/>
        <w:snapToGrid/>
        <w:spacing w:after="0" w:line="360" w:lineRule="auto"/>
        <w:ind w:firstLine="0" w:firstLineChars="0"/>
        <w:jc w:val="center"/>
        <w:textAlignment w:val="auto"/>
        <w:rPr>
          <w:rFonts w:hint="eastAsia" w:eastAsia="宋体"/>
          <w:color w:val="auto"/>
          <w:highlight w:val="red"/>
          <w:lang w:val="en-US" w:eastAsia="zh-CN"/>
        </w:rPr>
      </w:pPr>
      <w:r>
        <w:rPr>
          <w:rFonts w:hint="eastAsia" w:ascii="黑体" w:hAnsi="黑体" w:eastAsia="黑体" w:cs="黑体"/>
          <w:b w:val="0"/>
          <w:bCs w:val="0"/>
          <w:color w:val="auto"/>
          <w:sz w:val="21"/>
          <w:szCs w:val="21"/>
          <w:highlight w:val="none"/>
        </w:rPr>
        <w:t>表</w:t>
      </w:r>
      <w:r>
        <w:rPr>
          <w:rFonts w:hint="eastAsia" w:ascii="黑体" w:hAnsi="黑体" w:eastAsia="黑体" w:cs="黑体"/>
          <w:b w:val="0"/>
          <w:bCs w:val="0"/>
          <w:color w:val="auto"/>
          <w:sz w:val="21"/>
          <w:szCs w:val="21"/>
          <w:highlight w:val="none"/>
          <w:lang w:val="en-US" w:eastAsia="zh-CN"/>
        </w:rPr>
        <w:t>8</w:t>
      </w:r>
      <w:r>
        <w:rPr>
          <w:rFonts w:hint="eastAsia" w:ascii="黑体" w:hAnsi="黑体" w:eastAsia="黑体" w:cs="黑体"/>
          <w:b w:val="0"/>
          <w:bCs w:val="0"/>
          <w:color w:val="auto"/>
          <w:sz w:val="21"/>
          <w:szCs w:val="21"/>
          <w:highlight w:val="none"/>
        </w:rPr>
        <w:t>-</w:t>
      </w:r>
      <w:r>
        <w:rPr>
          <w:rFonts w:hint="eastAsia" w:ascii="黑体" w:hAnsi="黑体" w:eastAsia="黑体" w:cs="黑体"/>
          <w:b w:val="0"/>
          <w:bCs w:val="0"/>
          <w:color w:val="auto"/>
          <w:sz w:val="21"/>
          <w:szCs w:val="21"/>
          <w:highlight w:val="none"/>
          <w:lang w:val="en-US" w:eastAsia="zh-CN"/>
        </w:rPr>
        <w:t>1监测方法及仪器一览表</w:t>
      </w:r>
    </w:p>
    <w:tbl>
      <w:tblPr>
        <w:tblStyle w:val="24"/>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50"/>
        <w:gridCol w:w="1581"/>
        <w:gridCol w:w="3861"/>
        <w:gridCol w:w="1629"/>
        <w:gridCol w:w="2428"/>
        <w:gridCol w:w="1740"/>
        <w:gridCol w:w="1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tblHeader/>
          <w:jc w:val="center"/>
        </w:trPr>
        <w:tc>
          <w:tcPr>
            <w:tcW w:w="242"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序号</w:t>
            </w: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检测项目</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依据的标准（方法）名称及编号</w:t>
            </w: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检出限</w:t>
            </w:r>
          </w:p>
        </w:tc>
        <w:tc>
          <w:tcPr>
            <w:tcW w:w="903"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设备名称</w:t>
            </w:r>
          </w:p>
        </w:tc>
        <w:tc>
          <w:tcPr>
            <w:tcW w:w="64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设备编号</w:t>
            </w:r>
          </w:p>
        </w:tc>
        <w:tc>
          <w:tcPr>
            <w:tcW w:w="57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校准有效期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7"/>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left"/>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样品类别：水和废水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Cs/>
                <w:color w:val="auto"/>
                <w:sz w:val="21"/>
                <w:szCs w:val="21"/>
                <w:highlight w:val="none"/>
              </w:rPr>
              <w:t>p</w:t>
            </w:r>
            <w:r>
              <w:rPr>
                <w:rFonts w:hint="default" w:ascii="Times New Roman" w:hAnsi="Times New Roman" w:eastAsia="宋体" w:cs="Times New Roman"/>
                <w:color w:val="auto"/>
                <w:sz w:val="21"/>
                <w:szCs w:val="21"/>
                <w:highlight w:val="none"/>
              </w:rPr>
              <w:t>H</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《水质pH值的测定电极法》</w:t>
            </w:r>
          </w:p>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HJ1147-2020</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highlight w:val="none"/>
              </w:rPr>
              <w:t>便捷式水质多参数分析仪</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GH-YQ-W119</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2023.03.04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浑浊度</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rPr>
              <w:t>便携式浊度计法（B）《水和废水监测分析方法》（第四版）国家环境保护总局（2002年）</w:t>
            </w: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lang w:bidi="ar"/>
              </w:rPr>
              <w:t>1NTU</w:t>
            </w:r>
          </w:p>
        </w:tc>
        <w:tc>
          <w:tcPr>
            <w:tcW w:w="903"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便捷式浊度计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GH-YQ-W123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臭和味</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sz w:val="21"/>
                <w:szCs w:val="21"/>
              </w:rPr>
              <w:t>生活饮用水标准检验方法感官性状和物理指标</w:t>
            </w:r>
            <w:r>
              <w:rPr>
                <w:rFonts w:hint="default" w:ascii="Times New Roman" w:hAnsi="Times New Roman" w:eastAsia="宋体" w:cs="Times New Roman"/>
                <w:color w:val="auto"/>
                <w:kern w:val="2"/>
                <w:sz w:val="21"/>
                <w:szCs w:val="21"/>
                <w:vertAlign w:val="baseline"/>
                <w:lang w:val="en-US" w:eastAsia="zh-CN" w:bidi="ar-SA"/>
              </w:rPr>
              <w:t>》</w:t>
            </w:r>
            <w:r>
              <w:rPr>
                <w:rFonts w:hint="default" w:ascii="Times New Roman" w:hAnsi="Times New Roman" w:eastAsia="宋体" w:cs="Times New Roman"/>
                <w:color w:val="auto"/>
                <w:sz w:val="21"/>
                <w:szCs w:val="21"/>
              </w:rPr>
              <w:t>GB/T5750.4-2006</w:t>
            </w: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lang w:bidi="ar"/>
              </w:rPr>
              <w:t>/</w:t>
            </w: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color w:val="auto"/>
                <w:sz w:val="21"/>
                <w:szCs w:val="21"/>
                <w:lang w:val="en-US" w:eastAsia="zh-CN"/>
              </w:rPr>
              <w:t>肉眼可见物</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i w:val="0"/>
                <w:iCs w:val="0"/>
                <w:color w:val="auto"/>
                <w:kern w:val="2"/>
                <w:sz w:val="21"/>
                <w:szCs w:val="21"/>
                <w:highlight w:val="none"/>
                <w:u w:val="none"/>
                <w:lang w:val="en-US" w:eastAsia="zh-CN" w:bidi="ar-SA"/>
              </w:rPr>
            </w:pPr>
            <w:r>
              <w:rPr>
                <w:rFonts w:hint="default" w:ascii="Times New Roman" w:hAnsi="Times New Roman" w:eastAsia="宋体" w:cs="Times New Roman"/>
                <w:color w:val="auto"/>
                <w:sz w:val="21"/>
                <w:szCs w:val="21"/>
              </w:rPr>
              <w:t>《生活饮用水标准检验方法感官性状和物理指标》GB/T5750.4-2006</w:t>
            </w: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lang w:bidi="ar"/>
              </w:rPr>
              <w:t>/</w:t>
            </w: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rPr>
              <w:t>/</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rPr>
              <w:t>/</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化学需氧量</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水质化学需氧量的测定重铬酸盐法</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HJ828-2017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4mg/L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COD消解器</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GH-YQ-N203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氨氮</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水质氨氮的测定纳氏试剂分光光度法</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HJ535-2009</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0.025mg/L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可见分光光度计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GH-YQ-N22</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五日生化需氧量</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水质五日生化需氧量（BOD</w:t>
            </w:r>
            <w:r>
              <w:rPr>
                <w:rFonts w:hint="default" w:ascii="Times New Roman" w:hAnsi="Times New Roman" w:eastAsia="宋体" w:cs="Times New Roman"/>
                <w:bCs/>
                <w:color w:val="auto"/>
                <w:sz w:val="21"/>
                <w:szCs w:val="21"/>
                <w:highlight w:val="none"/>
                <w:vertAlign w:val="subscript"/>
              </w:rPr>
              <w:t>5</w:t>
            </w:r>
            <w:r>
              <w:rPr>
                <w:rFonts w:hint="default" w:ascii="Times New Roman" w:hAnsi="Times New Roman" w:eastAsia="宋体" w:cs="Times New Roman"/>
                <w:bCs/>
                <w:color w:val="auto"/>
                <w:sz w:val="21"/>
                <w:szCs w:val="21"/>
                <w:highlight w:val="none"/>
              </w:rPr>
              <w:t>）的测定稀释与接种法</w:t>
            </w:r>
            <w:r>
              <w:rPr>
                <w:rFonts w:hint="default" w:ascii="Times New Roman" w:hAnsi="Times New Roman" w:eastAsia="宋体" w:cs="Times New Roman"/>
                <w:bCs/>
                <w:color w:val="auto"/>
                <w:sz w:val="21"/>
                <w:szCs w:val="21"/>
                <w:highlight w:val="none"/>
                <w:lang w:eastAsia="zh-CN"/>
              </w:rPr>
              <w:t>》</w:t>
            </w:r>
            <w:r>
              <w:rPr>
                <w:rFonts w:hint="default" w:ascii="Times New Roman" w:hAnsi="Times New Roman" w:eastAsia="宋体" w:cs="Times New Roman"/>
                <w:bCs/>
                <w:color w:val="auto"/>
                <w:sz w:val="21"/>
                <w:szCs w:val="21"/>
                <w:highlight w:val="none"/>
              </w:rPr>
              <w:t>HJ505-2009</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0.5mg/L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highlight w:val="none"/>
              </w:rPr>
              <w:t>生化培养箱</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GH-YQ-N11</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restar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lang w:val="en-US" w:eastAsia="zh-CN" w:bidi="ar-SA"/>
              </w:rPr>
              <w:t>悬浮物</w:t>
            </w:r>
          </w:p>
        </w:tc>
        <w:tc>
          <w:tcPr>
            <w:tcW w:w="1436" w:type="pct"/>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sz w:val="21"/>
                <w:szCs w:val="21"/>
                <w:highlight w:val="none"/>
                <w:shd w:val="clear" w:color="auto" w:fill="FFFFFF"/>
              </w:rPr>
            </w:pPr>
            <w:r>
              <w:rPr>
                <w:rFonts w:hint="default" w:ascii="Times New Roman" w:hAnsi="Times New Roman" w:eastAsia="宋体" w:cs="Times New Roman"/>
                <w:color w:val="auto"/>
                <w:sz w:val="21"/>
                <w:szCs w:val="21"/>
                <w:highlight w:val="none"/>
                <w:shd w:val="clear" w:color="auto" w:fill="FFFFFF"/>
              </w:rPr>
              <w:t>《水质悬浮物的测定重量法》</w:t>
            </w:r>
          </w:p>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shd w:val="clear" w:color="auto" w:fill="FFFFFF"/>
              </w:rPr>
              <w:t>GB/T11901-1989</w:t>
            </w:r>
          </w:p>
        </w:tc>
        <w:tc>
          <w:tcPr>
            <w:tcW w:w="60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rPr>
              <w:t>/</w:t>
            </w:r>
          </w:p>
        </w:tc>
        <w:tc>
          <w:tcPr>
            <w:tcW w:w="903"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电热鼓风干燥箱</w:t>
            </w:r>
          </w:p>
        </w:tc>
        <w:tc>
          <w:tcPr>
            <w:tcW w:w="647"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GH-YQ-N</w:t>
            </w:r>
            <w:r>
              <w:rPr>
                <w:rFonts w:hint="default" w:ascii="Times New Roman" w:hAnsi="Times New Roman" w:eastAsia="宋体" w:cs="Times New Roman"/>
                <w:color w:val="auto"/>
                <w:sz w:val="21"/>
                <w:szCs w:val="21"/>
                <w:highlight w:val="none"/>
                <w:lang w:val="en-US" w:eastAsia="zh-CN"/>
              </w:rPr>
              <w:t>16</w:t>
            </w:r>
          </w:p>
        </w:tc>
        <w:tc>
          <w:tcPr>
            <w:tcW w:w="57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903"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电子天平</w:t>
            </w:r>
          </w:p>
        </w:tc>
        <w:tc>
          <w:tcPr>
            <w:tcW w:w="647"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GH-YQ-N</w:t>
            </w:r>
            <w:r>
              <w:rPr>
                <w:rFonts w:hint="default" w:ascii="Times New Roman" w:hAnsi="Times New Roman" w:eastAsia="宋体" w:cs="Times New Roman"/>
                <w:color w:val="auto"/>
                <w:sz w:val="21"/>
                <w:szCs w:val="21"/>
                <w:highlight w:val="none"/>
                <w:lang w:val="en-US" w:eastAsia="zh-CN"/>
              </w:rPr>
              <w:t>347</w:t>
            </w:r>
          </w:p>
        </w:tc>
        <w:tc>
          <w:tcPr>
            <w:tcW w:w="57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2023.07.31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lang w:val="en-US" w:eastAsia="zh-CN" w:bidi="ar-SA"/>
              </w:rPr>
              <w:t>阴离子表面活性剂</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lang w:val="en-US" w:eastAsia="zh-CN" w:bidi="ar-SA"/>
              </w:rPr>
              <w:t>《水质阴离子表面活性剂的测定流动注射-亚甲基蓝分光光度法》HJ826-2017</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color w:val="auto"/>
                <w:kern w:val="2"/>
                <w:sz w:val="21"/>
                <w:szCs w:val="21"/>
                <w:u w:val="none"/>
                <w:lang w:val="en-US" w:eastAsia="zh-CN" w:bidi="ar-SA"/>
              </w:rPr>
              <w:t>0.04</w:t>
            </w:r>
            <w:r>
              <w:rPr>
                <w:rFonts w:hint="default" w:ascii="Times New Roman" w:hAnsi="Times New Roman" w:eastAsia="宋体" w:cs="Times New Roman"/>
                <w:bCs/>
                <w:color w:val="auto"/>
                <w:sz w:val="21"/>
                <w:szCs w:val="21"/>
                <w:highlight w:val="none"/>
              </w:rPr>
              <w:t>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全自动流动注射分析仪（阴离子表面活性剂分析通道）</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GH-YQ-N185</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溶解性总固体</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生活饮用水标准检验方法感官性状和物理指标</w:t>
            </w:r>
            <w:r>
              <w:rPr>
                <w:rFonts w:hint="default" w:ascii="Times New Roman" w:hAnsi="Times New Roman" w:eastAsia="宋体" w:cs="Times New Roman"/>
                <w:bCs/>
                <w:color w:val="auto"/>
                <w:sz w:val="21"/>
                <w:szCs w:val="21"/>
                <w:lang w:val="en-US" w:eastAsia="zh-CN"/>
              </w:rPr>
              <w:t>称量法》</w:t>
            </w:r>
            <w:r>
              <w:rPr>
                <w:rFonts w:hint="default" w:ascii="Times New Roman" w:hAnsi="Times New Roman" w:eastAsia="宋体" w:cs="Times New Roman"/>
                <w:color w:val="auto"/>
                <w:sz w:val="21"/>
                <w:szCs w:val="21"/>
                <w:shd w:val="clear" w:color="auto" w:fill="FFFFFF"/>
              </w:rPr>
              <w:t>GB/T5750.4-2006</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Cs/>
                <w:color w:val="auto"/>
                <w:sz w:val="21"/>
                <w:szCs w:val="21"/>
                <w:highlight w:val="none"/>
                <w:lang w:val="en-US" w:eastAsia="zh-CN"/>
              </w:rPr>
              <w:t>/</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电子天平</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GH-YQ-N05</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lang w:val="en-US" w:eastAsia="zh-CN" w:bidi="ar-SA"/>
              </w:rPr>
              <w:t>氯离子</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eastAsia="zh-CN"/>
              </w:rPr>
              <w:t>《水质无机阴离子（F</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、Cl</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、NO</w:t>
            </w:r>
            <w:r>
              <w:rPr>
                <w:rFonts w:hint="default" w:ascii="Times New Roman" w:hAnsi="Times New Roman" w:eastAsia="宋体" w:cs="Times New Roman"/>
                <w:bCs/>
                <w:color w:val="auto"/>
                <w:sz w:val="21"/>
                <w:szCs w:val="21"/>
                <w:vertAlign w:val="subscript"/>
                <w:lang w:eastAsia="zh-CN"/>
              </w:rPr>
              <w:t>2</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、Br</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、NO</w:t>
            </w:r>
            <w:r>
              <w:rPr>
                <w:rFonts w:hint="default" w:ascii="Times New Roman" w:hAnsi="Times New Roman" w:eastAsia="宋体" w:cs="Times New Roman"/>
                <w:bCs/>
                <w:color w:val="auto"/>
                <w:sz w:val="21"/>
                <w:szCs w:val="21"/>
                <w:vertAlign w:val="subscript"/>
                <w:lang w:eastAsia="zh-CN"/>
              </w:rPr>
              <w:t>3</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、PO</w:t>
            </w:r>
            <w:r>
              <w:rPr>
                <w:rFonts w:hint="default" w:ascii="Times New Roman" w:hAnsi="Times New Roman" w:eastAsia="宋体" w:cs="Times New Roman"/>
                <w:bCs/>
                <w:color w:val="auto"/>
                <w:sz w:val="21"/>
                <w:szCs w:val="21"/>
                <w:vertAlign w:val="subscript"/>
                <w:lang w:eastAsia="zh-CN"/>
              </w:rPr>
              <w:t>4</w:t>
            </w:r>
            <w:r>
              <w:rPr>
                <w:rFonts w:hint="default" w:ascii="Times New Roman" w:hAnsi="Times New Roman" w:eastAsia="宋体" w:cs="Times New Roman"/>
                <w:bCs/>
                <w:color w:val="auto"/>
                <w:sz w:val="21"/>
                <w:szCs w:val="21"/>
                <w:vertAlign w:val="superscript"/>
                <w:lang w:eastAsia="zh-CN"/>
              </w:rPr>
              <w:t>3-</w:t>
            </w:r>
            <w:r>
              <w:rPr>
                <w:rFonts w:hint="default" w:ascii="Times New Roman" w:hAnsi="Times New Roman" w:eastAsia="宋体" w:cs="Times New Roman"/>
                <w:bCs/>
                <w:color w:val="auto"/>
                <w:sz w:val="21"/>
                <w:szCs w:val="21"/>
                <w:lang w:eastAsia="zh-CN"/>
              </w:rPr>
              <w:t>、SO</w:t>
            </w:r>
            <w:r>
              <w:rPr>
                <w:rFonts w:hint="default" w:ascii="Times New Roman" w:hAnsi="Times New Roman" w:eastAsia="宋体" w:cs="Times New Roman"/>
                <w:bCs/>
                <w:color w:val="auto"/>
                <w:sz w:val="21"/>
                <w:szCs w:val="21"/>
                <w:vertAlign w:val="subscript"/>
                <w:lang w:eastAsia="zh-CN"/>
              </w:rPr>
              <w:t>3</w:t>
            </w:r>
            <w:r>
              <w:rPr>
                <w:rFonts w:hint="default" w:ascii="Times New Roman" w:hAnsi="Times New Roman" w:eastAsia="宋体" w:cs="Times New Roman"/>
                <w:bCs/>
                <w:color w:val="auto"/>
                <w:sz w:val="21"/>
                <w:szCs w:val="21"/>
                <w:vertAlign w:val="superscript"/>
                <w:lang w:eastAsia="zh-CN"/>
              </w:rPr>
              <w:t>2-</w:t>
            </w:r>
            <w:r>
              <w:rPr>
                <w:rFonts w:hint="default" w:ascii="Times New Roman" w:hAnsi="Times New Roman" w:eastAsia="宋体" w:cs="Times New Roman"/>
                <w:bCs/>
                <w:color w:val="auto"/>
                <w:sz w:val="21"/>
                <w:szCs w:val="21"/>
                <w:lang w:eastAsia="zh-CN"/>
              </w:rPr>
              <w:t>、SO</w:t>
            </w:r>
            <w:r>
              <w:rPr>
                <w:rFonts w:hint="default" w:ascii="Times New Roman" w:hAnsi="Times New Roman" w:eastAsia="宋体" w:cs="Times New Roman"/>
                <w:bCs/>
                <w:color w:val="auto"/>
                <w:sz w:val="21"/>
                <w:szCs w:val="21"/>
                <w:vertAlign w:val="subscript"/>
                <w:lang w:eastAsia="zh-CN"/>
              </w:rPr>
              <w:t>4</w:t>
            </w:r>
            <w:r>
              <w:rPr>
                <w:rFonts w:hint="default" w:ascii="Times New Roman" w:hAnsi="Times New Roman" w:eastAsia="宋体" w:cs="Times New Roman"/>
                <w:bCs/>
                <w:color w:val="auto"/>
                <w:sz w:val="21"/>
                <w:szCs w:val="21"/>
                <w:vertAlign w:val="superscript"/>
                <w:lang w:eastAsia="zh-CN"/>
              </w:rPr>
              <w:t>2-</w:t>
            </w:r>
            <w:r>
              <w:rPr>
                <w:rFonts w:hint="default" w:ascii="Times New Roman" w:hAnsi="Times New Roman" w:eastAsia="宋体" w:cs="Times New Roman"/>
                <w:bCs/>
                <w:color w:val="auto"/>
                <w:sz w:val="21"/>
                <w:szCs w:val="21"/>
                <w:lang w:eastAsia="zh-CN"/>
              </w:rPr>
              <w:t>）的测定离子色谱法》HJ84-2016</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0.007mg/L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离子色谱仪</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GH-YQ-N26</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总硬度</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水质钙和镁总量的测定EDTA滴定法</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GB/T7477-1987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0.05mg/L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rPr>
            </w:pPr>
            <w:r>
              <w:rPr>
                <w:rFonts w:hint="default" w:ascii="Times New Roman" w:hAnsi="Times New Roman" w:eastAsia="宋体" w:cs="Times New Roman"/>
                <w:color w:val="auto"/>
                <w:sz w:val="21"/>
                <w:szCs w:val="21"/>
                <w:shd w:val="clear" w:color="auto" w:fill="FFFFFF"/>
                <w:lang w:val="en-US" w:eastAsia="zh-CN"/>
              </w:rPr>
              <w:t>/</w:t>
            </w:r>
          </w:p>
        </w:tc>
        <w:tc>
          <w:tcPr>
            <w:tcW w:w="647"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szCs w:val="21"/>
                <w:shd w:val="clear" w:color="auto" w:fill="FFFFFF"/>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vertAlign w:val="baseline"/>
                <w:lang w:val="en-US" w:eastAsia="zh-CN"/>
              </w:rPr>
              <w:t>硫酸盐</w:t>
            </w:r>
          </w:p>
        </w:tc>
        <w:tc>
          <w:tcPr>
            <w:tcW w:w="1436" w:type="pct"/>
            <w:vMerge w:val="restar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bCs/>
                <w:color w:val="auto"/>
                <w:sz w:val="21"/>
                <w:szCs w:val="21"/>
                <w:lang w:eastAsia="zh-CN"/>
              </w:rPr>
              <w:t>《水质无机阴离子（F</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、Cl</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、NO</w:t>
            </w:r>
            <w:r>
              <w:rPr>
                <w:rFonts w:hint="default" w:ascii="Times New Roman" w:hAnsi="Times New Roman" w:eastAsia="宋体" w:cs="Times New Roman"/>
                <w:bCs/>
                <w:color w:val="auto"/>
                <w:sz w:val="21"/>
                <w:szCs w:val="21"/>
                <w:vertAlign w:val="subscript"/>
                <w:lang w:eastAsia="zh-CN"/>
              </w:rPr>
              <w:t>2</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、Br</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、NO</w:t>
            </w:r>
            <w:r>
              <w:rPr>
                <w:rFonts w:hint="default" w:ascii="Times New Roman" w:hAnsi="Times New Roman" w:eastAsia="宋体" w:cs="Times New Roman"/>
                <w:bCs/>
                <w:color w:val="auto"/>
                <w:sz w:val="21"/>
                <w:szCs w:val="21"/>
                <w:vertAlign w:val="subscript"/>
                <w:lang w:eastAsia="zh-CN"/>
              </w:rPr>
              <w:t>3</w:t>
            </w:r>
            <w:r>
              <w:rPr>
                <w:rFonts w:hint="default" w:ascii="Times New Roman" w:hAnsi="Times New Roman" w:eastAsia="宋体" w:cs="Times New Roman"/>
                <w:bCs/>
                <w:color w:val="auto"/>
                <w:sz w:val="21"/>
                <w:szCs w:val="21"/>
                <w:vertAlign w:val="superscript"/>
                <w:lang w:eastAsia="zh-CN"/>
              </w:rPr>
              <w:t>-</w:t>
            </w:r>
            <w:r>
              <w:rPr>
                <w:rFonts w:hint="default" w:ascii="Times New Roman" w:hAnsi="Times New Roman" w:eastAsia="宋体" w:cs="Times New Roman"/>
                <w:bCs/>
                <w:color w:val="auto"/>
                <w:sz w:val="21"/>
                <w:szCs w:val="21"/>
                <w:lang w:eastAsia="zh-CN"/>
              </w:rPr>
              <w:t>、PO</w:t>
            </w:r>
            <w:r>
              <w:rPr>
                <w:rFonts w:hint="default" w:ascii="Times New Roman" w:hAnsi="Times New Roman" w:eastAsia="宋体" w:cs="Times New Roman"/>
                <w:bCs/>
                <w:color w:val="auto"/>
                <w:sz w:val="21"/>
                <w:szCs w:val="21"/>
                <w:vertAlign w:val="subscript"/>
                <w:lang w:eastAsia="zh-CN"/>
              </w:rPr>
              <w:t>4</w:t>
            </w:r>
            <w:r>
              <w:rPr>
                <w:rFonts w:hint="default" w:ascii="Times New Roman" w:hAnsi="Times New Roman" w:eastAsia="宋体" w:cs="Times New Roman"/>
                <w:bCs/>
                <w:color w:val="auto"/>
                <w:sz w:val="21"/>
                <w:szCs w:val="21"/>
                <w:vertAlign w:val="superscript"/>
                <w:lang w:eastAsia="zh-CN"/>
              </w:rPr>
              <w:t>3-</w:t>
            </w:r>
            <w:r>
              <w:rPr>
                <w:rFonts w:hint="default" w:ascii="Times New Roman" w:hAnsi="Times New Roman" w:eastAsia="宋体" w:cs="Times New Roman"/>
                <w:bCs/>
                <w:color w:val="auto"/>
                <w:sz w:val="21"/>
                <w:szCs w:val="21"/>
                <w:lang w:eastAsia="zh-CN"/>
              </w:rPr>
              <w:t>、SO</w:t>
            </w:r>
            <w:r>
              <w:rPr>
                <w:rFonts w:hint="default" w:ascii="Times New Roman" w:hAnsi="Times New Roman" w:eastAsia="宋体" w:cs="Times New Roman"/>
                <w:bCs/>
                <w:color w:val="auto"/>
                <w:sz w:val="21"/>
                <w:szCs w:val="21"/>
                <w:vertAlign w:val="subscript"/>
                <w:lang w:eastAsia="zh-CN"/>
              </w:rPr>
              <w:t>3</w:t>
            </w:r>
            <w:r>
              <w:rPr>
                <w:rFonts w:hint="default" w:ascii="Times New Roman" w:hAnsi="Times New Roman" w:eastAsia="宋体" w:cs="Times New Roman"/>
                <w:bCs/>
                <w:color w:val="auto"/>
                <w:sz w:val="21"/>
                <w:szCs w:val="21"/>
                <w:vertAlign w:val="superscript"/>
                <w:lang w:eastAsia="zh-CN"/>
              </w:rPr>
              <w:t>2-</w:t>
            </w:r>
            <w:r>
              <w:rPr>
                <w:rFonts w:hint="default" w:ascii="Times New Roman" w:hAnsi="Times New Roman" w:eastAsia="宋体" w:cs="Times New Roman"/>
                <w:bCs/>
                <w:color w:val="auto"/>
                <w:sz w:val="21"/>
                <w:szCs w:val="21"/>
                <w:lang w:eastAsia="zh-CN"/>
              </w:rPr>
              <w:t>、SO</w:t>
            </w:r>
            <w:r>
              <w:rPr>
                <w:rFonts w:hint="default" w:ascii="Times New Roman" w:hAnsi="Times New Roman" w:eastAsia="宋体" w:cs="Times New Roman"/>
                <w:bCs/>
                <w:color w:val="auto"/>
                <w:sz w:val="21"/>
                <w:szCs w:val="21"/>
                <w:vertAlign w:val="subscript"/>
                <w:lang w:eastAsia="zh-CN"/>
              </w:rPr>
              <w:t>4</w:t>
            </w:r>
            <w:r>
              <w:rPr>
                <w:rFonts w:hint="default" w:ascii="Times New Roman" w:hAnsi="Times New Roman" w:eastAsia="宋体" w:cs="Times New Roman"/>
                <w:bCs/>
                <w:color w:val="auto"/>
                <w:sz w:val="21"/>
                <w:szCs w:val="21"/>
                <w:vertAlign w:val="superscript"/>
                <w:lang w:eastAsia="zh-CN"/>
              </w:rPr>
              <w:t>2-</w:t>
            </w:r>
            <w:r>
              <w:rPr>
                <w:rFonts w:hint="default" w:ascii="Times New Roman" w:hAnsi="Times New Roman" w:eastAsia="宋体" w:cs="Times New Roman"/>
                <w:bCs/>
                <w:color w:val="auto"/>
                <w:sz w:val="21"/>
                <w:szCs w:val="21"/>
                <w:lang w:eastAsia="zh-CN"/>
              </w:rPr>
              <w:t>）的测定离子色谱法》HJ84-2016</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0.018mg/L</w:t>
            </w:r>
          </w:p>
        </w:tc>
        <w:tc>
          <w:tcPr>
            <w:tcW w:w="903"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离子色谱仪</w:t>
            </w:r>
          </w:p>
        </w:tc>
        <w:tc>
          <w:tcPr>
            <w:tcW w:w="647"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GH-YQ-N26</w:t>
            </w:r>
          </w:p>
        </w:tc>
        <w:tc>
          <w:tcPr>
            <w:tcW w:w="57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氟化物</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bCs/>
                <w:color w:val="auto"/>
                <w:sz w:val="21"/>
                <w:szCs w:val="21"/>
                <w:lang w:eastAsia="zh-CN"/>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0.006mg/L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sz w:val="21"/>
                <w:szCs w:val="21"/>
                <w:vertAlign w:val="baseline"/>
                <w:lang w:val="en-US" w:eastAsia="zh-CN"/>
              </w:rPr>
            </w:pP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《水质氟化物的测定离子选择电极法》GB/T7484-1987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0.05mg/L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pH计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GH-YQ-N99</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2022.10.25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铁</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《水质65种元素的测定电感耦合等离子体质谱法》HJ700-2014</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0.82μg/L</w:t>
            </w:r>
          </w:p>
        </w:tc>
        <w:tc>
          <w:tcPr>
            <w:tcW w:w="903"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电感耦合等离子体发射光谱仪</w:t>
            </w:r>
          </w:p>
        </w:tc>
        <w:tc>
          <w:tcPr>
            <w:tcW w:w="647" w:type="pct"/>
            <w:vMerge w:val="restar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GH-YQ-N176</w:t>
            </w:r>
          </w:p>
        </w:tc>
        <w:tc>
          <w:tcPr>
            <w:tcW w:w="57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锰</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0.12μg/L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铜</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0.08μg/L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锌</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0.67μg/L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kern w:val="2"/>
                <w:sz w:val="21"/>
                <w:szCs w:val="21"/>
                <w:lang w:val="en-US" w:eastAsia="zh-CN" w:bidi="ar-SA"/>
              </w:rPr>
              <w:t>铝</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1.15μg/L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镉</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0.05μg/L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shd w:val="clear" w:color="auto" w:fill="FFFFFF"/>
                <w:lang w:val="en-US" w:eastAsia="zh-CN"/>
              </w:rPr>
              <w:t>铅</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0.09μg/L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铅</w:t>
            </w:r>
          </w:p>
        </w:tc>
        <w:tc>
          <w:tcPr>
            <w:tcW w:w="143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lang w:eastAsia="zh-CN"/>
              </w:rPr>
              <w:t>《水质</w:t>
            </w:r>
            <w:r>
              <w:rPr>
                <w:rFonts w:hint="default" w:ascii="Times New Roman" w:hAnsi="Times New Roman" w:eastAsia="宋体" w:cs="Times New Roman"/>
                <w:bCs/>
                <w:color w:val="auto"/>
                <w:sz w:val="21"/>
                <w:szCs w:val="21"/>
                <w:lang w:val="en-US" w:eastAsia="zh-CN"/>
              </w:rPr>
              <w:t>铜、锌、铅、镉的</w:t>
            </w:r>
            <w:r>
              <w:rPr>
                <w:rFonts w:hint="default" w:ascii="Times New Roman" w:hAnsi="Times New Roman" w:eastAsia="宋体" w:cs="Times New Roman"/>
                <w:color w:val="auto"/>
                <w:sz w:val="21"/>
                <w:szCs w:val="21"/>
                <w:highlight w:val="none"/>
                <w:lang w:val="en-US" w:eastAsia="zh-CN"/>
              </w:rPr>
              <w:t>测定原子吸收分光光度法》GB/T7475-1987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vertAlign w:val="baseline"/>
                <w:lang w:val="en-US" w:eastAsia="zh-CN"/>
              </w:rPr>
              <w:t>0.01</w:t>
            </w:r>
            <w:r>
              <w:rPr>
                <w:rFonts w:hint="default" w:ascii="Times New Roman" w:hAnsi="Times New Roman" w:eastAsia="宋体" w:cs="Times New Roman"/>
                <w:color w:val="auto"/>
                <w:sz w:val="21"/>
                <w:szCs w:val="21"/>
                <w:highlight w:val="none"/>
                <w:lang w:val="en-US" w:eastAsia="zh-CN"/>
              </w:rPr>
              <w:t>mg/L</w:t>
            </w:r>
          </w:p>
        </w:tc>
        <w:tc>
          <w:tcPr>
            <w:tcW w:w="903"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auto"/>
                <w:kern w:val="2"/>
                <w:sz w:val="21"/>
                <w:szCs w:val="21"/>
                <w:shd w:val="clear" w:color="auto" w:fill="FFFFFF"/>
                <w:lang w:val="en-US" w:eastAsia="zh-CN" w:bidi="ar-SA"/>
              </w:rPr>
            </w:pPr>
            <w:r>
              <w:rPr>
                <w:rFonts w:hint="default" w:ascii="Times New Roman" w:hAnsi="Times New Roman" w:eastAsia="宋体" w:cs="Times New Roman"/>
                <w:color w:val="auto"/>
                <w:sz w:val="21"/>
                <w:szCs w:val="21"/>
                <w:lang w:val="en-US" w:eastAsia="zh-CN"/>
              </w:rPr>
              <w:t>原子吸收分光光度计</w:t>
            </w:r>
          </w:p>
        </w:tc>
        <w:tc>
          <w:tcPr>
            <w:tcW w:w="647" w:type="pct"/>
            <w:vMerge w:val="restar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GH-YQ-N01</w:t>
            </w:r>
          </w:p>
        </w:tc>
        <w:tc>
          <w:tcPr>
            <w:tcW w:w="57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lang w:val="en-US" w:eastAsia="zh-CN"/>
              </w:rPr>
              <w:t>镉</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0.001</w:t>
            </w:r>
            <w:r>
              <w:rPr>
                <w:rFonts w:hint="default" w:ascii="Times New Roman" w:hAnsi="Times New Roman" w:eastAsia="宋体" w:cs="Times New Roman"/>
                <w:color w:val="auto"/>
                <w:sz w:val="21"/>
                <w:szCs w:val="21"/>
                <w:highlight w:val="none"/>
                <w:lang w:val="en-US" w:eastAsia="zh-CN"/>
              </w:rPr>
              <w:t>mg/L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p>
        </w:tc>
        <w:tc>
          <w:tcPr>
            <w:tcW w:w="647"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c>
          <w:tcPr>
            <w:tcW w:w="576" w:type="pct"/>
            <w:vMerge w:val="continue"/>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b w:val="0"/>
                <w:bCs w:val="0"/>
                <w:color w:val="auto"/>
                <w:kern w:val="2"/>
                <w:sz w:val="21"/>
                <w:szCs w:val="21"/>
                <w:lang w:val="en-US" w:eastAsia="zh-CN" w:bidi="ar-SA"/>
              </w:rPr>
              <w:t>铁</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水质32种元素的测定电感耦合等离子体发射光谱法</w:t>
            </w:r>
            <w:r>
              <w:rPr>
                <w:rFonts w:hint="default" w:ascii="Times New Roman" w:hAnsi="Times New Roman" w:eastAsia="宋体" w:cs="Times New Roman"/>
                <w:bCs/>
                <w:color w:val="auto"/>
                <w:sz w:val="21"/>
                <w:szCs w:val="21"/>
                <w:lang w:eastAsia="zh-CN"/>
              </w:rPr>
              <w:t>》</w:t>
            </w:r>
            <w:r>
              <w:rPr>
                <w:rFonts w:hint="default" w:ascii="Times New Roman" w:hAnsi="Times New Roman" w:eastAsia="宋体" w:cs="Times New Roman"/>
                <w:bCs/>
                <w:color w:val="auto"/>
                <w:sz w:val="21"/>
                <w:szCs w:val="21"/>
              </w:rPr>
              <w:t>HJ776-2015</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color w:val="auto"/>
                <w:sz w:val="21"/>
                <w:szCs w:val="21"/>
                <w:shd w:val="clear" w:color="auto" w:fill="FFFFFF"/>
                <w:lang w:val="en-US" w:eastAsia="zh-CN"/>
              </w:rPr>
              <w:t>0.01mg/L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auto"/>
                <w:sz w:val="21"/>
                <w:szCs w:val="21"/>
                <w:lang w:val="en-US" w:eastAsia="zh-CN"/>
              </w:rPr>
              <w:t>电感耦合等离子体发射光谱仪</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GH-YQ-N30</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挥发酚</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《水质挥发酚的测定流动注射-4-氨基安替比林分光光度法》HJ825-2017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0.002mg/L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全自动流动注射分析仪（挥发酚分析通道）</w:t>
            </w:r>
          </w:p>
        </w:tc>
        <w:tc>
          <w:tcPr>
            <w:tcW w:w="64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GH-YQ-N184</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耗氧量</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生活饮用水标准检验方法有机物综合指标</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GB/T5750.7-2006</w:t>
            </w: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0.05mg/L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高精度数显恒温水浴锅</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GH-YQ-N145</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2023.02.22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硫化物</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《水质硫化物的测定流动注射-亚甲基蓝分光光度法》HJ824-2017</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0.004</w:t>
            </w:r>
            <w:r>
              <w:rPr>
                <w:rFonts w:hint="default" w:ascii="Times New Roman" w:hAnsi="Times New Roman" w:eastAsia="宋体" w:cs="Times New Roman"/>
                <w:color w:val="auto"/>
                <w:sz w:val="21"/>
                <w:szCs w:val="21"/>
                <w:highlight w:val="none"/>
                <w:lang w:val="en-US" w:eastAsia="zh-CN"/>
              </w:rPr>
              <w:t>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全自动流动注射分析仪（可溶性总硫化物分析通道）</w:t>
            </w:r>
          </w:p>
        </w:tc>
        <w:tc>
          <w:tcPr>
            <w:tcW w:w="64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GH-YQ-N186</w:t>
            </w:r>
          </w:p>
        </w:tc>
        <w:tc>
          <w:tcPr>
            <w:tcW w:w="57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2023.04.23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钠</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《水质钾和钠的测定火焰原子吸收分光光度法》GB</w:t>
            </w:r>
            <w:r>
              <w:rPr>
                <w:rFonts w:hint="default" w:ascii="Times New Roman" w:hAnsi="Times New Roman" w:eastAsia="宋体" w:cs="Times New Roman"/>
                <w:bCs/>
                <w:color w:val="auto"/>
                <w:sz w:val="21"/>
                <w:szCs w:val="21"/>
                <w:lang w:val="en-US" w:eastAsia="zh-CN"/>
              </w:rPr>
              <w:t>/</w:t>
            </w:r>
            <w:r>
              <w:rPr>
                <w:rFonts w:hint="default" w:ascii="Times New Roman" w:hAnsi="Times New Roman" w:eastAsia="宋体" w:cs="Times New Roman"/>
                <w:bCs/>
                <w:color w:val="auto"/>
                <w:sz w:val="21"/>
                <w:szCs w:val="21"/>
                <w:lang w:eastAsia="zh-CN"/>
              </w:rPr>
              <w:t>T11904-1989</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0.01</w:t>
            </w:r>
            <w:r>
              <w:rPr>
                <w:rFonts w:hint="default" w:ascii="Times New Roman" w:hAnsi="Times New Roman" w:eastAsia="宋体" w:cs="Times New Roman"/>
                <w:color w:val="auto"/>
                <w:sz w:val="21"/>
                <w:szCs w:val="21"/>
                <w:highlight w:val="none"/>
                <w:lang w:val="en-US" w:eastAsia="zh-CN"/>
              </w:rPr>
              <w:t>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原子吸收分光光度计</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GH-YQ-N01</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亚硝酸盐（氮）</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《水质亚硝酸盐氮的测定分光光度法》</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bCs/>
                <w:color w:val="auto"/>
                <w:sz w:val="21"/>
                <w:szCs w:val="21"/>
                <w:lang w:eastAsia="zh-CN"/>
              </w:rPr>
            </w:pPr>
            <w:r>
              <w:rPr>
                <w:rFonts w:hint="default" w:ascii="Times New Roman" w:hAnsi="Times New Roman" w:eastAsia="宋体" w:cs="Times New Roman"/>
                <w:bCs/>
                <w:color w:val="auto"/>
                <w:sz w:val="21"/>
                <w:szCs w:val="21"/>
                <w:lang w:eastAsia="zh-CN"/>
              </w:rPr>
              <w:t>GB/T7493-1987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eastAsia="宋体" w:cs="Times New Roman"/>
                <w:bCs/>
                <w:color w:val="auto"/>
                <w:sz w:val="21"/>
                <w:szCs w:val="21"/>
                <w:highlight w:val="none"/>
                <w:lang w:val="en-US" w:eastAsia="zh-CN"/>
              </w:rPr>
              <w:t>0.003mg/L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紫外可见分光光度计</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GH-YQ-N13</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bCs/>
                <w:color w:val="auto"/>
                <w:sz w:val="21"/>
                <w:szCs w:val="21"/>
                <w:lang w:eastAsia="zh-CN"/>
              </w:rPr>
              <w:t>硝酸盐（氮）</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kern w:val="2"/>
                <w:sz w:val="21"/>
                <w:szCs w:val="21"/>
                <w:vertAlign w:val="baseline"/>
                <w:lang w:val="en-US" w:eastAsia="zh-CN" w:bidi="ar-SA"/>
              </w:rPr>
              <w:t>《生活饮用水标准检验方法无机非金属指标》GB/T5750.5-2006</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0.2</w:t>
            </w:r>
            <w:r>
              <w:rPr>
                <w:rFonts w:hint="default" w:ascii="Times New Roman" w:hAnsi="Times New Roman" w:eastAsia="宋体" w:cs="Times New Roman"/>
                <w:bCs/>
                <w:color w:val="auto"/>
                <w:sz w:val="21"/>
                <w:szCs w:val="21"/>
                <w:highlight w:val="none"/>
                <w:lang w:val="en-US" w:eastAsia="zh-CN"/>
              </w:rPr>
              <w:t>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紫外可见分光光度计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color w:val="auto"/>
                <w:kern w:val="0"/>
                <w:sz w:val="21"/>
                <w:szCs w:val="21"/>
                <w:u w:val="none"/>
                <w:lang w:val="en-US" w:eastAsia="zh-CN" w:bidi="ar"/>
              </w:rPr>
              <w:t>GH-YQ-N134</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highlight w:val="none"/>
                <w:lang w:val="en-US" w:eastAsia="zh-CN"/>
              </w:rPr>
              <w:t>2023.07.31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氰化物</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Cs/>
                <w:color w:val="auto"/>
                <w:sz w:val="21"/>
                <w:szCs w:val="21"/>
                <w:lang w:eastAsia="zh-CN"/>
              </w:rPr>
              <w:t>《水质氰化物的测定</w:t>
            </w:r>
            <w:r>
              <w:rPr>
                <w:rFonts w:hint="default" w:ascii="Times New Roman" w:hAnsi="Times New Roman" w:eastAsia="宋体" w:cs="Times New Roman"/>
                <w:color w:val="auto"/>
                <w:sz w:val="21"/>
                <w:szCs w:val="21"/>
                <w:highlight w:val="none"/>
                <w:lang w:eastAsia="zh-CN"/>
              </w:rPr>
              <w:t>流动注射-分光光度法》HJ823-2017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0.001</w:t>
            </w:r>
            <w:r>
              <w:rPr>
                <w:rFonts w:hint="default" w:ascii="Times New Roman" w:hAnsi="Times New Roman" w:eastAsia="宋体" w:cs="Times New Roman"/>
                <w:color w:val="auto"/>
                <w:kern w:val="0"/>
                <w:sz w:val="21"/>
                <w:szCs w:val="21"/>
                <w:highlight w:val="none"/>
                <w:lang w:bidi="ar"/>
              </w:rPr>
              <w:t>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全自动流动注射分析仪（总氰化物/氰化物分析通道）</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GH-YQ-N183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碘化物</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 w:val="0"/>
                <w:bCs w:val="0"/>
                <w:color w:val="auto"/>
                <w:sz w:val="21"/>
                <w:szCs w:val="21"/>
                <w:highlight w:val="none"/>
                <w:shd w:val="clear" w:color="auto" w:fill="FFFFFF"/>
                <w:lang w:val="en-US" w:eastAsia="zh-CN"/>
              </w:rPr>
              <w:t>《生活饮用水标准检验方法无机非金属指标》GB/T5750.5-2006</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0.05</w:t>
            </w:r>
            <w:r>
              <w:rPr>
                <w:rFonts w:hint="default" w:ascii="Times New Roman" w:hAnsi="Times New Roman" w:eastAsia="宋体" w:cs="Times New Roman"/>
                <w:color w:val="auto"/>
                <w:sz w:val="21"/>
                <w:szCs w:val="21"/>
                <w:highlight w:val="none"/>
                <w:lang w:val="en-US" w:eastAsia="zh-CN"/>
              </w:rPr>
              <w:t>mg/L</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紫外可见</w:t>
            </w:r>
            <w:r>
              <w:rPr>
                <w:rFonts w:hint="default" w:ascii="Times New Roman" w:hAnsi="Times New Roman" w:eastAsia="宋体" w:cs="Times New Roman"/>
                <w:color w:val="auto"/>
                <w:sz w:val="21"/>
                <w:szCs w:val="21"/>
                <w:highlight w:val="none"/>
                <w:lang w:val="en-US" w:eastAsia="zh-CN"/>
              </w:rPr>
              <w:t>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GH-YQ-N03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汞</w:t>
            </w:r>
          </w:p>
        </w:tc>
        <w:tc>
          <w:tcPr>
            <w:tcW w:w="143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bCs/>
                <w:color w:val="auto"/>
                <w:sz w:val="21"/>
                <w:szCs w:val="21"/>
                <w:lang w:eastAsia="zh-CN"/>
              </w:rPr>
              <w:t>《水质</w:t>
            </w:r>
            <w:r>
              <w:rPr>
                <w:rFonts w:hint="default" w:ascii="Times New Roman" w:hAnsi="Times New Roman" w:eastAsia="宋体" w:cs="Times New Roman"/>
                <w:bCs/>
                <w:color w:val="auto"/>
                <w:sz w:val="21"/>
                <w:szCs w:val="21"/>
                <w:lang w:val="en-US" w:eastAsia="zh-CN"/>
              </w:rPr>
              <w:t>汞、砷、硒、铋和锑</w:t>
            </w:r>
            <w:r>
              <w:rPr>
                <w:rFonts w:hint="default" w:ascii="Times New Roman" w:hAnsi="Times New Roman" w:eastAsia="宋体" w:cs="Times New Roman"/>
                <w:color w:val="auto"/>
                <w:sz w:val="21"/>
                <w:szCs w:val="21"/>
                <w:highlight w:val="none"/>
                <w:lang w:val="en-US" w:eastAsia="zh-CN"/>
              </w:rPr>
              <w:t>的测定原子荧光法》HJ694-2014</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0.04μg/L</w:t>
            </w:r>
          </w:p>
        </w:tc>
        <w:tc>
          <w:tcPr>
            <w:tcW w:w="903"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原子荧光光度计</w:t>
            </w:r>
          </w:p>
        </w:tc>
        <w:tc>
          <w:tcPr>
            <w:tcW w:w="647"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GH-YQ-N85</w:t>
            </w:r>
          </w:p>
        </w:tc>
        <w:tc>
          <w:tcPr>
            <w:tcW w:w="57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2022.12.05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0.3μg/L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color w:val="FF0000"/>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zh-CN" w:eastAsia="zh-CN"/>
              </w:rPr>
              <w:t>硒</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0.4μg/L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color w:val="FF0000"/>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六价铬</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shd w:val="clear" w:color="auto" w:fill="FFFFFF"/>
                <w:lang w:eastAsia="zh-CN"/>
              </w:rPr>
              <w:t>《水质</w:t>
            </w:r>
            <w:r>
              <w:rPr>
                <w:rFonts w:hint="default" w:ascii="Times New Roman" w:hAnsi="Times New Roman" w:eastAsia="宋体" w:cs="Times New Roman"/>
                <w:color w:val="auto"/>
                <w:sz w:val="21"/>
                <w:szCs w:val="21"/>
                <w:shd w:val="clear" w:color="auto" w:fill="FFFFFF"/>
                <w:lang w:val="en-US" w:eastAsia="zh-CN"/>
              </w:rPr>
              <w:t>六价铬的测定二苯碳酰二肼分光光度法</w:t>
            </w:r>
            <w:r>
              <w:rPr>
                <w:rFonts w:hint="default" w:ascii="Times New Roman" w:hAnsi="Times New Roman" w:eastAsia="宋体" w:cs="Times New Roman"/>
                <w:color w:val="auto"/>
                <w:sz w:val="21"/>
                <w:szCs w:val="21"/>
                <w:highlight w:val="none"/>
                <w:lang w:val="en-US" w:eastAsia="zh-CN"/>
              </w:rPr>
              <w:t>》GB/T7467-1987</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0.004</w:t>
            </w:r>
            <w:r>
              <w:rPr>
                <w:rFonts w:hint="default" w:ascii="Times New Roman" w:hAnsi="Times New Roman" w:eastAsia="宋体" w:cs="Times New Roman"/>
                <w:color w:val="auto"/>
                <w:sz w:val="21"/>
                <w:szCs w:val="21"/>
                <w:highlight w:val="none"/>
                <w:lang w:val="en-US" w:eastAsia="zh-CN"/>
              </w:rPr>
              <w:t>mg/L</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auto"/>
                <w:sz w:val="21"/>
                <w:szCs w:val="21"/>
                <w:shd w:val="clear" w:color="auto" w:fill="FFFFFF"/>
                <w:lang w:val="en-US" w:eastAsia="zh-CN"/>
              </w:rPr>
            </w:pPr>
            <w:r>
              <w:rPr>
                <w:rFonts w:hint="default" w:ascii="Times New Roman" w:hAnsi="Times New Roman" w:eastAsia="宋体" w:cs="Times New Roman"/>
                <w:i w:val="0"/>
                <w:iCs w:val="0"/>
                <w:color w:val="auto"/>
                <w:kern w:val="0"/>
                <w:sz w:val="21"/>
                <w:szCs w:val="21"/>
                <w:u w:val="none"/>
                <w:lang w:val="en-US" w:eastAsia="zh-CN" w:bidi="ar"/>
              </w:rPr>
              <w:t>紫外可见分光光度计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GH-YQ-N03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三氯甲烷</w:t>
            </w:r>
          </w:p>
        </w:tc>
        <w:tc>
          <w:tcPr>
            <w:tcW w:w="143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水质挥发性有机物的测定吹扫捕集/气相色谱-质谱法</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HJ639-2012</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0.4μg/L</w:t>
            </w:r>
          </w:p>
        </w:tc>
        <w:tc>
          <w:tcPr>
            <w:tcW w:w="903"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气相色谱</w:t>
            </w:r>
            <w:r>
              <w:rPr>
                <w:rStyle w:val="46"/>
                <w:rFonts w:hint="default" w:ascii="Times New Roman" w:hAnsi="Times New Roman" w:eastAsia="宋体" w:cs="Times New Roman"/>
                <w:color w:val="auto"/>
                <w:sz w:val="21"/>
                <w:szCs w:val="21"/>
                <w:lang w:val="en-US" w:eastAsia="zh-CN" w:bidi="ar"/>
              </w:rPr>
              <w:t>-</w:t>
            </w:r>
            <w:r>
              <w:rPr>
                <w:rFonts w:hint="default" w:ascii="Times New Roman" w:hAnsi="Times New Roman" w:eastAsia="宋体" w:cs="Times New Roman"/>
                <w:i w:val="0"/>
                <w:iCs w:val="0"/>
                <w:color w:val="auto"/>
                <w:kern w:val="0"/>
                <w:sz w:val="21"/>
                <w:szCs w:val="21"/>
                <w:u w:val="none"/>
                <w:lang w:val="en-US" w:eastAsia="zh-CN" w:bidi="ar"/>
              </w:rPr>
              <w:t>质谱联用仪</w:t>
            </w:r>
          </w:p>
        </w:tc>
        <w:tc>
          <w:tcPr>
            <w:tcW w:w="647"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GH-YQ-N63</w:t>
            </w:r>
          </w:p>
        </w:tc>
        <w:tc>
          <w:tcPr>
            <w:tcW w:w="57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2023.03.30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四氯化碳</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0.4μg/L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color w:val="FF0000"/>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tabs>
                <w:tab w:val="left" w:pos="1755"/>
              </w:tabs>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苯</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kern w:val="0"/>
                <w:sz w:val="21"/>
                <w:szCs w:val="21"/>
                <w:highlight w:val="none"/>
                <w:lang w:bidi="ar"/>
              </w:rPr>
              <w:t>0.4</w:t>
            </w:r>
            <w:r>
              <w:rPr>
                <w:rFonts w:hint="default" w:ascii="Times New Roman" w:hAnsi="Times New Roman" w:eastAsia="宋体" w:cs="Times New Roman"/>
                <w:color w:val="auto"/>
                <w:sz w:val="21"/>
                <w:szCs w:val="21"/>
                <w:highlight w:val="none"/>
                <w:lang w:val="en-US" w:eastAsia="zh-CN"/>
              </w:rPr>
              <w:t>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color w:val="FF0000"/>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tabs>
                <w:tab w:val="left" w:pos="1755"/>
              </w:tabs>
              <w:kinsoku/>
              <w:wordWrap/>
              <w:overflowPunct/>
              <w:topLinePunct w:val="0"/>
              <w:autoSpaceDE/>
              <w:autoSpaceDN/>
              <w:bidi w:val="0"/>
              <w:adjustRightInd/>
              <w:snapToGrid w:val="0"/>
              <w:spacing w:line="240" w:lineRule="auto"/>
              <w:ind w:left="0"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甲苯</w:t>
            </w:r>
          </w:p>
        </w:tc>
        <w:tc>
          <w:tcPr>
            <w:tcW w:w="143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highlight w:val="none"/>
                <w:lang w:val="en-US" w:eastAsia="zh-CN"/>
              </w:rPr>
              <w:t>0.3μg/L</w:t>
            </w:r>
          </w:p>
        </w:tc>
        <w:tc>
          <w:tcPr>
            <w:tcW w:w="903"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647"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FF0000"/>
                <w:sz w:val="21"/>
                <w:szCs w:val="21"/>
                <w:shd w:val="clear" w:color="auto" w:fill="FFFFFF"/>
                <w:lang w:val="en-US" w:eastAsia="zh-CN"/>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color w:val="FF0000"/>
                <w:sz w:val="21"/>
                <w:szCs w:val="21"/>
                <w:shd w:val="clear" w:color="auto" w:fill="FFFFFF"/>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7"/>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left"/>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样品类别：有组织废气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restar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588"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低浓度颗粒物</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bCs/>
                <w:color w:val="000000" w:themeColor="text1"/>
                <w:sz w:val="21"/>
                <w:szCs w:val="21"/>
                <w:highlight w:val="none"/>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t>《固定污染源废气低浓度颗粒物的测定重量法》HJ836-2017</w:t>
            </w:r>
          </w:p>
        </w:tc>
        <w:tc>
          <w:tcPr>
            <w:tcW w:w="606" w:type="pct"/>
            <w:vMerge w:val="restar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bCs/>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t>1.0mg/m</w:t>
            </w:r>
            <w:r>
              <w:rPr>
                <w:rFonts w:hint="default" w:ascii="Times New Roman" w:hAnsi="Times New Roman" w:eastAsia="宋体" w:cs="Times New Roman"/>
                <w:color w:val="000000" w:themeColor="text1"/>
                <w:sz w:val="21"/>
                <w:szCs w:val="21"/>
                <w:highlight w:val="none"/>
                <w:shd w:val="clear" w:color="auto" w:fill="FFFFFF"/>
                <w:vertAlign w:val="superscript"/>
                <w:lang w:val="en-US" w:eastAsia="zh-CN"/>
                <w14:textFill>
                  <w14:solidFill>
                    <w14:schemeClr w14:val="tx1"/>
                  </w14:solidFill>
                </w14:textFill>
              </w:rPr>
              <w:t>3</w:t>
            </w: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eastAsia="zh-CN"/>
                <w14:textFill>
                  <w14:solidFill>
                    <w14:schemeClr w14:val="tx1"/>
                  </w14:solidFill>
                </w14:textFill>
              </w:rPr>
              <w:t>恒温恒湿称重系统</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GH-YQ-N</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64</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202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03</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588"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p>
        </w:tc>
        <w:tc>
          <w:tcPr>
            <w:tcW w:w="6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电子天平</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GH-YQ-N55</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202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w:t>
            </w:r>
            <w:r>
              <w:rPr>
                <w:rFonts w:hint="default" w:ascii="Times New Roman" w:hAnsi="Times New Roman" w:eastAsia="宋体" w:cs="Times New Roman"/>
                <w:color w:val="000000" w:themeColor="text1"/>
                <w:kern w:val="0"/>
                <w:sz w:val="21"/>
                <w:szCs w:val="21"/>
                <w14:textFill>
                  <w14:solidFill>
                    <w14:schemeClr w14:val="tx1"/>
                  </w14:solidFill>
                </w14:textFill>
              </w:rPr>
              <w:t>5.</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588"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p>
        </w:tc>
        <w:tc>
          <w:tcPr>
            <w:tcW w:w="6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pP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电热鼓风干燥箱</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GH-YQ-N</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21</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202</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3</w:t>
            </w:r>
            <w:r>
              <w:rPr>
                <w:rFonts w:hint="default" w:ascii="Times New Roman" w:hAnsi="Times New Roman" w:eastAsia="宋体" w:cs="Times New Roman"/>
                <w:color w:val="000000" w:themeColor="text1"/>
                <w:kern w:val="0"/>
                <w:sz w:val="21"/>
                <w:szCs w:val="21"/>
                <w14:textFill>
                  <w14:solidFill>
                    <w14:schemeClr w14:val="tx1"/>
                  </w14:solidFill>
                </w14:textFill>
              </w:rPr>
              <w:t>.</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w:t>
            </w:r>
            <w:r>
              <w:rPr>
                <w:rFonts w:hint="default" w:ascii="Times New Roman" w:hAnsi="Times New Roman" w:eastAsia="宋体" w:cs="Times New Roman"/>
                <w:color w:val="000000" w:themeColor="text1"/>
                <w:kern w:val="0"/>
                <w:sz w:val="21"/>
                <w:szCs w:val="21"/>
                <w14:textFill>
                  <w14:solidFill>
                    <w14:schemeClr w14:val="tx1"/>
                  </w14:solidFill>
                </w14:textFill>
              </w:rPr>
              <w:t>5.</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氮氧化物</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14:textFill>
                  <w14:solidFill>
                    <w14:schemeClr w14:val="tx1"/>
                  </w14:solidFill>
                </w14:textFill>
              </w:rPr>
              <w:t>《固定污染源废气氮氧化物的测定电位电解法》HJ693-2014</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t>3mg/m</w:t>
            </w:r>
            <w:r>
              <w:rPr>
                <w:rFonts w:hint="default" w:ascii="Times New Roman" w:hAnsi="Times New Roman" w:eastAsia="宋体" w:cs="Times New Roman"/>
                <w:color w:val="000000" w:themeColor="text1"/>
                <w:sz w:val="21"/>
                <w:szCs w:val="21"/>
                <w:highlight w:val="none"/>
                <w:shd w:val="clear" w:color="auto" w:fill="FFFFFF"/>
                <w:vertAlign w:val="superscript"/>
                <w:lang w:val="en-US" w:eastAsia="zh-CN"/>
                <w14:textFill>
                  <w14:solidFill>
                    <w14:schemeClr w14:val="tx1"/>
                  </w14:solidFill>
                </w14:textFill>
              </w:rPr>
              <w:t>3</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大流量低浓度烟尘/气测试仪</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14:textFill>
                  <w14:solidFill>
                    <w14:schemeClr w14:val="tx1"/>
                  </w14:solidFill>
                </w14:textFill>
              </w:rPr>
              <w:t>GH-YQ-</w:t>
            </w: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W60</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kern w:val="0"/>
                <w:sz w:val="21"/>
                <w:szCs w:val="21"/>
                <w:lang w:val="en-US" w:eastAsia="zh-CN"/>
                <w14:textFill>
                  <w14:solidFill>
                    <w14:schemeClr w14:val="tx1"/>
                  </w14:solidFill>
                </w14:textFill>
              </w:rPr>
              <w:t>2023.04.20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p>
        </w:tc>
        <w:tc>
          <w:tcPr>
            <w:tcW w:w="588"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汞</w:t>
            </w:r>
            <w:r>
              <w:rPr>
                <w:rFonts w:hint="eastAsia" w:cs="Times New Roman"/>
                <w:color w:val="000000" w:themeColor="text1"/>
                <w:sz w:val="21"/>
                <w:szCs w:val="21"/>
                <w:vertAlign w:val="baseline"/>
                <w:lang w:val="en-US" w:eastAsia="zh-CN"/>
                <w14:textFill>
                  <w14:solidFill>
                    <w14:schemeClr w14:val="tx1"/>
                  </w14:solidFill>
                </w14:textFill>
              </w:rPr>
              <w:t>及其化合物</w:t>
            </w:r>
          </w:p>
        </w:tc>
        <w:tc>
          <w:tcPr>
            <w:tcW w:w="1436" w:type="pct"/>
            <w:shd w:val="clear" w:color="auto" w:fill="auto"/>
            <w:vAlign w:val="center"/>
          </w:tcPr>
          <w:p>
            <w:pPr>
              <w:keepNext w:val="0"/>
              <w:keepLines w:val="0"/>
              <w:pageBreakBefore w:val="0"/>
              <w:kinsoku/>
              <w:wordWrap/>
              <w:overflowPunct/>
              <w:topLinePunct w:val="0"/>
              <w:autoSpaceDE/>
              <w:autoSpaceDN/>
              <w:bidi w:val="0"/>
              <w:adjustRightInd/>
              <w:snapToGrid/>
              <w:spacing w:beforeAutospacing="0" w:afterAutospacing="0" w:line="240" w:lineRule="auto"/>
              <w:ind w:left="0" w:lef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lang w:eastAsia="zh-CN"/>
                <w14:textFill>
                  <w14:solidFill>
                    <w14:schemeClr w14:val="tx1"/>
                  </w14:solidFill>
                </w14:textFill>
              </w:rPr>
              <w:t>污染源废气汞及其化合物原子荧光分光光度法《空气和废气监测分析方法》（第四版）国家环境保护总局（2003年）</w:t>
            </w:r>
          </w:p>
        </w:tc>
        <w:tc>
          <w:tcPr>
            <w:tcW w:w="60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0.003μg/m</w:t>
            </w:r>
            <w:r>
              <w:rPr>
                <w:rFonts w:hint="default" w:ascii="Times New Roman" w:hAnsi="Times New Roman" w:eastAsia="宋体" w:cs="Times New Roman"/>
                <w:color w:val="000000" w:themeColor="text1"/>
                <w:sz w:val="21"/>
                <w:szCs w:val="21"/>
                <w:highlight w:val="none"/>
                <w:vertAlign w:val="superscript"/>
                <w:lang w:val="en-US" w:eastAsia="zh-CN"/>
                <w14:textFill>
                  <w14:solidFill>
                    <w14:schemeClr w14:val="tx1"/>
                  </w14:solidFill>
                </w14:textFill>
              </w:rPr>
              <w:t>3</w:t>
            </w:r>
          </w:p>
        </w:tc>
        <w:tc>
          <w:tcPr>
            <w:tcW w:w="903"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原子荧光光度计</w:t>
            </w:r>
          </w:p>
        </w:tc>
        <w:tc>
          <w:tcPr>
            <w:tcW w:w="647"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GH-YQ-W85</w:t>
            </w:r>
          </w:p>
        </w:tc>
        <w:tc>
          <w:tcPr>
            <w:tcW w:w="576" w:type="pct"/>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2022.12.5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二氧化硫</w:t>
            </w:r>
          </w:p>
        </w:tc>
        <w:tc>
          <w:tcPr>
            <w:tcW w:w="143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14:textFill>
                  <w14:solidFill>
                    <w14:schemeClr w14:val="tx1"/>
                  </w14:solidFill>
                </w14:textFill>
              </w:rPr>
              <w:t>污染源废气二氧化硫甲醛缓冲溶液吸收-盐酸副玫瑰苯胺分光光度法《空气和废气监测分析方法》（第四版）国家环境保护总局（2003年）</w:t>
            </w: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FFFFFF"/>
                <w:lang w:val="en-US" w:eastAsia="zh-CN"/>
                <w14:textFill>
                  <w14:solidFill>
                    <w14:schemeClr w14:val="tx1"/>
                  </w14:solidFill>
                </w14:textFill>
              </w:rPr>
              <w:t>2.5mg/m</w:t>
            </w:r>
            <w:r>
              <w:rPr>
                <w:rFonts w:hint="default" w:ascii="Times New Roman" w:hAnsi="Times New Roman" w:eastAsia="宋体" w:cs="Times New Roman"/>
                <w:color w:val="000000" w:themeColor="text1"/>
                <w:sz w:val="21"/>
                <w:szCs w:val="21"/>
                <w:highlight w:val="none"/>
                <w:shd w:val="clear" w:color="auto" w:fill="FFFFFF"/>
                <w:vertAlign w:val="superscript"/>
                <w:lang w:val="en-US" w:eastAsia="zh-CN"/>
                <w14:textFill>
                  <w14:solidFill>
                    <w14:schemeClr w14:val="tx1"/>
                  </w14:solidFill>
                </w14:textFill>
              </w:rPr>
              <w:t>3</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2"/>
                <w:sz w:val="21"/>
                <w:szCs w:val="21"/>
                <w:shd w:val="clear" w:color="auto" w:fill="FFFFFF"/>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紫外可见分光光度计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000000" w:themeColor="text1"/>
                <w:kern w:val="2"/>
                <w:sz w:val="21"/>
                <w:szCs w:val="21"/>
                <w:shd w:val="clear" w:color="auto" w:fill="FFFFFF"/>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GH-YQ-N03</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7"/>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firstLine="0" w:firstLineChars="0"/>
              <w:jc w:val="left"/>
              <w:textAlignment w:val="center"/>
              <w:rPr>
                <w:rFonts w:hint="default" w:ascii="Times New Roman" w:hAnsi="Times New Roman" w:eastAsia="宋体" w:cs="Times New Roman"/>
                <w:i w:val="0"/>
                <w:iCs w:val="0"/>
                <w:color w:val="FF0000"/>
                <w:kern w:val="2"/>
                <w:sz w:val="21"/>
                <w:szCs w:val="21"/>
                <w:u w:val="none"/>
                <w:lang w:val="en-US" w:eastAsia="zh-CN" w:bidi="ar-SA"/>
              </w:rPr>
            </w:pPr>
            <w:r>
              <w:rPr>
                <w:rFonts w:hint="default" w:ascii="Times New Roman" w:hAnsi="Times New Roman" w:eastAsia="宋体" w:cs="Times New Roman"/>
                <w:color w:val="auto"/>
                <w:sz w:val="21"/>
                <w:szCs w:val="21"/>
                <w:vertAlign w:val="baseline"/>
                <w:lang w:val="en-US" w:eastAsia="zh-CN"/>
              </w:rPr>
              <w:t>样品类别：无组织废气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restar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vMerge w:val="restar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b w:val="0"/>
                <w:bCs w:val="0"/>
                <w:color w:val="auto"/>
                <w:sz w:val="21"/>
                <w:szCs w:val="21"/>
                <w:highlight w:val="none"/>
                <w:lang w:val="en-US" w:eastAsia="zh-CN"/>
              </w:rPr>
              <w:t>颗粒物</w:t>
            </w:r>
          </w:p>
        </w:tc>
        <w:tc>
          <w:tcPr>
            <w:tcW w:w="1436" w:type="pct"/>
            <w:vMerge w:val="restar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shd w:val="clear" w:color="auto" w:fill="FFFFFF"/>
              </w:rPr>
              <w:t>《环境空气总悬浮颗粒物的测定重量法》GB/T15432-1995及其修改单</w:t>
            </w:r>
          </w:p>
        </w:tc>
        <w:tc>
          <w:tcPr>
            <w:tcW w:w="606" w:type="pct"/>
            <w:vMerge w:val="restar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0.001mg/m</w:t>
            </w:r>
            <w:r>
              <w:rPr>
                <w:rFonts w:hint="default" w:ascii="Times New Roman" w:hAnsi="Times New Roman" w:eastAsia="宋体" w:cs="Times New Roman"/>
                <w:color w:val="auto"/>
                <w:sz w:val="21"/>
                <w:szCs w:val="21"/>
                <w:vertAlign w:val="superscript"/>
              </w:rPr>
              <w:t>3</w:t>
            </w: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lang w:eastAsia="zh-CN"/>
              </w:rPr>
              <w:t>恒温恒湿称重系统</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GH-YQ-N</w:t>
            </w:r>
            <w:r>
              <w:rPr>
                <w:rFonts w:hint="default" w:ascii="Times New Roman" w:hAnsi="Times New Roman" w:eastAsia="宋体" w:cs="Times New Roman"/>
                <w:color w:val="auto"/>
                <w:kern w:val="0"/>
                <w:sz w:val="21"/>
                <w:szCs w:val="21"/>
                <w:lang w:val="en-US" w:eastAsia="zh-CN"/>
              </w:rPr>
              <w:t>64</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3</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03</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vMerge w:val="continue"/>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电子天平</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GH-YQ-N55</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3</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w:t>
            </w:r>
            <w:r>
              <w:rPr>
                <w:rFonts w:hint="default" w:ascii="Times New Roman" w:hAnsi="Times New Roman" w:eastAsia="宋体" w:cs="Times New Roman"/>
                <w:color w:val="auto"/>
                <w:kern w:val="0"/>
                <w:sz w:val="21"/>
                <w:szCs w:val="21"/>
              </w:rPr>
              <w:t>5.</w:t>
            </w:r>
            <w:r>
              <w:rPr>
                <w:rFonts w:hint="default" w:ascii="Times New Roman" w:hAnsi="Times New Roman" w:eastAsia="宋体" w:cs="Times New Roman"/>
                <w:color w:val="auto"/>
                <w:kern w:val="0"/>
                <w:sz w:val="21"/>
                <w:szCs w:val="21"/>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vMerge w:val="continue"/>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textAlignment w:val="auto"/>
              <w:rPr>
                <w:rFonts w:hint="default" w:ascii="Times New Roman" w:hAnsi="Times New Roman" w:eastAsia="宋体" w:cs="Times New Roman"/>
                <w:b w:val="0"/>
                <w:bCs w:val="0"/>
                <w:color w:val="auto"/>
                <w:sz w:val="21"/>
                <w:szCs w:val="21"/>
                <w:highlight w:val="none"/>
                <w:lang w:val="en-US" w:eastAsia="zh-CN"/>
              </w:rPr>
            </w:pP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vMerge w:val="continue"/>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left="0" w:firstLine="0" w:firstLineChars="0"/>
              <w:jc w:val="center"/>
              <w:rPr>
                <w:rFonts w:hint="default" w:ascii="Times New Roman" w:hAnsi="Times New Roman" w:eastAsia="宋体" w:cs="Times New Roman"/>
                <w:color w:val="auto"/>
                <w:sz w:val="21"/>
                <w:szCs w:val="21"/>
                <w:vertAlign w:val="baseline"/>
                <w:lang w:val="en-US" w:eastAsia="zh-CN"/>
              </w:rPr>
            </w:pPr>
          </w:p>
        </w:tc>
        <w:tc>
          <w:tcPr>
            <w:tcW w:w="903"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lang w:val="en-US" w:eastAsia="zh-CN"/>
              </w:rPr>
              <w:t>电热鼓风干燥箱</w:t>
            </w:r>
          </w:p>
        </w:tc>
        <w:tc>
          <w:tcPr>
            <w:tcW w:w="647"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GH-YQ-N</w:t>
            </w:r>
            <w:r>
              <w:rPr>
                <w:rFonts w:hint="default" w:ascii="Times New Roman" w:hAnsi="Times New Roman" w:eastAsia="宋体" w:cs="Times New Roman"/>
                <w:color w:val="auto"/>
                <w:kern w:val="0"/>
                <w:sz w:val="21"/>
                <w:szCs w:val="21"/>
                <w:lang w:val="en-US" w:eastAsia="zh-CN"/>
              </w:rPr>
              <w:t>21</w:t>
            </w:r>
          </w:p>
        </w:tc>
        <w:tc>
          <w:tcPr>
            <w:tcW w:w="576" w:type="pct"/>
            <w:shd w:val="clear" w:color="auto" w:fill="auto"/>
            <w:vAlign w:val="center"/>
          </w:tcPr>
          <w:p>
            <w:pPr>
              <w:keepNext w:val="0"/>
              <w:keepLines w:val="0"/>
              <w:pageBreakBefore w:val="0"/>
              <w:widowControl/>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bidi="ar-SA"/>
              </w:rPr>
            </w:pPr>
            <w:r>
              <w:rPr>
                <w:rFonts w:hint="default" w:ascii="Times New Roman" w:hAnsi="Times New Roman" w:eastAsia="宋体" w:cs="Times New Roman"/>
                <w:color w:val="auto"/>
                <w:kern w:val="0"/>
                <w:sz w:val="21"/>
                <w:szCs w:val="21"/>
              </w:rPr>
              <w:t>202</w:t>
            </w:r>
            <w:r>
              <w:rPr>
                <w:rFonts w:hint="default" w:ascii="Times New Roman" w:hAnsi="Times New Roman" w:eastAsia="宋体" w:cs="Times New Roman"/>
                <w:color w:val="auto"/>
                <w:kern w:val="0"/>
                <w:sz w:val="21"/>
                <w:szCs w:val="21"/>
                <w:lang w:val="en-US" w:eastAsia="zh-CN"/>
              </w:rPr>
              <w:t>3</w:t>
            </w:r>
            <w:r>
              <w:rPr>
                <w:rFonts w:hint="default" w:ascii="Times New Roman" w:hAnsi="Times New Roman" w:eastAsia="宋体" w:cs="Times New Roman"/>
                <w:color w:val="auto"/>
                <w:kern w:val="0"/>
                <w:sz w:val="21"/>
                <w:szCs w:val="21"/>
              </w:rPr>
              <w:t>.</w:t>
            </w:r>
            <w:r>
              <w:rPr>
                <w:rFonts w:hint="default" w:ascii="Times New Roman" w:hAnsi="Times New Roman" w:eastAsia="宋体" w:cs="Times New Roman"/>
                <w:color w:val="auto"/>
                <w:kern w:val="0"/>
                <w:sz w:val="21"/>
                <w:szCs w:val="21"/>
                <w:lang w:val="en-US" w:eastAsia="zh-CN"/>
              </w:rPr>
              <w:t>0</w:t>
            </w:r>
            <w:r>
              <w:rPr>
                <w:rFonts w:hint="default" w:ascii="Times New Roman" w:hAnsi="Times New Roman" w:eastAsia="宋体" w:cs="Times New Roman"/>
                <w:color w:val="auto"/>
                <w:kern w:val="0"/>
                <w:sz w:val="21"/>
                <w:szCs w:val="21"/>
              </w:rPr>
              <w:t>5.</w:t>
            </w:r>
            <w:r>
              <w:rPr>
                <w:rFonts w:hint="default" w:ascii="Times New Roman" w:hAnsi="Times New Roman" w:eastAsia="宋体" w:cs="Times New Roman"/>
                <w:color w:val="auto"/>
                <w:kern w:val="0"/>
                <w:sz w:val="21"/>
                <w:szCs w:val="21"/>
                <w:lang w:val="en-US"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7"/>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left"/>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样品类别：噪声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restar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工业企业厂界环境噪声</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《工业企业厂界环境噪声排放标准》</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r>
              <w:rPr>
                <w:rFonts w:hint="default" w:ascii="Times New Roman" w:hAnsi="Times New Roman" w:eastAsia="宋体" w:cs="Times New Roman"/>
                <w:color w:val="auto"/>
                <w:sz w:val="21"/>
                <w:szCs w:val="21"/>
              </w:rPr>
              <w:t>GB12348-2008</w:t>
            </w:r>
          </w:p>
        </w:tc>
        <w:tc>
          <w:tcPr>
            <w:tcW w:w="60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kern w:val="0"/>
                <w:sz w:val="21"/>
                <w:szCs w:val="21"/>
              </w:rPr>
              <w:t>声级计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GH-YQ-W64</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2023.01.01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vMerge w:val="continue"/>
            <w:shd w:val="clear" w:color="auto" w:fill="auto"/>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sz w:val="21"/>
                <w:szCs w:val="21"/>
              </w:rPr>
            </w:pP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rPr>
            </w:pPr>
          </w:p>
        </w:tc>
        <w:tc>
          <w:tcPr>
            <w:tcW w:w="60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声校准器</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GH-YQ-W196</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2023.04.19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5000" w:type="pct"/>
            <w:gridSpan w:val="7"/>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left"/>
              <w:textAlignment w:val="center"/>
              <w:rPr>
                <w:rFonts w:hint="default" w:ascii="Times New Roman" w:hAnsi="Times New Roman" w:eastAsia="宋体" w:cs="Times New Roman"/>
                <w:i w:val="0"/>
                <w:iCs w:val="0"/>
                <w:color w:val="FF0000"/>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样品类别：土壤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砷</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《土壤质量总汞、总砷、总铅的测定原子荧光法第2部分：土壤中总砷的测定》</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GB/T22105.2-2008</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0.01mg/kg</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color w:val="auto"/>
                <w:kern w:val="0"/>
                <w:sz w:val="21"/>
                <w:szCs w:val="21"/>
                <w:lang w:val="en-US" w:eastAsia="zh-CN"/>
              </w:rPr>
            </w:pPr>
            <w:r>
              <w:rPr>
                <w:rFonts w:hint="default" w:ascii="Times New Roman" w:hAnsi="Times New Roman" w:eastAsia="宋体" w:cs="Times New Roman"/>
                <w:color w:val="auto"/>
                <w:kern w:val="0"/>
                <w:sz w:val="21"/>
                <w:szCs w:val="21"/>
                <w:lang w:val="en-US" w:eastAsia="zh-CN"/>
              </w:rPr>
              <w:t>原子荧光光度计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GH-YQ-N85</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2022.12.5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vertAlign w:val="baseline"/>
                <w:lang w:val="en-US" w:eastAsia="zh-CN" w:bidi="ar-SA"/>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镉</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《土壤质量铅、镉的测定</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石墨炉原子吸收分光光度法》GB/T17141-1997</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0.01mg/kg</w:t>
            </w:r>
          </w:p>
        </w:tc>
        <w:tc>
          <w:tcPr>
            <w:tcW w:w="903"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原子吸收分光光度计</w:t>
            </w:r>
          </w:p>
        </w:tc>
        <w:tc>
          <w:tcPr>
            <w:tcW w:w="64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color w:val="auto"/>
                <w:kern w:val="2"/>
                <w:sz w:val="21"/>
                <w:szCs w:val="21"/>
                <w:u w:val="none"/>
                <w:lang w:val="en-US" w:eastAsia="zh-CN" w:bidi="ar-SA"/>
              </w:rPr>
              <w:t>GH-YQ-N191</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center"/>
              <w:rPr>
                <w:rFonts w:hint="default" w:ascii="Times New Roman" w:hAnsi="Times New Roman" w:eastAsia="宋体" w:cs="Times New Roman"/>
                <w:i w:val="0"/>
                <w:color w:val="auto"/>
                <w:kern w:val="2"/>
                <w:sz w:val="21"/>
                <w:szCs w:val="21"/>
                <w:u w:val="none"/>
                <w:lang w:val="en-US" w:eastAsia="zh-CN" w:bidi="ar-SA"/>
              </w:rPr>
            </w:pPr>
            <w:r>
              <w:rPr>
                <w:rFonts w:hint="default" w:ascii="Times New Roman" w:hAnsi="Times New Roman" w:eastAsia="宋体" w:cs="Times New Roman"/>
                <w:i w:val="0"/>
                <w:color w:val="auto"/>
                <w:kern w:val="2"/>
                <w:sz w:val="21"/>
                <w:szCs w:val="21"/>
                <w:u w:val="none"/>
                <w:lang w:val="en-US" w:eastAsia="zh-CN" w:bidi="ar-SA"/>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铬（六价）</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土壤和沉积物六价铬的测定碱溶液提取-火焰原子吸收分光光度法</w:t>
            </w:r>
            <w:r>
              <w:rPr>
                <w:rFonts w:hint="default" w:ascii="Times New Roman" w:hAnsi="Times New Roman" w:eastAsia="宋体" w:cs="Times New Roman"/>
                <w:color w:val="auto"/>
                <w:sz w:val="21"/>
                <w:szCs w:val="21"/>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rPr>
              <w:t>HJ1082-2019</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0.5mg/kg</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原子吸收分光光度计</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GH-YQ-N01</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铜</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vertAlign w:val="baseline"/>
                <w:lang w:val="en-US" w:eastAsia="zh-CN"/>
              </w:rPr>
              <w:t>土壤和沉积物铜、锌、铅、镍、铬的测定火焰原子吸收分光光度法HJ491-2019</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1mg/kg</w:t>
            </w:r>
          </w:p>
        </w:tc>
        <w:tc>
          <w:tcPr>
            <w:tcW w:w="903"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原子吸收分光光度计</w:t>
            </w:r>
          </w:p>
        </w:tc>
        <w:tc>
          <w:tcPr>
            <w:tcW w:w="647"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GH-YQ-N01</w:t>
            </w:r>
          </w:p>
        </w:tc>
        <w:tc>
          <w:tcPr>
            <w:tcW w:w="576" w:type="pct"/>
            <w:vMerge w:val="restar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2023.05.06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铅</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10mg/kg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rPr>
            </w:pPr>
            <w:r>
              <w:rPr>
                <w:rFonts w:hint="default" w:ascii="Times New Roman" w:hAnsi="Times New Roman" w:eastAsia="宋体" w:cs="Times New Roman"/>
                <w:b w:val="0"/>
                <w:bCs/>
                <w:color w:val="auto"/>
                <w:kern w:val="0"/>
                <w:sz w:val="21"/>
                <w:szCs w:val="21"/>
                <w:vertAlign w:val="baseline"/>
                <w:lang w:val="en-US" w:eastAsia="zh-CN"/>
              </w:rPr>
              <w:t>镍</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3mg/kg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firstLine="0" w:firstLineChars="0"/>
              <w:jc w:val="center"/>
              <w:rPr>
                <w:rFonts w:hint="default" w:ascii="Times New Roman" w:hAnsi="Times New Roman" w:eastAsia="宋体" w:cs="Times New Roman"/>
                <w:b w:val="0"/>
                <w:bCs/>
                <w:color w:val="auto"/>
                <w:kern w:val="0"/>
                <w:sz w:val="21"/>
                <w:szCs w:val="21"/>
                <w:vertAlign w:val="baseline"/>
                <w:lang w:val="en-US" w:eastAsia="zh-CN" w:bidi="ar-SA"/>
              </w:rPr>
            </w:pPr>
            <w:r>
              <w:rPr>
                <w:rFonts w:hint="default" w:ascii="Times New Roman" w:hAnsi="Times New Roman" w:eastAsia="宋体" w:cs="Times New Roman"/>
                <w:b w:val="0"/>
                <w:bCs/>
                <w:color w:val="auto"/>
                <w:kern w:val="0"/>
                <w:sz w:val="21"/>
                <w:szCs w:val="21"/>
                <w:vertAlign w:val="baseline"/>
                <w:lang w:eastAsia="zh-CN"/>
              </w:rPr>
              <w:t>汞</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firstLine="0" w:firstLineChars="0"/>
              <w:jc w:val="center"/>
              <w:textAlignment w:val="auto"/>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土壤和沉积物总汞的测定催化热解-冷原子吸收分光光度法</w:t>
            </w:r>
            <w:r>
              <w:rPr>
                <w:rFonts w:hint="default" w:ascii="Times New Roman" w:hAnsi="Times New Roman" w:eastAsia="宋体" w:cs="Times New Roman"/>
                <w:color w:val="auto"/>
                <w:sz w:val="21"/>
                <w:szCs w:val="21"/>
                <w:lang w:eastAsia="zh-CN"/>
              </w:rPr>
              <w:t>》</w:t>
            </w:r>
            <w:r>
              <w:rPr>
                <w:rFonts w:hint="default" w:ascii="Times New Roman" w:hAnsi="Times New Roman" w:eastAsia="宋体" w:cs="Times New Roman"/>
                <w:color w:val="auto"/>
                <w:sz w:val="21"/>
                <w:szCs w:val="21"/>
              </w:rPr>
              <w:t>HJ923-2017</w:t>
            </w:r>
          </w:p>
        </w:tc>
        <w:tc>
          <w:tcPr>
            <w:tcW w:w="60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0.2mg/kg</w:t>
            </w:r>
          </w:p>
        </w:tc>
        <w:tc>
          <w:tcPr>
            <w:tcW w:w="903"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直接测汞仪</w:t>
            </w:r>
          </w:p>
        </w:tc>
        <w:tc>
          <w:tcPr>
            <w:tcW w:w="647"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GH-YQ-N179</w:t>
            </w:r>
          </w:p>
        </w:tc>
        <w:tc>
          <w:tcPr>
            <w:tcW w:w="576" w:type="pct"/>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1，1，2-三氯乙烷</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eastAsia="zh-CN"/>
              </w:rPr>
              <w:t>土壤和沉积物</w:t>
            </w:r>
            <w:r>
              <w:rPr>
                <w:rFonts w:hint="default" w:ascii="Times New Roman" w:hAnsi="Times New Roman" w:eastAsia="宋体" w:cs="Times New Roman"/>
                <w:color w:val="auto"/>
                <w:sz w:val="21"/>
                <w:szCs w:val="21"/>
                <w:highlight w:val="none"/>
                <w:shd w:val="clear" w:color="auto" w:fill="auto"/>
                <w:lang w:val="en-US" w:eastAsia="zh-CN"/>
              </w:rPr>
              <w:t>挥发性有机物的测定吹扫捕集/气相色谱-质谱法》HJ605-2011</w:t>
            </w: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rPr>
              <w:t>气相色谱-质谱联用仪</w:t>
            </w:r>
          </w:p>
        </w:tc>
        <w:tc>
          <w:tcPr>
            <w:tcW w:w="64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GH-YQ-N177</w:t>
            </w:r>
          </w:p>
        </w:tc>
        <w:tc>
          <w:tcPr>
            <w:tcW w:w="57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氯乙烯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1.0</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1，1-二氯乙烯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1.0</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二氯甲烷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1.5</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反-1，2-二氯乙烯</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eastAsia="zh-CN"/>
              </w:rPr>
              <w:t>土壤和沉积物</w:t>
            </w:r>
            <w:r>
              <w:rPr>
                <w:rFonts w:hint="default" w:ascii="Times New Roman" w:hAnsi="Times New Roman" w:eastAsia="宋体" w:cs="Times New Roman"/>
                <w:color w:val="auto"/>
                <w:sz w:val="21"/>
                <w:szCs w:val="21"/>
                <w:highlight w:val="none"/>
                <w:shd w:val="clear" w:color="auto" w:fill="auto"/>
                <w:lang w:val="en-US" w:eastAsia="zh-CN"/>
              </w:rPr>
              <w:t>挥发性有机物的测定吹扫捕集/气相色谱-质谱法》HJ605-2011</w:t>
            </w:r>
          </w:p>
        </w:tc>
        <w:tc>
          <w:tcPr>
            <w:tcW w:w="60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1.4</w:t>
            </w:r>
            <w:r>
              <w:rPr>
                <w:rFonts w:hint="default" w:ascii="Times New Roman" w:hAnsi="Times New Roman" w:eastAsia="宋体" w:cs="Times New Roman"/>
                <w:color w:val="auto"/>
                <w:sz w:val="21"/>
                <w:szCs w:val="21"/>
                <w:highlight w:val="none"/>
                <w:shd w:val="clear" w:color="auto" w:fill="auto"/>
              </w:rPr>
              <w:t>μg/kg</w:t>
            </w:r>
          </w:p>
        </w:tc>
        <w:tc>
          <w:tcPr>
            <w:tcW w:w="903"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rPr>
              <w:t>气相色谱-质谱联用仪</w:t>
            </w:r>
          </w:p>
        </w:tc>
        <w:tc>
          <w:tcPr>
            <w:tcW w:w="64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GH-YQ-N177</w:t>
            </w:r>
          </w:p>
        </w:tc>
        <w:tc>
          <w:tcPr>
            <w:tcW w:w="57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1，1-二氯乙烷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顺-1，2-二氯乙烯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氯仿</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1.1</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1，1，1-三氯乙烷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四氯化碳</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4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57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1，2-二氯乙烷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1.9</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三氯乙烯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1，2-二氯丙烷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1.1</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甲苯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1.3</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四氯乙烯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1.4</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氯苯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1，1，1，2-四氯乙烷</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w:t>
            </w:r>
            <w:r>
              <w:rPr>
                <w:rFonts w:hint="default" w:ascii="Times New Roman" w:hAnsi="Times New Roman" w:eastAsia="宋体" w:cs="Times New Roman"/>
                <w:color w:val="auto"/>
                <w:sz w:val="21"/>
                <w:szCs w:val="21"/>
                <w:highlight w:val="none"/>
                <w:shd w:val="clear" w:color="auto" w:fill="auto"/>
                <w:lang w:eastAsia="zh-CN"/>
              </w:rPr>
              <w:t>土壤和沉积物</w:t>
            </w:r>
            <w:r>
              <w:rPr>
                <w:rFonts w:hint="default" w:ascii="Times New Roman" w:hAnsi="Times New Roman" w:eastAsia="宋体" w:cs="Times New Roman"/>
                <w:color w:val="auto"/>
                <w:sz w:val="21"/>
                <w:szCs w:val="21"/>
                <w:highlight w:val="none"/>
                <w:shd w:val="clear" w:color="auto" w:fill="auto"/>
                <w:lang w:val="en-US" w:eastAsia="zh-CN"/>
              </w:rPr>
              <w:t>挥发性有机物的测定吹扫捕集/气相色谱-质谱法》HJ605-2011</w:t>
            </w: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rPr>
              <w:t>气相色谱-质谱联用仪</w:t>
            </w:r>
          </w:p>
        </w:tc>
        <w:tc>
          <w:tcPr>
            <w:tcW w:w="64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GH-YQ-N177</w:t>
            </w:r>
          </w:p>
        </w:tc>
        <w:tc>
          <w:tcPr>
            <w:tcW w:w="57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2023.04.14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乙苯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间+对-二甲苯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邻-二甲苯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苯乙烯</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1.1</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4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57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1，1，2，2-四氯乙烷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1，2，3-三氯丙烷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1.2</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1，4-二氯苯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1.5</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1，2-二氯苯</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1.5</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氯甲烷</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1.0</w:t>
            </w:r>
            <w:r>
              <w:rPr>
                <w:rFonts w:hint="default" w:ascii="Times New Roman" w:hAnsi="Times New Roman" w:eastAsia="宋体" w:cs="Times New Roman"/>
                <w:color w:val="auto"/>
                <w:sz w:val="21"/>
                <w:szCs w:val="21"/>
                <w:highlight w:val="none"/>
                <w:shd w:val="clear" w:color="auto" w:fill="auto"/>
              </w:rPr>
              <w:t>μg/kg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苯胺</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rPr>
              <w:t>《土壤和沉积物13种苯胺类和2种联苯胺类化合物的测定液相色谱-三重四极杆质谱法》HJ1210-2021</w:t>
            </w: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kern w:val="2"/>
                <w:sz w:val="21"/>
                <w:szCs w:val="21"/>
                <w:highlight w:val="none"/>
                <w:shd w:val="clear" w:color="auto" w:fill="auto"/>
                <w:lang w:val="en-US" w:eastAsia="zh-CN" w:bidi="ar-SA"/>
              </w:rPr>
              <w:t>2</w:t>
            </w:r>
            <w:r>
              <w:rPr>
                <w:rFonts w:hint="default" w:ascii="Times New Roman" w:hAnsi="Times New Roman" w:eastAsia="宋体" w:cs="Times New Roman"/>
                <w:color w:val="auto"/>
                <w:sz w:val="21"/>
                <w:szCs w:val="21"/>
                <w:highlight w:val="none"/>
                <w:shd w:val="clear" w:color="auto" w:fill="auto"/>
              </w:rPr>
              <w:t>μg/kg</w:t>
            </w:r>
          </w:p>
        </w:tc>
        <w:tc>
          <w:tcPr>
            <w:tcW w:w="903"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vertAlign w:val="baseline"/>
                <w:lang w:val="en-US" w:eastAsia="zh-CN" w:bidi="ar-SA"/>
              </w:rPr>
              <w:t>三重四极杆液相色谱质谱联用仪</w:t>
            </w:r>
          </w:p>
        </w:tc>
        <w:tc>
          <w:tcPr>
            <w:tcW w:w="64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vertAlign w:val="baseline"/>
                <w:lang w:val="en-US" w:eastAsia="zh-CN" w:bidi="ar-SA"/>
              </w:rPr>
              <w:t>GH-YQ-N175</w:t>
            </w:r>
          </w:p>
        </w:tc>
        <w:tc>
          <w:tcPr>
            <w:tcW w:w="57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kern w:val="2"/>
                <w:sz w:val="21"/>
                <w:szCs w:val="21"/>
                <w:highlight w:val="none"/>
                <w:vertAlign w:val="baseline"/>
                <w:lang w:val="en-US" w:eastAsia="zh-CN" w:bidi="ar-SA"/>
              </w:rPr>
              <w:t>2023.06.01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硝基苯</w:t>
            </w:r>
          </w:p>
        </w:tc>
        <w:tc>
          <w:tcPr>
            <w:tcW w:w="143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《土壤和沉积物半挥发性有机物的测定气相色谱-质谱法》HJ834-2017</w:t>
            </w: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0.09</w:t>
            </w:r>
            <w:r>
              <w:rPr>
                <w:rFonts w:hint="default" w:ascii="Times New Roman" w:hAnsi="Times New Roman" w:eastAsia="宋体" w:cs="Times New Roman"/>
                <w:color w:val="auto"/>
                <w:sz w:val="21"/>
                <w:szCs w:val="21"/>
                <w:highlight w:val="none"/>
                <w:shd w:val="clear" w:color="auto" w:fill="auto"/>
              </w:rPr>
              <w:t>mg/kg</w:t>
            </w:r>
          </w:p>
        </w:tc>
        <w:tc>
          <w:tcPr>
            <w:tcW w:w="903"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rPr>
              <w:t>气相色谱-质谱联用仪</w:t>
            </w:r>
          </w:p>
        </w:tc>
        <w:tc>
          <w:tcPr>
            <w:tcW w:w="647"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GH-YQ-N133</w:t>
            </w:r>
          </w:p>
        </w:tc>
        <w:tc>
          <w:tcPr>
            <w:tcW w:w="576" w:type="pc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2023.07.31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2-氯酚</w:t>
            </w:r>
          </w:p>
        </w:tc>
        <w:tc>
          <w:tcPr>
            <w:tcW w:w="143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《土壤和沉积物半挥发性有机物的测定气相色谱-质谱法》HJ834-2017</w:t>
            </w: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0.06</w:t>
            </w:r>
            <w:r>
              <w:rPr>
                <w:rFonts w:hint="default" w:ascii="Times New Roman" w:hAnsi="Times New Roman" w:eastAsia="宋体" w:cs="Times New Roman"/>
                <w:color w:val="auto"/>
                <w:sz w:val="21"/>
                <w:szCs w:val="21"/>
                <w:highlight w:val="none"/>
                <w:shd w:val="clear" w:color="auto" w:fill="auto"/>
              </w:rPr>
              <w:t>mg/kg</w:t>
            </w:r>
          </w:p>
        </w:tc>
        <w:tc>
          <w:tcPr>
            <w:tcW w:w="903"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rPr>
              <w:t>气相色谱-质谱联用仪</w:t>
            </w:r>
          </w:p>
        </w:tc>
        <w:tc>
          <w:tcPr>
            <w:tcW w:w="647"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GH-YQ-N133</w:t>
            </w:r>
          </w:p>
        </w:tc>
        <w:tc>
          <w:tcPr>
            <w:tcW w:w="576" w:type="pct"/>
            <w:vMerge w:val="restart"/>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2023.07.31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苯并（a）芘</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苯并（a）蒽</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苯并（b）荧蒽</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0.2</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苯并（k）荧蒽</w:t>
            </w:r>
          </w:p>
        </w:tc>
        <w:tc>
          <w:tcPr>
            <w:tcW w:w="143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647"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c>
          <w:tcPr>
            <w:tcW w:w="576" w:type="pct"/>
            <w:vMerge w:val="continue"/>
            <w:shd w:val="clear" w:color="auto" w:fill="auto"/>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二苯并（a，h）蒽</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茚并（1，2，3-cd）芘</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萘</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0.09</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67" w:hRule="atLeast"/>
          <w:jc w:val="center"/>
        </w:trPr>
        <w:tc>
          <w:tcPr>
            <w:tcW w:w="242" w:type="pct"/>
            <w:shd w:val="clear" w:color="auto" w:fill="auto"/>
            <w:vAlign w:val="center"/>
          </w:tcPr>
          <w:p>
            <w:pPr>
              <w:keepNext w:val="0"/>
              <w:keepLines w:val="0"/>
              <w:pageBreakBefore w:val="0"/>
              <w:widowControl w:val="0"/>
              <w:numPr>
                <w:ilvl w:val="0"/>
                <w:numId w:val="5"/>
              </w:numPr>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color w:val="auto"/>
                <w:sz w:val="21"/>
                <w:szCs w:val="21"/>
                <w:vertAlign w:val="baseline"/>
                <w:lang w:val="en-US" w:eastAsia="zh-CN"/>
              </w:rPr>
            </w:pPr>
          </w:p>
        </w:tc>
        <w:tc>
          <w:tcPr>
            <w:tcW w:w="588"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color w:val="auto"/>
                <w:sz w:val="21"/>
                <w:szCs w:val="21"/>
                <w:highlight w:val="none"/>
                <w:shd w:val="clear" w:color="auto" w:fill="auto"/>
                <w:lang w:val="zh-CN"/>
              </w:rPr>
              <w:t>䓛</w:t>
            </w:r>
          </w:p>
        </w:tc>
        <w:tc>
          <w:tcPr>
            <w:tcW w:w="143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06" w:type="pct"/>
            <w:shd w:val="clear" w:color="auto" w:fill="auto"/>
            <w:vAlign w:val="center"/>
          </w:tcPr>
          <w:p>
            <w:pPr>
              <w:keepNext w:val="0"/>
              <w:keepLines w:val="0"/>
              <w:pageBreakBefore w:val="0"/>
              <w:kinsoku/>
              <w:wordWrap/>
              <w:overflowPunct/>
              <w:topLinePunct w:val="0"/>
              <w:autoSpaceDE/>
              <w:autoSpaceDN/>
              <w:bidi w:val="0"/>
              <w:adjustRightInd/>
              <w:spacing w:line="240" w:lineRule="auto"/>
              <w:ind w:left="0" w:leftChars="0"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shd w:val="clear" w:color="auto" w:fill="auto"/>
                <w:lang w:val="en-US" w:eastAsia="zh-CN"/>
              </w:rPr>
              <w:t>0.1</w:t>
            </w:r>
            <w:r>
              <w:rPr>
                <w:rFonts w:hint="default" w:ascii="Times New Roman" w:hAnsi="Times New Roman" w:eastAsia="宋体" w:cs="Times New Roman"/>
                <w:color w:val="auto"/>
                <w:sz w:val="21"/>
                <w:szCs w:val="21"/>
                <w:highlight w:val="none"/>
                <w:shd w:val="clear" w:color="auto" w:fill="auto"/>
              </w:rPr>
              <w:t>mg/kg</w:t>
            </w:r>
          </w:p>
        </w:tc>
        <w:tc>
          <w:tcPr>
            <w:tcW w:w="903"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647"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c>
          <w:tcPr>
            <w:tcW w:w="576" w:type="pct"/>
            <w:vMerge w:val="continue"/>
            <w:shd w:val="clear" w:color="auto" w:fill="auto"/>
            <w:vAlign w:val="center"/>
          </w:tcPr>
          <w:p>
            <w:pPr>
              <w:keepNext w:val="0"/>
              <w:keepLines w:val="0"/>
              <w:pageBreakBefore w:val="0"/>
              <w:widowControl/>
              <w:suppressLineNumbers w:val="0"/>
              <w:kinsoku/>
              <w:wordWrap/>
              <w:overflowPunct/>
              <w:topLinePunct w:val="0"/>
              <w:autoSpaceDE/>
              <w:autoSpaceDN/>
              <w:bidi w:val="0"/>
              <w:adjustRightInd/>
              <w:spacing w:line="240" w:lineRule="auto"/>
              <w:ind w:left="0" w:firstLine="0" w:firstLineChars="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p>
        </w:tc>
      </w:tr>
    </w:tbl>
    <w:p>
      <w:pPr>
        <w:pStyle w:val="8"/>
        <w:keepNext w:val="0"/>
        <w:keepLines w:val="0"/>
        <w:pageBreakBefore w:val="0"/>
        <w:widowControl w:val="0"/>
        <w:numPr>
          <w:ilvl w:val="0"/>
          <w:numId w:val="0"/>
        </w:numPr>
        <w:kinsoku/>
        <w:wordWrap/>
        <w:overflowPunct/>
        <w:topLinePunct w:val="0"/>
        <w:autoSpaceDE/>
        <w:autoSpaceDN/>
        <w:bidi w:val="0"/>
        <w:adjustRightInd/>
        <w:snapToGrid/>
        <w:spacing w:after="0"/>
        <w:ind w:firstLine="0" w:firstLineChars="0"/>
        <w:jc w:val="both"/>
        <w:textAlignment w:val="auto"/>
        <w:outlineLvl w:val="9"/>
        <w:rPr>
          <w:rFonts w:hint="default"/>
          <w:color w:val="auto"/>
          <w:sz w:val="24"/>
          <w:szCs w:val="24"/>
          <w:highlight w:val="red"/>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cs="Times New Roman"/>
          <w:b/>
          <w:bCs/>
          <w:color w:val="auto"/>
          <w:szCs w:val="28"/>
          <w:highlight w:val="none"/>
          <w:lang w:val="en-US" w:eastAsia="zh-CN"/>
        </w:rPr>
      </w:pPr>
      <w:bookmarkStart w:id="98" w:name="_Toc11782"/>
      <w:bookmarkStart w:id="99" w:name="_Toc20895"/>
      <w:bookmarkStart w:id="100" w:name="_Toc13166"/>
      <w:bookmarkStart w:id="101" w:name="_Toc27588"/>
      <w:bookmarkStart w:id="102" w:name="_Toc24979_WPSOffice_Level1"/>
      <w:r>
        <w:rPr>
          <w:rFonts w:hint="eastAsia" w:ascii="Times New Roman" w:hAnsi="Times New Roman" w:eastAsia="宋体" w:cs="Times New Roman"/>
          <w:b/>
          <w:bCs/>
          <w:color w:val="auto"/>
          <w:szCs w:val="28"/>
          <w:highlight w:val="none"/>
          <w:lang w:val="en-US" w:eastAsia="zh-CN"/>
        </w:rPr>
        <w:t>8.3人员能力</w:t>
      </w:r>
      <w:bookmarkEnd w:id="98"/>
    </w:p>
    <w:p>
      <w:pPr>
        <w:keepNext/>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9"/>
        <w:rPr>
          <w:rFonts w:hint="default" w:ascii="Times New Roman" w:hAnsi="Times New Roman" w:cs="Times New Roman"/>
          <w:b w:val="0"/>
          <w:bCs/>
          <w:color w:val="000000"/>
          <w:sz w:val="24"/>
          <w:szCs w:val="24"/>
        </w:rPr>
      </w:pPr>
      <w:r>
        <w:rPr>
          <w:rFonts w:hint="default" w:ascii="Times New Roman" w:hAnsi="Times New Roman" w:cs="Times New Roman"/>
          <w:b w:val="0"/>
          <w:bCs/>
          <w:color w:val="000000"/>
          <w:sz w:val="24"/>
          <w:szCs w:val="24"/>
        </w:rPr>
        <w:t>按照管理手册要求以及验收监测技术</w:t>
      </w:r>
      <w:r>
        <w:rPr>
          <w:rFonts w:hint="default" w:ascii="Times New Roman" w:hAnsi="Times New Roman" w:cs="Times New Roman"/>
          <w:b w:val="0"/>
          <w:bCs/>
          <w:color w:val="000000"/>
          <w:sz w:val="24"/>
          <w:szCs w:val="24"/>
          <w:lang w:val="en-US" w:eastAsia="zh-CN"/>
        </w:rPr>
        <w:t>规范</w:t>
      </w:r>
      <w:r>
        <w:rPr>
          <w:rFonts w:hint="default" w:ascii="Times New Roman" w:hAnsi="Times New Roman" w:cs="Times New Roman"/>
          <w:b w:val="0"/>
          <w:bCs/>
          <w:color w:val="000000"/>
          <w:sz w:val="24"/>
          <w:szCs w:val="24"/>
        </w:rPr>
        <w:t>要求，在本次验收监测中我公司始终将质量保证工作贯穿于验收监测工作的全过程，整个过程中全部监测人员持证上岗。</w:t>
      </w: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cs="Times New Roman"/>
          <w:b/>
          <w:bCs/>
          <w:color w:val="auto"/>
          <w:szCs w:val="28"/>
          <w:highlight w:val="none"/>
          <w:lang w:val="en-US" w:eastAsia="zh-CN"/>
        </w:rPr>
      </w:pPr>
      <w:bookmarkStart w:id="103" w:name="_Toc16197"/>
      <w:bookmarkStart w:id="104" w:name="_Toc29056"/>
      <w:r>
        <w:rPr>
          <w:rFonts w:hint="eastAsia" w:ascii="Times New Roman" w:hAnsi="Times New Roman" w:eastAsia="宋体" w:cs="Times New Roman"/>
          <w:b/>
          <w:bCs/>
          <w:color w:val="auto"/>
          <w:szCs w:val="28"/>
          <w:highlight w:val="none"/>
          <w:lang w:val="en-US" w:eastAsia="zh-CN"/>
        </w:rPr>
        <w:t>8.4水质监测分析过程中的质量保证和质量控制</w:t>
      </w:r>
      <w:bookmarkEnd w:id="103"/>
      <w:bookmarkEnd w:id="104"/>
    </w:p>
    <w:p>
      <w:pPr>
        <w:keepNext/>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eastAsia="宋体" w:cs="Times New Roman"/>
          <w:b w:val="0"/>
          <w:bCs/>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b w:val="0"/>
          <w:bCs/>
          <w:sz w:val="24"/>
          <w:szCs w:val="24"/>
        </w:rPr>
        <w:t>按照</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lang w:val="en-US" w:eastAsia="zh-CN"/>
        </w:rPr>
        <w:t>地下水环境检测技术规范</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lang w:val="en-US" w:eastAsia="zh-CN"/>
        </w:rPr>
        <w:t>HJ164-2020</w:t>
      </w:r>
      <w:r>
        <w:rPr>
          <w:rFonts w:hint="default" w:ascii="Times New Roman" w:hAnsi="Times New Roman" w:eastAsia="宋体" w:cs="Times New Roman"/>
          <w:b w:val="0"/>
          <w:bCs/>
          <w:sz w:val="24"/>
          <w:szCs w:val="24"/>
          <w:lang w:eastAsia="zh-CN"/>
        </w:rPr>
        <w:t>）</w:t>
      </w:r>
      <w:r>
        <w:rPr>
          <w:rFonts w:hint="default" w:ascii="Times New Roman" w:hAnsi="Times New Roman" w:eastAsia="宋体" w:cs="Times New Roman"/>
          <w:b w:val="0"/>
          <w:bCs/>
          <w:sz w:val="24"/>
          <w:szCs w:val="24"/>
        </w:rPr>
        <w:t>要求采集、保存样品，采样时按10%的比例加采密码平行样，统一编号分析。实验室分析人员按分析质量控制规定按总样品量的10%加测平行双样，每批样品同时测定一对空白试验。</w:t>
      </w:r>
    </w:p>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Times New Roman" w:hAnsi="Times New Roman" w:cs="Times New Roman"/>
          <w:b/>
          <w:bCs/>
          <w:color w:val="auto"/>
          <w:szCs w:val="28"/>
          <w:highlight w:val="none"/>
        </w:rPr>
      </w:pPr>
      <w:bookmarkStart w:id="105" w:name="_Toc11761"/>
      <w:r>
        <w:rPr>
          <w:rFonts w:hint="eastAsia" w:cs="Times New Roman"/>
          <w:b/>
          <w:bCs/>
          <w:color w:val="auto"/>
          <w:szCs w:val="28"/>
          <w:highlight w:val="none"/>
          <w:lang w:val="en-US" w:eastAsia="zh-CN"/>
        </w:rPr>
        <w:t>8</w:t>
      </w:r>
      <w:r>
        <w:rPr>
          <w:rFonts w:hint="default" w:ascii="Times New Roman" w:hAnsi="Times New Roman" w:cs="Times New Roman"/>
          <w:b/>
          <w:bCs/>
          <w:color w:val="auto"/>
          <w:szCs w:val="28"/>
          <w:highlight w:val="none"/>
        </w:rPr>
        <w:t>.</w:t>
      </w:r>
      <w:r>
        <w:rPr>
          <w:rFonts w:hint="eastAsia" w:cs="Times New Roman"/>
          <w:b/>
          <w:bCs/>
          <w:color w:val="auto"/>
          <w:szCs w:val="28"/>
          <w:highlight w:val="none"/>
          <w:lang w:val="en-US" w:eastAsia="zh-CN"/>
        </w:rPr>
        <w:t>5</w:t>
      </w:r>
      <w:r>
        <w:rPr>
          <w:rFonts w:hint="eastAsia" w:cs="Times New Roman"/>
          <w:b/>
          <w:bCs/>
          <w:color w:val="auto"/>
          <w:szCs w:val="28"/>
          <w:highlight w:val="none"/>
          <w:lang w:eastAsia="zh-CN"/>
        </w:rPr>
        <w:t>废气</w:t>
      </w:r>
      <w:r>
        <w:rPr>
          <w:rFonts w:hint="default" w:ascii="Times New Roman" w:hAnsi="Times New Roman" w:cs="Times New Roman"/>
          <w:b/>
          <w:bCs/>
          <w:color w:val="auto"/>
          <w:szCs w:val="28"/>
          <w:highlight w:val="none"/>
        </w:rPr>
        <w:t>监测分析过程中的质量保证和质量控制</w:t>
      </w:r>
      <w:bookmarkEnd w:id="10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rPr>
      </w:pPr>
      <w:r>
        <w:rPr>
          <w:rFonts w:hint="default" w:ascii="Times New Roman" w:hAnsi="Times New Roman" w:cs="Times New Roman"/>
          <w:sz w:val="24"/>
        </w:rPr>
        <w:t>按</w:t>
      </w:r>
      <w:r>
        <w:rPr>
          <w:rFonts w:hint="eastAsia" w:cs="Times New Roman"/>
          <w:sz w:val="24"/>
          <w:lang w:eastAsia="zh-CN"/>
        </w:rPr>
        <w:t>照</w:t>
      </w:r>
      <w:r>
        <w:rPr>
          <w:rFonts w:hint="default" w:ascii="Times New Roman" w:hAnsi="Times New Roman" w:cs="Times New Roman"/>
          <w:sz w:val="24"/>
        </w:rPr>
        <w:t>《固定污染源排气中颗粒物与气态污染物采样方法》</w:t>
      </w:r>
      <w:r>
        <w:rPr>
          <w:rFonts w:hint="default" w:ascii="Times New Roman" w:hAnsi="Times New Roman" w:cs="Times New Roman"/>
          <w:sz w:val="24"/>
          <w:lang w:eastAsia="zh-CN"/>
        </w:rPr>
        <w:t>（</w:t>
      </w:r>
      <w:r>
        <w:rPr>
          <w:rFonts w:hint="default" w:ascii="Times New Roman" w:hAnsi="Times New Roman" w:cs="Times New Roman"/>
          <w:sz w:val="24"/>
        </w:rPr>
        <w:t>GB/T16157</w:t>
      </w:r>
      <w:r>
        <w:rPr>
          <w:rFonts w:hint="default" w:ascii="Times New Roman" w:hAnsi="Times New Roman" w:cs="Times New Roman"/>
          <w:sz w:val="24"/>
          <w:lang w:val="en-US" w:eastAsia="zh-CN"/>
        </w:rPr>
        <w:t>-</w:t>
      </w:r>
      <w:r>
        <w:rPr>
          <w:rFonts w:hint="default" w:ascii="Times New Roman" w:hAnsi="Times New Roman" w:cs="Times New Roman"/>
          <w:sz w:val="24"/>
        </w:rPr>
        <w:t>1996</w:t>
      </w:r>
      <w:r>
        <w:rPr>
          <w:rFonts w:hint="default" w:ascii="Times New Roman" w:hAnsi="Times New Roman" w:cs="Times New Roman"/>
          <w:sz w:val="24"/>
          <w:lang w:eastAsia="zh-CN"/>
        </w:rPr>
        <w:t>）</w:t>
      </w:r>
      <w:r>
        <w:rPr>
          <w:rFonts w:hint="default" w:ascii="Times New Roman" w:hAnsi="Times New Roman" w:cs="Times New Roman"/>
          <w:sz w:val="24"/>
        </w:rPr>
        <w:t>、《固定污染源废气监测技术规范》</w:t>
      </w:r>
      <w:r>
        <w:rPr>
          <w:rFonts w:hint="default" w:ascii="Times New Roman" w:hAnsi="Times New Roman" w:cs="Times New Roman"/>
          <w:sz w:val="24"/>
          <w:lang w:eastAsia="zh-CN"/>
        </w:rPr>
        <w:t>（</w:t>
      </w:r>
      <w:r>
        <w:rPr>
          <w:rFonts w:hint="default" w:ascii="Times New Roman" w:hAnsi="Times New Roman" w:cs="Times New Roman"/>
          <w:sz w:val="24"/>
        </w:rPr>
        <w:t>HJ/T397-2007</w:t>
      </w:r>
      <w:r>
        <w:rPr>
          <w:rFonts w:hint="default" w:ascii="Times New Roman" w:hAnsi="Times New Roman" w:cs="Times New Roman"/>
          <w:sz w:val="24"/>
          <w:lang w:eastAsia="zh-CN"/>
        </w:rPr>
        <w:t>）</w:t>
      </w:r>
      <w:r>
        <w:rPr>
          <w:rFonts w:hint="default" w:ascii="Times New Roman" w:hAnsi="Times New Roman" w:cs="Times New Roman"/>
          <w:sz w:val="24"/>
        </w:rPr>
        <w:t>、《固定污染源监测质量保证与质量控制技术规范（实行）》</w:t>
      </w:r>
      <w:r>
        <w:rPr>
          <w:rFonts w:hint="default" w:ascii="Times New Roman" w:hAnsi="Times New Roman" w:cs="Times New Roman"/>
          <w:sz w:val="24"/>
          <w:lang w:eastAsia="zh-CN"/>
        </w:rPr>
        <w:t>（</w:t>
      </w:r>
      <w:r>
        <w:rPr>
          <w:rFonts w:hint="default" w:ascii="Times New Roman" w:hAnsi="Times New Roman" w:cs="Times New Roman"/>
          <w:sz w:val="24"/>
        </w:rPr>
        <w:t>HJ/T373-2007</w:t>
      </w:r>
      <w:r>
        <w:rPr>
          <w:rFonts w:hint="default" w:ascii="Times New Roman" w:hAnsi="Times New Roman" w:cs="Times New Roman"/>
          <w:sz w:val="24"/>
          <w:lang w:eastAsia="zh-CN"/>
        </w:rPr>
        <w:t>）</w:t>
      </w:r>
      <w:r>
        <w:rPr>
          <w:rFonts w:hint="default" w:ascii="Times New Roman" w:hAnsi="Times New Roman" w:cs="Times New Roman"/>
          <w:sz w:val="24"/>
        </w:rPr>
        <w:t>和《大气污染物无组织排放监测技术导则》</w:t>
      </w:r>
      <w:r>
        <w:rPr>
          <w:rFonts w:hint="default" w:ascii="Times New Roman" w:hAnsi="Times New Roman" w:cs="Times New Roman"/>
          <w:sz w:val="24"/>
          <w:lang w:eastAsia="zh-CN"/>
        </w:rPr>
        <w:t>（</w:t>
      </w:r>
      <w:r>
        <w:rPr>
          <w:rFonts w:hint="default" w:ascii="Times New Roman" w:hAnsi="Times New Roman" w:cs="Times New Roman"/>
          <w:sz w:val="24"/>
        </w:rPr>
        <w:t>HJ55-2000</w:t>
      </w:r>
      <w:r>
        <w:rPr>
          <w:rFonts w:hint="default" w:ascii="Times New Roman" w:hAnsi="Times New Roman" w:cs="Times New Roman"/>
          <w:sz w:val="24"/>
          <w:lang w:eastAsia="zh-CN"/>
        </w:rPr>
        <w:t>）</w:t>
      </w:r>
      <w:r>
        <w:rPr>
          <w:rFonts w:hint="default" w:ascii="Times New Roman" w:hAnsi="Times New Roman" w:cs="Times New Roman"/>
          <w:sz w:val="24"/>
        </w:rPr>
        <w:t>进行，使用仪器为</w:t>
      </w:r>
      <w:r>
        <w:rPr>
          <w:rFonts w:hint="default" w:ascii="Times New Roman" w:hAnsi="Times New Roman" w:cs="Times New Roman"/>
          <w:sz w:val="24"/>
          <w:lang w:val="en-US" w:eastAsia="zh-CN"/>
        </w:rPr>
        <w:t>经检验机构</w:t>
      </w:r>
      <w:r>
        <w:rPr>
          <w:rFonts w:hint="default" w:ascii="Times New Roman" w:hAnsi="Times New Roman" w:cs="Times New Roman"/>
          <w:sz w:val="24"/>
        </w:rPr>
        <w:t>检定合格并在有效期内的测试仪</w:t>
      </w:r>
      <w:r>
        <w:rPr>
          <w:rFonts w:hint="default" w:ascii="Times New Roman" w:hAnsi="Times New Roman" w:cs="Times New Roman"/>
          <w:sz w:val="24"/>
          <w:lang w:val="en-US" w:eastAsia="zh-CN"/>
        </w:rPr>
        <w:t>器</w:t>
      </w:r>
      <w:r>
        <w:rPr>
          <w:rFonts w:hint="default" w:ascii="Times New Roman" w:hAnsi="Times New Roman" w:cs="Times New Roman"/>
          <w:sz w:val="24"/>
        </w:rPr>
        <w:t>。废气样品的采集、分析及分析结果的计算，严格按国家环保局《环境监测技术规范》（大气和废气部分）、《空气和废气监测分析方法》（第四版）执行，实行全程序质量控制。</w:t>
      </w:r>
    </w:p>
    <w:p>
      <w:pPr>
        <w:spacing w:line="360" w:lineRule="auto"/>
        <w:jc w:val="center"/>
        <w:rPr>
          <w:rFonts w:hint="eastAsia" w:ascii="黑体" w:hAnsi="黑体" w:eastAsia="黑体" w:cs="黑体"/>
          <w:b w:val="0"/>
          <w:bCs/>
          <w:sz w:val="24"/>
        </w:rPr>
      </w:pPr>
      <w:r>
        <w:rPr>
          <w:rFonts w:hint="eastAsia" w:ascii="黑体" w:hAnsi="黑体" w:eastAsia="黑体" w:cs="黑体"/>
          <w:b w:val="0"/>
          <w:bCs/>
          <w:color w:val="000000"/>
          <w:szCs w:val="21"/>
        </w:rPr>
        <w:t>表8-</w:t>
      </w:r>
      <w:r>
        <w:rPr>
          <w:rFonts w:hint="eastAsia" w:ascii="黑体" w:hAnsi="黑体" w:eastAsia="黑体" w:cs="黑体"/>
          <w:b w:val="0"/>
          <w:bCs/>
          <w:color w:val="000000"/>
          <w:szCs w:val="21"/>
          <w:lang w:val="en-US" w:eastAsia="zh-CN"/>
        </w:rPr>
        <w:t>2气体检测质控情况一览表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2"/>
        <w:gridCol w:w="1142"/>
        <w:gridCol w:w="1535"/>
        <w:gridCol w:w="1336"/>
        <w:gridCol w:w="1142"/>
        <w:gridCol w:w="1282"/>
        <w:gridCol w:w="1282"/>
        <w:gridCol w:w="1147"/>
        <w:gridCol w:w="1147"/>
        <w:gridCol w:w="1147"/>
        <w:gridCol w:w="1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仪器名称</w:t>
            </w:r>
          </w:p>
        </w:tc>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w:t>
            </w:r>
            <w:r>
              <w:rPr>
                <w:rFonts w:hint="eastAsia" w:ascii="Times New Roman" w:hAnsi="Times New Roman" w:eastAsia="宋体" w:cs="Times New Roman"/>
                <w:sz w:val="21"/>
                <w:szCs w:val="21"/>
                <w:vertAlign w:val="baseline"/>
                <w:lang w:val="en-US" w:eastAsia="zh-CN"/>
              </w:rPr>
              <w:t>型号</w:t>
            </w:r>
          </w:p>
        </w:tc>
        <w:tc>
          <w:tcPr>
            <w:tcW w:w="57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仪器编号</w:t>
            </w:r>
          </w:p>
        </w:tc>
        <w:tc>
          <w:tcPr>
            <w:tcW w:w="49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校验日期</w:t>
            </w:r>
          </w:p>
        </w:tc>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校正项目</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校验值（L/min）</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实测</w:t>
            </w:r>
            <w:r>
              <w:rPr>
                <w:rFonts w:hint="eastAsia" w:ascii="Times New Roman" w:hAnsi="Times New Roman" w:eastAsia="宋体" w:cs="Times New Roman"/>
                <w:sz w:val="21"/>
                <w:szCs w:val="21"/>
                <w:vertAlign w:val="baseline"/>
                <w:lang w:val="en-US" w:eastAsia="zh-CN"/>
              </w:rPr>
              <w:t>平均</w:t>
            </w:r>
            <w:r>
              <w:rPr>
                <w:rFonts w:hint="default" w:ascii="Times New Roman" w:hAnsi="Times New Roman" w:eastAsia="宋体" w:cs="Times New Roman"/>
                <w:sz w:val="21"/>
                <w:szCs w:val="21"/>
                <w:vertAlign w:val="baseline"/>
                <w:lang w:val="en-US" w:eastAsia="zh-CN"/>
              </w:rPr>
              <w:t>流量（L/min）</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相对偏差（%）</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是否合格</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要求</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仪器校准有效日期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环境空气颗粒物综合采样器</w:t>
            </w:r>
          </w:p>
        </w:tc>
        <w:tc>
          <w:tcPr>
            <w:tcW w:w="424"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ZR-3922</w:t>
            </w:r>
            <w:r>
              <w:rPr>
                <w:rFonts w:hint="eastAsia" w:ascii="宋体" w:hAnsi="宋体" w:eastAsia="宋体" w:cs="宋体"/>
                <w:i w:val="0"/>
                <w:color w:val="000000"/>
                <w:kern w:val="0"/>
                <w:sz w:val="21"/>
                <w:szCs w:val="21"/>
                <w:u w:val="none"/>
                <w:lang w:val="en-US" w:eastAsia="zh-CN" w:bidi="ar"/>
              </w:rPr>
              <w:t>型</w:t>
            </w:r>
          </w:p>
        </w:tc>
        <w:tc>
          <w:tcPr>
            <w:tcW w:w="57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GH-YQ-W</w:t>
            </w:r>
            <w:r>
              <w:rPr>
                <w:rFonts w:hint="eastAsia" w:cs="Times New Roman"/>
                <w:i w:val="0"/>
                <w:color w:val="000000"/>
                <w:kern w:val="0"/>
                <w:sz w:val="21"/>
                <w:szCs w:val="21"/>
                <w:u w:val="none"/>
                <w:lang w:val="en-US" w:eastAsia="zh-CN" w:bidi="ar"/>
              </w:rPr>
              <w:t>139</w:t>
            </w:r>
          </w:p>
        </w:tc>
        <w:tc>
          <w:tcPr>
            <w:tcW w:w="496" w:type="pct"/>
            <w:vMerge w:val="restar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eastAsia" w:ascii="Times New Roman" w:hAnsi="Times New Roman" w:eastAsia="宋体" w:cs="Times New Roman"/>
                <w:sz w:val="21"/>
                <w:szCs w:val="21"/>
                <w:vertAlign w:val="baseline"/>
                <w:lang w:val="en-US" w:eastAsia="zh-CN"/>
              </w:rPr>
              <w:t>-6-1</w:t>
            </w:r>
          </w:p>
        </w:tc>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流量A路</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0.5</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0.493</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1.3</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是</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w:t>
            </w:r>
          </w:p>
        </w:tc>
        <w:tc>
          <w:tcPr>
            <w:tcW w:w="426"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202</w:t>
            </w:r>
            <w:r>
              <w:rPr>
                <w:rFonts w:hint="eastAsia"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5</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color w:val="000000"/>
                <w:kern w:val="0"/>
                <w:sz w:val="21"/>
                <w:szCs w:val="21"/>
                <w:u w:val="none"/>
                <w:lang w:val="en-US" w:eastAsia="zh-CN" w:bidi="ar"/>
              </w:rPr>
            </w:pPr>
          </w:p>
        </w:tc>
        <w:tc>
          <w:tcPr>
            <w:tcW w:w="42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57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496"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流量B路</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0.307</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2.2</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是</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w:t>
            </w:r>
          </w:p>
        </w:tc>
        <w:tc>
          <w:tcPr>
            <w:tcW w:w="426"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42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color w:val="000000"/>
                <w:kern w:val="0"/>
                <w:sz w:val="21"/>
                <w:szCs w:val="21"/>
                <w:u w:val="none"/>
                <w:lang w:val="en-US" w:eastAsia="zh-CN" w:bidi="ar"/>
              </w:rPr>
            </w:pPr>
          </w:p>
        </w:tc>
        <w:tc>
          <w:tcPr>
            <w:tcW w:w="424"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57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color w:val="000000"/>
                <w:kern w:val="0"/>
                <w:sz w:val="21"/>
                <w:szCs w:val="21"/>
                <w:u w:val="none"/>
                <w:lang w:val="en-US" w:eastAsia="zh-CN" w:bidi="ar"/>
              </w:rPr>
            </w:pPr>
          </w:p>
        </w:tc>
        <w:tc>
          <w:tcPr>
            <w:tcW w:w="496"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424"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TSP</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100</w:t>
            </w:r>
          </w:p>
        </w:tc>
        <w:tc>
          <w:tcPr>
            <w:tcW w:w="47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100.2</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0.17</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是</w:t>
            </w:r>
          </w:p>
        </w:tc>
        <w:tc>
          <w:tcPr>
            <w:tcW w:w="42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w:t>
            </w:r>
          </w:p>
        </w:tc>
        <w:tc>
          <w:tcPr>
            <w:tcW w:w="426"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eastAsia" w:ascii="Times New Roman" w:hAnsi="Times New Roman" w:eastAsia="宋体" w:cs="Times New Roman"/>
                <w:sz w:val="21"/>
                <w:szCs w:val="21"/>
                <w:vertAlign w:val="baseline"/>
                <w:lang w:val="en-US" w:eastAsia="zh-CN"/>
              </w:rPr>
            </w:pPr>
          </w:p>
        </w:tc>
      </w:tr>
    </w:tbl>
    <w:p>
      <w:pPr>
        <w:spacing w:line="360" w:lineRule="auto"/>
        <w:jc w:val="center"/>
        <w:rPr>
          <w:rFonts w:hint="eastAsia" w:ascii="黑体" w:hAnsi="黑体" w:eastAsia="黑体" w:cs="黑体"/>
          <w:b w:val="0"/>
          <w:bCs/>
          <w:color w:val="000000"/>
          <w:szCs w:val="21"/>
        </w:rPr>
      </w:pPr>
      <w:r>
        <w:rPr>
          <w:rFonts w:hint="eastAsia" w:ascii="黑体" w:hAnsi="黑体" w:eastAsia="黑体" w:cs="黑体"/>
          <w:b w:val="0"/>
          <w:bCs/>
          <w:color w:val="000000"/>
          <w:szCs w:val="21"/>
        </w:rPr>
        <w:t>表8-</w:t>
      </w:r>
      <w:r>
        <w:rPr>
          <w:rFonts w:hint="eastAsia" w:ascii="黑体" w:hAnsi="黑体" w:eastAsia="黑体" w:cs="黑体"/>
          <w:b w:val="0"/>
          <w:bCs/>
          <w:color w:val="000000"/>
          <w:szCs w:val="21"/>
          <w:lang w:val="en-US" w:eastAsia="zh-CN"/>
        </w:rPr>
        <w:t>3气体检测质控情况一览表</w:t>
      </w:r>
    </w:p>
    <w:tbl>
      <w:tblPr>
        <w:tblStyle w:val="2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0"/>
        <w:gridCol w:w="1203"/>
        <w:gridCol w:w="1394"/>
        <w:gridCol w:w="1092"/>
        <w:gridCol w:w="1653"/>
        <w:gridCol w:w="1179"/>
        <w:gridCol w:w="1179"/>
        <w:gridCol w:w="1179"/>
        <w:gridCol w:w="1179"/>
        <w:gridCol w:w="1179"/>
        <w:gridCol w:w="11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仪器名称</w:t>
            </w:r>
          </w:p>
        </w:tc>
        <w:tc>
          <w:tcPr>
            <w:tcW w:w="449"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w:t>
            </w:r>
            <w:r>
              <w:rPr>
                <w:rFonts w:hint="eastAsia" w:ascii="Times New Roman" w:hAnsi="Times New Roman" w:eastAsia="宋体" w:cs="Times New Roman"/>
                <w:sz w:val="21"/>
                <w:szCs w:val="21"/>
                <w:vertAlign w:val="baseline"/>
                <w:lang w:val="en-US" w:eastAsia="zh-CN"/>
              </w:rPr>
              <w:t>型号</w:t>
            </w:r>
          </w:p>
        </w:tc>
        <w:tc>
          <w:tcPr>
            <w:tcW w:w="52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仪器编号</w:t>
            </w:r>
          </w:p>
        </w:tc>
        <w:tc>
          <w:tcPr>
            <w:tcW w:w="385"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校验日期</w:t>
            </w: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校正项目</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标准值</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相对不确定度</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测定值</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相对误差</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要求</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eastAsia"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仪器校准有效日期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eastAsia" w:ascii="宋体" w:hAnsi="宋体" w:eastAsia="宋体" w:cs="宋体"/>
                <w:i w:val="0"/>
                <w:color w:val="000000"/>
                <w:kern w:val="0"/>
                <w:sz w:val="21"/>
                <w:szCs w:val="21"/>
                <w:u w:val="none"/>
                <w:lang w:val="en-US" w:eastAsia="zh-CN" w:bidi="ar"/>
              </w:rPr>
              <w:t>低浓度自动烟尘烟气综合测试仪</w:t>
            </w:r>
          </w:p>
        </w:tc>
        <w:tc>
          <w:tcPr>
            <w:tcW w:w="449"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eastAsia" w:cs="Times New Roman"/>
                <w:sz w:val="21"/>
                <w:szCs w:val="21"/>
                <w:vertAlign w:val="baseline"/>
                <w:lang w:val="en-US" w:eastAsia="zh-CN"/>
              </w:rPr>
              <w:t>众瑞ZR-3260D</w:t>
            </w:r>
          </w:p>
        </w:tc>
        <w:tc>
          <w:tcPr>
            <w:tcW w:w="52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i w:val="0"/>
                <w:color w:val="000000"/>
                <w:kern w:val="0"/>
                <w:sz w:val="21"/>
                <w:szCs w:val="21"/>
                <w:u w:val="none"/>
                <w:lang w:val="en-US" w:eastAsia="zh-CN" w:bidi="ar"/>
              </w:rPr>
              <w:t>GH-YQ-W</w:t>
            </w:r>
            <w:r>
              <w:rPr>
                <w:rFonts w:hint="eastAsia" w:cs="Times New Roman"/>
                <w:i w:val="0"/>
                <w:color w:val="000000"/>
                <w:kern w:val="0"/>
                <w:sz w:val="21"/>
                <w:szCs w:val="21"/>
                <w:u w:val="none"/>
                <w:lang w:val="en-US" w:eastAsia="zh-CN" w:bidi="ar"/>
              </w:rPr>
              <w:t>60</w:t>
            </w:r>
          </w:p>
        </w:tc>
        <w:tc>
          <w:tcPr>
            <w:tcW w:w="385" w:type="pct"/>
            <w:vMerge w:val="restar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eastAsia"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3</w:t>
            </w:r>
            <w:r>
              <w:rPr>
                <w:rFonts w:hint="eastAsia" w:ascii="Times New Roman" w:hAnsi="Times New Roman" w:eastAsia="宋体" w:cs="Times New Roman"/>
                <w:sz w:val="21"/>
                <w:szCs w:val="21"/>
                <w:vertAlign w:val="baseline"/>
                <w:lang w:val="en-US" w:eastAsia="zh-CN"/>
              </w:rPr>
              <w:t>-18</w:t>
            </w: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二氧化硫mg/m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88.2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87.9</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restar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1"/>
                <w:szCs w:val="21"/>
                <w:u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202</w:t>
            </w:r>
            <w:r>
              <w:rPr>
                <w:rFonts w:hint="eastAsia"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default" w:ascii="Times New Roman" w:hAnsi="Times New Roman" w:eastAsia="宋体" w:cs="Times New Roman"/>
                <w:i w:val="0"/>
                <w:iCs w:val="0"/>
                <w:color w:val="000000"/>
                <w:kern w:val="0"/>
                <w:sz w:val="21"/>
                <w:szCs w:val="21"/>
                <w:u w:val="none"/>
                <w:lang w:val="en-US" w:eastAsia="zh-CN" w:bidi="ar"/>
              </w:rPr>
              <w:t>3</w:t>
            </w:r>
            <w:r>
              <w:rPr>
                <w:rFonts w:hint="eastAsia" w:ascii="Times New Roman" w:hAnsi="Times New Roman" w:eastAsia="宋体" w:cs="Times New Roman"/>
                <w:i w:val="0"/>
                <w:iCs w:val="0"/>
                <w:color w:val="000000"/>
                <w:kern w:val="0"/>
                <w:sz w:val="21"/>
                <w:szCs w:val="21"/>
                <w:u w:val="none"/>
                <w:lang w:val="en-US" w:eastAsia="zh-CN" w:bidi="ar"/>
              </w:rPr>
              <w:t>-</w:t>
            </w:r>
            <w:r>
              <w:rPr>
                <w:rFonts w:hint="eastAsia" w:cs="Times New Roman"/>
                <w:i w:val="0"/>
                <w:iCs w:val="0"/>
                <w:color w:val="000000"/>
                <w:kern w:val="0"/>
                <w:sz w:val="21"/>
                <w:szCs w:val="21"/>
                <w:u w:val="none"/>
                <w:lang w:val="en-US" w:eastAsia="zh-CN" w:bidi="ar"/>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二氧化硫mg/m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595</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601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一氧化碳mg/m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49.8</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50.1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0.6%</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二氧化氮mg/m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99.0</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一氧化氮mg/m</w:t>
            </w:r>
            <w:r>
              <w:rPr>
                <w:rFonts w:hint="eastAsia" w:ascii="Times New Roman" w:hAnsi="Times New Roman" w:eastAsia="宋体" w:cs="Times New Roman"/>
                <w:sz w:val="21"/>
                <w:szCs w:val="21"/>
                <w:vertAlign w:val="superscript"/>
                <w:lang w:val="en-US" w:eastAsia="zh-CN"/>
              </w:rPr>
              <w:t>3</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302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297</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-1.7%</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5"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449"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520" w:type="pct"/>
            <w:vMerge w:val="continue"/>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vertAlign w:val="baseline"/>
                <w:lang w:val="en-US" w:eastAsia="zh-CN"/>
              </w:rPr>
            </w:pPr>
          </w:p>
        </w:tc>
        <w:tc>
          <w:tcPr>
            <w:tcW w:w="385"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c>
          <w:tcPr>
            <w:tcW w:w="616"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含氧量%mol/m</w:t>
            </w:r>
            <w:r>
              <w:rPr>
                <w:rFonts w:hint="eastAsia" w:ascii="Times New Roman" w:hAnsi="Times New Roman" w:eastAsia="宋体" w:cs="Times New Roman"/>
                <w:sz w:val="21"/>
                <w:szCs w:val="21"/>
                <w:vertAlign w:val="superscript"/>
                <w:lang w:val="en-US" w:eastAsia="zh-CN"/>
              </w:rPr>
              <w:t>2</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left="0" w:leftChars="0"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10.0</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eastAsia" w:ascii="Times New Roman" w:hAnsi="Times New Roman" w:eastAsia="宋体" w:cs="Times New Roman"/>
                <w:sz w:val="21"/>
                <w:szCs w:val="21"/>
                <w:vertAlign w:val="baseline"/>
                <w:lang w:val="en-US" w:eastAsia="zh-CN"/>
              </w:rPr>
              <w:t>-1.0%</w:t>
            </w:r>
          </w:p>
        </w:tc>
        <w:tc>
          <w:tcPr>
            <w:tcW w:w="440" w:type="pct"/>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r>
              <w:rPr>
                <w:rFonts w:hint="default" w:ascii="Times New Roman" w:hAnsi="Times New Roman" w:eastAsia="宋体" w:cs="Times New Roman"/>
                <w:sz w:val="21"/>
                <w:szCs w:val="21"/>
                <w:vertAlign w:val="baseline"/>
                <w:lang w:val="en-US" w:eastAsia="zh-CN"/>
              </w:rPr>
              <w:t>±5%</w:t>
            </w:r>
          </w:p>
        </w:tc>
        <w:tc>
          <w:tcPr>
            <w:tcW w:w="440" w:type="pct"/>
            <w:vMerge w:val="continue"/>
            <w:vAlign w:val="center"/>
          </w:tcPr>
          <w:p>
            <w:pPr>
              <w:keepNext w:val="0"/>
              <w:keepLines w:val="0"/>
              <w:pageBreakBefore w:val="0"/>
              <w:numPr>
                <w:ilvl w:val="0"/>
                <w:numId w:val="0"/>
              </w:numPr>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sz w:val="21"/>
                <w:szCs w:val="21"/>
                <w:vertAlign w:val="baseline"/>
                <w:lang w:val="en-US" w:eastAsia="zh-CN"/>
              </w:rPr>
            </w:pPr>
          </w:p>
        </w:tc>
      </w:tr>
    </w:tbl>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cs="Times New Roman"/>
          <w:b/>
          <w:bCs/>
          <w:color w:val="auto"/>
          <w:szCs w:val="28"/>
          <w:highlight w:val="none"/>
          <w:lang w:val="en-US" w:eastAsia="zh-CN"/>
        </w:rPr>
      </w:pPr>
      <w:bookmarkStart w:id="106" w:name="_Toc13123"/>
      <w:bookmarkStart w:id="107" w:name="_Toc16868"/>
      <w:r>
        <w:rPr>
          <w:rFonts w:hint="eastAsia" w:ascii="Times New Roman" w:hAnsi="Times New Roman" w:eastAsia="宋体" w:cs="Times New Roman"/>
          <w:b/>
          <w:bCs/>
          <w:color w:val="auto"/>
          <w:szCs w:val="28"/>
          <w:highlight w:val="none"/>
          <w:lang w:val="en-US" w:eastAsia="zh-CN"/>
        </w:rPr>
        <w:t>8.6噪声监测分析过程中的质量保证和质量控制</w:t>
      </w:r>
      <w:bookmarkEnd w:id="106"/>
      <w:bookmarkEnd w:id="10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rPr>
      </w:pPr>
      <w:r>
        <w:rPr>
          <w:rFonts w:hint="default" w:ascii="Times New Roman" w:hAnsi="Times New Roman" w:cs="Times New Roman"/>
          <w:sz w:val="24"/>
        </w:rPr>
        <w:t>按照《环境监测技术规范》（噪声部分）和《工业企业厂界</w:t>
      </w:r>
      <w:r>
        <w:rPr>
          <w:rFonts w:hint="eastAsia" w:ascii="Times New Roman" w:hAnsi="Times New Roman" w:cs="Times New Roman"/>
          <w:sz w:val="24"/>
          <w:lang w:eastAsia="zh-CN"/>
        </w:rPr>
        <w:t>环境噪声排放标准</w:t>
      </w:r>
      <w:r>
        <w:rPr>
          <w:rFonts w:hint="default" w:ascii="Times New Roman" w:hAnsi="Times New Roman" w:cs="Times New Roman"/>
          <w:sz w:val="24"/>
        </w:rPr>
        <w:t>》的规定进行，使用仪器为经</w:t>
      </w:r>
      <w:r>
        <w:rPr>
          <w:rFonts w:hint="default" w:ascii="Times New Roman" w:hAnsi="Times New Roman" w:cs="Times New Roman"/>
          <w:sz w:val="24"/>
          <w:lang w:val="en-US" w:eastAsia="zh-CN"/>
        </w:rPr>
        <w:t>经检验机构</w:t>
      </w:r>
      <w:r>
        <w:rPr>
          <w:rFonts w:hint="default" w:ascii="Times New Roman" w:hAnsi="Times New Roman" w:cs="Times New Roman"/>
          <w:sz w:val="24"/>
        </w:rPr>
        <w:t>检定合格并且在有效期以内的噪声分析仪，测量仪器使用前、后进行了校准以保证监测数据的有效性和可靠性。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outlineLvl w:val="9"/>
        <w:rPr>
          <w:rFonts w:hint="default" w:ascii="Times New Roman" w:hAnsi="Times New Roman" w:cs="Times New Roman"/>
          <w:sz w:val="24"/>
          <w:lang w:val="en-US" w:eastAsia="zh-CN"/>
        </w:rPr>
      </w:pPr>
      <w:r>
        <w:rPr>
          <w:rFonts w:hint="default" w:ascii="Times New Roman" w:hAnsi="Times New Roman" w:cs="Times New Roman"/>
          <w:sz w:val="24"/>
          <w:lang w:val="en-US" w:eastAsia="zh-CN"/>
        </w:rPr>
        <w:t>本次验收监测噪声测量前后校准结果如表8</w:t>
      </w:r>
      <w:r>
        <w:rPr>
          <w:rFonts w:hint="eastAsia" w:ascii="Times New Roman" w:hAnsi="Times New Roman" w:cs="Times New Roman"/>
          <w:sz w:val="24"/>
          <w:lang w:val="en-US" w:eastAsia="zh-CN"/>
        </w:rPr>
        <w:t>-4</w:t>
      </w:r>
      <w:r>
        <w:rPr>
          <w:rFonts w:hint="default" w:ascii="Times New Roman" w:hAnsi="Times New Roman" w:cs="Times New Roman"/>
          <w:sz w:val="24"/>
          <w:lang w:val="en-US" w:eastAsia="zh-CN"/>
        </w:rPr>
        <w:t>所示。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黑体" w:hAnsi="黑体" w:eastAsia="黑体" w:cs="黑体"/>
          <w:b w:val="0"/>
          <w:bCs/>
          <w:color w:val="000000"/>
          <w:szCs w:val="21"/>
        </w:rPr>
      </w:pPr>
      <w:r>
        <w:rPr>
          <w:rFonts w:hint="eastAsia" w:ascii="黑体" w:hAnsi="黑体" w:eastAsia="黑体" w:cs="黑体"/>
          <w:b w:val="0"/>
          <w:bCs/>
          <w:color w:val="000000"/>
          <w:szCs w:val="21"/>
        </w:rPr>
        <w:t>表8-</w:t>
      </w:r>
      <w:r>
        <w:rPr>
          <w:rFonts w:hint="eastAsia" w:ascii="黑体" w:hAnsi="黑体" w:eastAsia="黑体" w:cs="黑体"/>
          <w:b w:val="0"/>
          <w:bCs/>
          <w:color w:val="000000"/>
          <w:szCs w:val="21"/>
          <w:lang w:val="en-US" w:eastAsia="zh-CN"/>
        </w:rPr>
        <w:t>4</w:t>
      </w:r>
      <w:r>
        <w:rPr>
          <w:rFonts w:hint="eastAsia" w:ascii="黑体" w:hAnsi="黑体" w:eastAsia="黑体" w:cs="黑体"/>
          <w:b w:val="0"/>
          <w:bCs/>
          <w:color w:val="000000"/>
          <w:szCs w:val="21"/>
        </w:rPr>
        <w:t>噪声测量前、后校准结果</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72"/>
        <w:gridCol w:w="1230"/>
        <w:gridCol w:w="1198"/>
        <w:gridCol w:w="2100"/>
        <w:gridCol w:w="1309"/>
        <w:gridCol w:w="1311"/>
        <w:gridCol w:w="1309"/>
        <w:gridCol w:w="1314"/>
        <w:gridCol w:w="1344"/>
        <w:gridCol w:w="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449" w:type="pct"/>
            <w:gridSpan w:val="3"/>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声校准器</w:t>
            </w:r>
          </w:p>
        </w:tc>
        <w:tc>
          <w:tcPr>
            <w:tcW w:w="780"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日期</w:t>
            </w:r>
          </w:p>
        </w:tc>
        <w:tc>
          <w:tcPr>
            <w:tcW w:w="973"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测量前dB(A)</w:t>
            </w:r>
          </w:p>
        </w:tc>
        <w:tc>
          <w:tcPr>
            <w:tcW w:w="974" w:type="pct"/>
            <w:gridSpan w:val="2"/>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测量后dB(A)</w:t>
            </w:r>
          </w:p>
        </w:tc>
        <w:tc>
          <w:tcPr>
            <w:tcW w:w="499"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质控标准dB(A)</w:t>
            </w:r>
          </w:p>
        </w:tc>
        <w:tc>
          <w:tcPr>
            <w:tcW w:w="322"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4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型号/编号</w:t>
            </w:r>
          </w:p>
        </w:tc>
        <w:tc>
          <w:tcPr>
            <w:tcW w:w="45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声级值</w:t>
            </w:r>
          </w:p>
        </w:tc>
        <w:tc>
          <w:tcPr>
            <w:tcW w:w="444"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仪器校准有效日期</w:t>
            </w:r>
          </w:p>
        </w:tc>
        <w:tc>
          <w:tcPr>
            <w:tcW w:w="780"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校准值</w:t>
            </w:r>
          </w:p>
        </w:tc>
        <w:tc>
          <w:tcPr>
            <w:tcW w:w="4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示值偏差</w:t>
            </w: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校准值</w:t>
            </w:r>
          </w:p>
        </w:tc>
        <w:tc>
          <w:tcPr>
            <w:tcW w:w="4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示值偏差</w:t>
            </w:r>
          </w:p>
        </w:tc>
        <w:tc>
          <w:tcPr>
            <w:tcW w:w="499"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c>
          <w:tcPr>
            <w:tcW w:w="322"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47"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AWA6228+/</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GH-YQ-W</w:t>
            </w:r>
            <w:r>
              <w:rPr>
                <w:rFonts w:hint="eastAsia" w:cs="Times New Roman"/>
                <w:b w:val="0"/>
                <w:bCs w:val="0"/>
                <w:color w:val="auto"/>
                <w:sz w:val="21"/>
                <w:szCs w:val="21"/>
                <w:lang w:val="en-US" w:eastAsia="zh-CN"/>
              </w:rPr>
              <w:t>64</w:t>
            </w:r>
          </w:p>
        </w:tc>
        <w:tc>
          <w:tcPr>
            <w:tcW w:w="457"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94.0dB(A)</w:t>
            </w:r>
          </w:p>
        </w:tc>
        <w:tc>
          <w:tcPr>
            <w:tcW w:w="444" w:type="pct"/>
            <w:vMerge w:val="restar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i w:val="0"/>
                <w:iCs w:val="0"/>
                <w:color w:val="000000"/>
                <w:kern w:val="2"/>
                <w:sz w:val="22"/>
                <w:szCs w:val="22"/>
                <w:u w:val="none"/>
                <w:lang w:val="en-US" w:eastAsia="zh-CN" w:bidi="ar-SA"/>
              </w:rPr>
            </w:pPr>
            <w:r>
              <w:rPr>
                <w:rFonts w:hint="default" w:ascii="Times New Roman" w:hAnsi="Times New Roman" w:eastAsia="宋体" w:cs="Times New Roman"/>
                <w:i w:val="0"/>
                <w:iCs w:val="0"/>
                <w:color w:val="000000"/>
                <w:kern w:val="0"/>
                <w:sz w:val="22"/>
                <w:szCs w:val="22"/>
                <w:u w:val="none"/>
                <w:lang w:val="en-US" w:eastAsia="zh-CN" w:bidi="ar"/>
              </w:rPr>
              <w:t>202</w:t>
            </w:r>
            <w:r>
              <w:rPr>
                <w:rFonts w:hint="eastAsia" w:cs="Times New Roman"/>
                <w:i w:val="0"/>
                <w:iCs w:val="0"/>
                <w:color w:val="000000"/>
                <w:kern w:val="0"/>
                <w:sz w:val="22"/>
                <w:szCs w:val="22"/>
                <w:u w:val="none"/>
                <w:lang w:val="en-US" w:eastAsia="zh-CN" w:bidi="ar"/>
              </w:rPr>
              <w:t>3</w:t>
            </w:r>
            <w:r>
              <w:rPr>
                <w:rFonts w:hint="eastAsia" w:ascii="Times New Roman" w:hAnsi="Times New Roman" w:eastAsia="宋体" w:cs="Times New Roman"/>
                <w:i w:val="0"/>
                <w:iCs w:val="0"/>
                <w:color w:val="000000"/>
                <w:kern w:val="0"/>
                <w:sz w:val="22"/>
                <w:szCs w:val="22"/>
                <w:u w:val="none"/>
                <w:lang w:val="en-US" w:eastAsia="zh-CN" w:bidi="ar"/>
              </w:rPr>
              <w:t>-</w:t>
            </w:r>
            <w:r>
              <w:rPr>
                <w:rFonts w:hint="eastAsia" w:cs="Times New Roman"/>
                <w:i w:val="0"/>
                <w:iCs w:val="0"/>
                <w:color w:val="000000"/>
                <w:kern w:val="0"/>
                <w:sz w:val="22"/>
                <w:szCs w:val="22"/>
                <w:u w:val="none"/>
                <w:lang w:val="en-US" w:eastAsia="zh-CN" w:bidi="ar"/>
              </w:rPr>
              <w:t>1</w:t>
            </w:r>
            <w:r>
              <w:rPr>
                <w:rFonts w:hint="eastAsia" w:ascii="Times New Roman" w:hAnsi="Times New Roman" w:eastAsia="宋体" w:cs="Times New Roman"/>
                <w:i w:val="0"/>
                <w:iCs w:val="0"/>
                <w:color w:val="000000"/>
                <w:kern w:val="0"/>
                <w:sz w:val="22"/>
                <w:szCs w:val="22"/>
                <w:u w:val="none"/>
                <w:lang w:val="en-US" w:eastAsia="zh-CN" w:bidi="ar"/>
              </w:rPr>
              <w:t>-</w:t>
            </w:r>
            <w:r>
              <w:rPr>
                <w:rFonts w:hint="default" w:ascii="Times New Roman" w:hAnsi="Times New Roman" w:eastAsia="宋体" w:cs="Times New Roman"/>
                <w:i w:val="0"/>
                <w:iCs w:val="0"/>
                <w:color w:val="000000"/>
                <w:kern w:val="0"/>
                <w:sz w:val="22"/>
                <w:szCs w:val="22"/>
                <w:u w:val="none"/>
                <w:lang w:val="en-US" w:eastAsia="zh-CN" w:bidi="ar"/>
              </w:rPr>
              <w:t>1</w:t>
            </w:r>
            <w:r>
              <w:rPr>
                <w:rFonts w:hint="eastAsia" w:cs="Times New Roman"/>
                <w:i w:val="0"/>
                <w:iCs w:val="0"/>
                <w:color w:val="000000"/>
                <w:kern w:val="0"/>
                <w:sz w:val="22"/>
                <w:szCs w:val="22"/>
                <w:u w:val="none"/>
                <w:lang w:val="en-US" w:eastAsia="zh-CN" w:bidi="ar"/>
              </w:rPr>
              <w:t>1</w:t>
            </w:r>
          </w:p>
        </w:tc>
        <w:tc>
          <w:tcPr>
            <w:tcW w:w="78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8</w:t>
            </w:r>
            <w:r>
              <w:rPr>
                <w:rFonts w:hint="default"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18</w:t>
            </w: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w:t>
            </w:r>
            <w:r>
              <w:rPr>
                <w:rFonts w:hint="eastAsia" w:ascii="Times New Roman" w:hAnsi="Times New Roman" w:eastAsia="宋体" w:cs="Times New Roman"/>
                <w:b w:val="0"/>
                <w:bCs w:val="0"/>
                <w:color w:val="auto"/>
                <w:sz w:val="21"/>
                <w:szCs w:val="21"/>
                <w:lang w:val="en-US" w:eastAsia="zh-CN"/>
              </w:rPr>
              <w:t>8</w:t>
            </w:r>
          </w:p>
        </w:tc>
        <w:tc>
          <w:tcPr>
            <w:tcW w:w="4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w:t>
            </w:r>
            <w:r>
              <w:rPr>
                <w:rFonts w:hint="eastAsia" w:ascii="Times New Roman" w:hAnsi="Times New Roman" w:eastAsia="宋体" w:cs="Times New Roman"/>
                <w:b w:val="0"/>
                <w:bCs w:val="0"/>
                <w:color w:val="auto"/>
                <w:sz w:val="21"/>
                <w:szCs w:val="21"/>
                <w:lang w:val="en-US" w:eastAsia="zh-CN"/>
              </w:rPr>
              <w:t>2</w:t>
            </w: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99" w:type="pct"/>
            <w:vMerge w:val="restar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示值偏差</w:t>
            </w:r>
          </w:p>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≦0.5</w:t>
            </w:r>
          </w:p>
        </w:tc>
        <w:tc>
          <w:tcPr>
            <w:tcW w:w="3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547"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c>
          <w:tcPr>
            <w:tcW w:w="457"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c>
          <w:tcPr>
            <w:tcW w:w="444"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c>
          <w:tcPr>
            <w:tcW w:w="780"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sz w:val="21"/>
                <w:szCs w:val="21"/>
                <w:vertAlign w:val="baseline"/>
                <w:lang w:val="en-US" w:eastAsia="zh-CN"/>
              </w:rPr>
              <w:t>202</w:t>
            </w:r>
            <w:r>
              <w:rPr>
                <w:rFonts w:hint="eastAsia" w:cs="Times New Roman"/>
                <w:sz w:val="21"/>
                <w:szCs w:val="21"/>
                <w:vertAlign w:val="baseline"/>
                <w:lang w:val="en-US" w:eastAsia="zh-CN"/>
              </w:rPr>
              <w:t>2</w:t>
            </w:r>
            <w:r>
              <w:rPr>
                <w:rFonts w:hint="default"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8</w:t>
            </w:r>
            <w:r>
              <w:rPr>
                <w:rFonts w:hint="default" w:ascii="Times New Roman" w:hAnsi="Times New Roman" w:eastAsia="宋体" w:cs="Times New Roman"/>
                <w:sz w:val="21"/>
                <w:szCs w:val="21"/>
                <w:vertAlign w:val="baseline"/>
                <w:lang w:val="en-US" w:eastAsia="zh-CN"/>
              </w:rPr>
              <w:t>-</w:t>
            </w:r>
            <w:r>
              <w:rPr>
                <w:rFonts w:hint="eastAsia" w:cs="Times New Roman"/>
                <w:sz w:val="21"/>
                <w:szCs w:val="21"/>
                <w:vertAlign w:val="baseline"/>
                <w:lang w:val="en-US" w:eastAsia="zh-CN"/>
              </w:rPr>
              <w:t>19</w:t>
            </w: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7"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86"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93.8</w:t>
            </w:r>
          </w:p>
        </w:tc>
        <w:tc>
          <w:tcPr>
            <w:tcW w:w="488"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0.2</w:t>
            </w:r>
          </w:p>
        </w:tc>
        <w:tc>
          <w:tcPr>
            <w:tcW w:w="499" w:type="pct"/>
            <w:vMerge w:val="continue"/>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p>
        </w:tc>
        <w:tc>
          <w:tcPr>
            <w:tcW w:w="322" w:type="pct"/>
            <w:tcBorders>
              <w:tl2br w:val="nil"/>
              <w:tr2bl w:val="nil"/>
            </w:tcBorders>
            <w:noWrap w:val="0"/>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合格</w:t>
            </w:r>
          </w:p>
        </w:tc>
      </w:tr>
    </w:tbl>
    <w:p>
      <w:pPr>
        <w:pStyle w:val="4"/>
        <w:keepNext/>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eastAsia" w:ascii="Times New Roman" w:hAnsi="Times New Roman" w:eastAsia="宋体" w:cs="Times New Roman"/>
          <w:b/>
          <w:bCs/>
          <w:color w:val="auto"/>
          <w:szCs w:val="28"/>
          <w:highlight w:val="none"/>
          <w:lang w:val="en-US" w:eastAsia="zh-CN"/>
        </w:rPr>
      </w:pPr>
      <w:bookmarkStart w:id="108" w:name="_Toc8351"/>
      <w:bookmarkStart w:id="109" w:name="_Toc20629"/>
      <w:r>
        <w:rPr>
          <w:rFonts w:hint="eastAsia" w:ascii="Times New Roman" w:hAnsi="Times New Roman" w:eastAsia="宋体" w:cs="Times New Roman"/>
          <w:b/>
          <w:bCs/>
          <w:color w:val="auto"/>
          <w:szCs w:val="28"/>
          <w:highlight w:val="none"/>
          <w:lang w:val="en-US" w:eastAsia="zh-CN"/>
        </w:rPr>
        <w:t>8.7</w:t>
      </w:r>
      <w:r>
        <w:rPr>
          <w:rFonts w:hint="eastAsia" w:cs="Times New Roman"/>
          <w:b/>
          <w:bCs/>
          <w:color w:val="auto"/>
          <w:szCs w:val="28"/>
          <w:highlight w:val="none"/>
          <w:lang w:val="en-US" w:eastAsia="zh-CN"/>
        </w:rPr>
        <w:t>土壤</w:t>
      </w:r>
      <w:r>
        <w:rPr>
          <w:rFonts w:hint="eastAsia" w:ascii="Times New Roman" w:hAnsi="Times New Roman" w:eastAsia="宋体" w:cs="Times New Roman"/>
          <w:b/>
          <w:bCs/>
          <w:color w:val="auto"/>
          <w:szCs w:val="28"/>
          <w:highlight w:val="none"/>
          <w:lang w:val="en-US" w:eastAsia="zh-CN"/>
        </w:rPr>
        <w:t>监测分析过程中的质量保证和质量控制</w:t>
      </w:r>
      <w:bookmarkEnd w:id="108"/>
      <w:bookmarkEnd w:id="10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000000"/>
          <w:sz w:val="24"/>
          <w:highlight w:val="none"/>
        </w:rPr>
      </w:pPr>
      <w:r>
        <w:rPr>
          <w:rFonts w:hint="eastAsia" w:ascii="Times New Roman" w:hAnsi="Times New Roman" w:cs="Times New Roman"/>
          <w:sz w:val="24"/>
          <w:lang w:val="en-US" w:eastAsia="zh-CN"/>
        </w:rPr>
        <w:t>土壤</w:t>
      </w:r>
      <w:r>
        <w:rPr>
          <w:rFonts w:hint="eastAsia" w:ascii="Times New Roman" w:hAnsi="Times New Roman" w:cs="Times New Roman"/>
          <w:sz w:val="24"/>
        </w:rPr>
        <w:t>布点、采样、样品制备、样品分析等均按照《土壤环境监测技术规范》（HJ/T166-2004）要求进行，实验室样品分析时使用标准物质、采用空白试验、平行双样及加标回收率测定等</w:t>
      </w:r>
      <w:r>
        <w:rPr>
          <w:rFonts w:hint="eastAsia" w:ascii="Times New Roman" w:hAnsi="Times New Roman" w:cs="Times New Roman"/>
          <w:sz w:val="24"/>
          <w:lang w:eastAsia="zh-CN"/>
        </w:rPr>
        <w:t>。</w:t>
      </w:r>
    </w:p>
    <w:p>
      <w:pPr>
        <w:rPr>
          <w:rStyle w:val="32"/>
          <w:sz w:val="24"/>
          <w:szCs w:val="24"/>
          <w:highlight w:val="red"/>
        </w:rPr>
      </w:pPr>
      <w:r>
        <w:rPr>
          <w:rStyle w:val="32"/>
          <w:sz w:val="24"/>
          <w:szCs w:val="24"/>
          <w:highlight w:val="red"/>
        </w:rPr>
        <w:br w:type="page"/>
      </w:r>
    </w:p>
    <w:p>
      <w:pPr>
        <w:pStyle w:val="26"/>
        <w:rPr>
          <w:rFonts w:hint="default"/>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6"/>
        <w:rPr>
          <w:rFonts w:hint="default"/>
          <w:lang w:val="en-US" w:eastAsia="zh-CN"/>
        </w:rPr>
      </w:pPr>
    </w:p>
    <w:bookmarkEnd w:id="99"/>
    <w:bookmarkEnd w:id="100"/>
    <w:bookmarkEnd w:id="101"/>
    <w:bookmarkEnd w:id="102"/>
    <w:p>
      <w:pPr>
        <w:pStyle w:val="3"/>
        <w:keepNext/>
        <w:keepLines/>
        <w:pageBreakBefore w:val="0"/>
        <w:widowControl w:val="0"/>
        <w:kinsoku/>
        <w:wordWrap/>
        <w:overflowPunct/>
        <w:topLinePunct w:val="0"/>
        <w:autoSpaceDE/>
        <w:autoSpaceDN/>
        <w:bidi w:val="0"/>
        <w:adjustRightInd/>
        <w:snapToGrid/>
        <w:spacing w:before="0" w:after="120" w:line="360" w:lineRule="auto"/>
        <w:ind w:firstLine="0" w:firstLineChars="0"/>
        <w:textAlignment w:val="auto"/>
        <w:rPr>
          <w:rFonts w:hint="eastAsia" w:ascii="Times New Roman" w:hAnsi="Times New Roman" w:eastAsia="宋体" w:cs="Times New Roman"/>
          <w:color w:val="auto"/>
          <w:sz w:val="36"/>
          <w:szCs w:val="36"/>
          <w:highlight w:val="none"/>
          <w:lang w:val="en-US" w:eastAsia="zh-CN"/>
        </w:rPr>
      </w:pPr>
      <w:bookmarkStart w:id="110" w:name="_Toc17791"/>
      <w:bookmarkStart w:id="111" w:name="_Toc17815"/>
      <w:r>
        <w:rPr>
          <w:rFonts w:hint="eastAsia" w:cs="Times New Roman"/>
          <w:color w:val="auto"/>
          <w:sz w:val="36"/>
          <w:szCs w:val="36"/>
          <w:highlight w:val="none"/>
          <w:lang w:val="en-US" w:eastAsia="zh-CN"/>
        </w:rPr>
        <w:t>九</w:t>
      </w:r>
      <w:r>
        <w:rPr>
          <w:rFonts w:hint="eastAsia" w:ascii="Times New Roman" w:hAnsi="Times New Roman" w:eastAsia="宋体" w:cs="Times New Roman"/>
          <w:color w:val="auto"/>
          <w:sz w:val="36"/>
          <w:szCs w:val="36"/>
          <w:highlight w:val="none"/>
          <w:lang w:val="en-US" w:eastAsia="zh-CN"/>
        </w:rPr>
        <w:t>、监测结果分析与评价</w:t>
      </w:r>
      <w:bookmarkEnd w:id="110"/>
      <w:bookmarkEnd w:id="111"/>
    </w:p>
    <w:p>
      <w:pPr>
        <w:pStyle w:val="4"/>
        <w:keepNext/>
        <w:pageBreakBefore w:val="0"/>
        <w:widowControl w:val="0"/>
        <w:kinsoku/>
        <w:wordWrap/>
        <w:overflowPunct/>
        <w:topLinePunct w:val="0"/>
        <w:autoSpaceDE/>
        <w:autoSpaceDN/>
        <w:bidi w:val="0"/>
        <w:adjustRightInd/>
        <w:snapToGrid/>
        <w:ind w:firstLine="0" w:firstLineChars="0"/>
        <w:textAlignment w:val="auto"/>
        <w:rPr>
          <w:rFonts w:hint="eastAsia"/>
          <w:color w:val="auto"/>
          <w:highlight w:val="none"/>
        </w:rPr>
      </w:pPr>
      <w:bookmarkStart w:id="112" w:name="_Toc30898"/>
      <w:bookmarkStart w:id="113" w:name="_Toc16700"/>
      <w:r>
        <w:rPr>
          <w:rFonts w:hint="eastAsia"/>
          <w:color w:val="auto"/>
          <w:highlight w:val="none"/>
          <w:lang w:val="en-US" w:eastAsia="zh-CN"/>
        </w:rPr>
        <w:t>9</w:t>
      </w:r>
      <w:r>
        <w:rPr>
          <w:rFonts w:hint="eastAsia"/>
          <w:color w:val="auto"/>
          <w:highlight w:val="none"/>
        </w:rPr>
        <w:t>.1验收监测期间运行工况与分析</w:t>
      </w:r>
      <w:bookmarkEnd w:id="112"/>
      <w:bookmarkEnd w:id="113"/>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000000"/>
          <w:kern w:val="0"/>
          <w:sz w:val="24"/>
          <w:szCs w:val="24"/>
          <w:highlight w:val="none"/>
          <w:lang w:val="en-US" w:eastAsia="zh-CN" w:bidi="ar"/>
        </w:rPr>
        <w:t>根据现场勘察，以及建设单位提供的验收监测期间生产工况表，本项目验收期间的生产工况稳定，环保设施正常运行，生产负荷满足验收监测期间工况的要求。项目验收监测期间生产工况负荷如表</w:t>
      </w:r>
      <w:r>
        <w:rPr>
          <w:rFonts w:hint="eastAsia" w:cs="Times New Roman"/>
          <w:color w:val="000000"/>
          <w:kern w:val="0"/>
          <w:sz w:val="24"/>
          <w:szCs w:val="24"/>
          <w:highlight w:val="none"/>
          <w:lang w:val="en-US" w:eastAsia="zh-CN" w:bidi="ar"/>
        </w:rPr>
        <w:t>9</w:t>
      </w:r>
      <w:r>
        <w:rPr>
          <w:rFonts w:hint="default" w:ascii="Times New Roman" w:hAnsi="Times New Roman" w:eastAsia="宋体" w:cs="Times New Roman"/>
          <w:color w:val="000000"/>
          <w:kern w:val="0"/>
          <w:sz w:val="24"/>
          <w:szCs w:val="24"/>
          <w:highlight w:val="none"/>
          <w:lang w:val="en-US" w:eastAsia="zh-CN" w:bidi="ar"/>
        </w:rPr>
        <w:t>-1和表</w:t>
      </w:r>
      <w:r>
        <w:rPr>
          <w:rFonts w:hint="eastAsia" w:cs="Times New Roman"/>
          <w:color w:val="000000"/>
          <w:kern w:val="0"/>
          <w:sz w:val="24"/>
          <w:szCs w:val="24"/>
          <w:highlight w:val="none"/>
          <w:lang w:val="en-US" w:eastAsia="zh-CN" w:bidi="ar"/>
        </w:rPr>
        <w:t>9</w:t>
      </w:r>
      <w:r>
        <w:rPr>
          <w:rFonts w:hint="default" w:ascii="Times New Roman" w:hAnsi="Times New Roman" w:eastAsia="宋体" w:cs="Times New Roman"/>
          <w:color w:val="000000"/>
          <w:kern w:val="0"/>
          <w:sz w:val="24"/>
          <w:szCs w:val="24"/>
          <w:highlight w:val="none"/>
          <w:lang w:val="en-US" w:eastAsia="zh-CN" w:bidi="ar"/>
        </w:rPr>
        <w:t>-2所示。</w:t>
      </w:r>
    </w:p>
    <w:p>
      <w:pPr>
        <w:spacing w:line="360" w:lineRule="auto"/>
        <w:jc w:val="center"/>
        <w:rPr>
          <w:rFonts w:ascii="Times New Roman" w:hAnsi="Times New Roman" w:eastAsia="宋体" w:cs="Times New Roman"/>
          <w:b/>
          <w:sz w:val="21"/>
          <w:szCs w:val="21"/>
          <w:highlight w:val="none"/>
        </w:rPr>
      </w:pPr>
      <w:r>
        <w:rPr>
          <w:rFonts w:hint="eastAsia" w:ascii="黑体" w:hAnsi="黑体" w:eastAsia="黑体" w:cs="黑体"/>
          <w:bCs/>
          <w:sz w:val="21"/>
          <w:szCs w:val="21"/>
          <w:highlight w:val="none"/>
          <w:lang w:val="en-US" w:eastAsia="zh-CN"/>
        </w:rPr>
        <w:t>表9-1</w:t>
      </w:r>
      <w:r>
        <w:rPr>
          <w:rFonts w:hint="eastAsia" w:ascii="黑体" w:hAnsi="黑体" w:eastAsia="黑体" w:cs="黑体"/>
          <w:bCs/>
          <w:sz w:val="21"/>
          <w:szCs w:val="21"/>
          <w:highlight w:val="none"/>
        </w:rPr>
        <w:t>验收监测期间机组</w:t>
      </w:r>
      <w:r>
        <w:rPr>
          <w:rFonts w:hint="eastAsia" w:ascii="黑体" w:hAnsi="黑体" w:eastAsia="黑体" w:cs="黑体"/>
          <w:bCs/>
          <w:sz w:val="21"/>
          <w:szCs w:val="21"/>
          <w:highlight w:val="none"/>
          <w:lang w:val="en-US" w:eastAsia="zh-CN"/>
        </w:rPr>
        <w:t>和锅炉</w:t>
      </w:r>
      <w:r>
        <w:rPr>
          <w:rFonts w:hint="eastAsia" w:ascii="黑体" w:hAnsi="黑体" w:eastAsia="黑体" w:cs="黑体"/>
          <w:bCs/>
          <w:sz w:val="21"/>
          <w:szCs w:val="21"/>
          <w:highlight w:val="none"/>
        </w:rPr>
        <w:t>运行工况一览表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8"/>
        <w:gridCol w:w="2235"/>
        <w:gridCol w:w="2071"/>
        <w:gridCol w:w="1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36"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监测日期</w:t>
            </w:r>
          </w:p>
        </w:tc>
        <w:tc>
          <w:tcPr>
            <w:tcW w:w="137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额定电负荷（MW/h）</w:t>
            </w:r>
          </w:p>
        </w:tc>
        <w:tc>
          <w:tcPr>
            <w:tcW w:w="98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实际电负荷（MW）</w:t>
            </w:r>
          </w:p>
        </w:tc>
        <w:tc>
          <w:tcPr>
            <w:tcW w:w="119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运行负荷率（%）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36"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202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18</w:t>
            </w:r>
          </w:p>
        </w:tc>
        <w:tc>
          <w:tcPr>
            <w:tcW w:w="1377" w:type="pct"/>
            <w:vMerge w:val="restar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1350</w:t>
            </w:r>
          </w:p>
        </w:tc>
        <w:tc>
          <w:tcPr>
            <w:tcW w:w="98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1334.49</w:t>
            </w:r>
          </w:p>
        </w:tc>
        <w:tc>
          <w:tcPr>
            <w:tcW w:w="119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36"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202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19</w:t>
            </w:r>
          </w:p>
        </w:tc>
        <w:tc>
          <w:tcPr>
            <w:tcW w:w="1377" w:type="pct"/>
            <w:vMerge w:val="continue"/>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p>
        </w:tc>
        <w:tc>
          <w:tcPr>
            <w:tcW w:w="98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1310.42</w:t>
            </w:r>
          </w:p>
        </w:tc>
        <w:tc>
          <w:tcPr>
            <w:tcW w:w="1197" w:type="pct"/>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96.99</w:t>
            </w:r>
          </w:p>
        </w:tc>
      </w:tr>
    </w:tbl>
    <w:p>
      <w:pPr>
        <w:spacing w:line="360" w:lineRule="auto"/>
        <w:jc w:val="center"/>
        <w:rPr>
          <w:rFonts w:ascii="Times New Roman" w:hAnsi="Times New Roman" w:eastAsia="宋体" w:cs="Times New Roman"/>
          <w:b/>
          <w:color w:val="auto"/>
          <w:szCs w:val="21"/>
          <w:highlight w:val="none"/>
        </w:rPr>
      </w:pPr>
      <w:r>
        <w:rPr>
          <w:rFonts w:hint="eastAsia" w:ascii="黑体" w:hAnsi="黑体" w:eastAsia="黑体" w:cs="黑体"/>
          <w:bCs/>
          <w:color w:val="auto"/>
          <w:sz w:val="21"/>
          <w:szCs w:val="21"/>
          <w:highlight w:val="none"/>
          <w:lang w:val="en-US" w:eastAsia="zh-CN"/>
        </w:rPr>
        <w:t>表9-2</w:t>
      </w:r>
      <w:r>
        <w:rPr>
          <w:rFonts w:hint="eastAsia" w:ascii="黑体" w:hAnsi="黑体" w:eastAsia="黑体" w:cs="黑体"/>
          <w:bCs/>
          <w:color w:val="auto"/>
          <w:sz w:val="21"/>
          <w:szCs w:val="21"/>
          <w:highlight w:val="none"/>
        </w:rPr>
        <w:t>验收监测期间锅炉运行工况一览表</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72"/>
        <w:gridCol w:w="2328"/>
        <w:gridCol w:w="1908"/>
        <w:gridCol w:w="19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436"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监测日期</w:t>
            </w:r>
          </w:p>
        </w:tc>
        <w:tc>
          <w:tcPr>
            <w:tcW w:w="137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设计最大蒸汽量（t/h）</w:t>
            </w:r>
          </w:p>
        </w:tc>
        <w:tc>
          <w:tcPr>
            <w:tcW w:w="98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平均蒸汽流（t/h）</w:t>
            </w:r>
          </w:p>
        </w:tc>
        <w:tc>
          <w:tcPr>
            <w:tcW w:w="119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运行负荷率（%）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2"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18</w:t>
            </w:r>
          </w:p>
        </w:tc>
        <w:tc>
          <w:tcPr>
            <w:tcW w:w="1377" w:type="pct"/>
            <w:vMerge w:val="restar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3448</w:t>
            </w:r>
          </w:p>
        </w:tc>
        <w:tc>
          <w:tcPr>
            <w:tcW w:w="98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3443</w:t>
            </w:r>
          </w:p>
        </w:tc>
        <w:tc>
          <w:tcPr>
            <w:tcW w:w="119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372" w:type="dxa"/>
            <w:noWrap/>
            <w:vAlign w:val="center"/>
          </w:tcPr>
          <w:p>
            <w:pPr>
              <w:pStyle w:val="8"/>
              <w:keepNext w:val="0"/>
              <w:keepLines w:val="0"/>
              <w:pageBreakBefore w:val="0"/>
              <w:widowControl w:val="0"/>
              <w:kinsoku/>
              <w:wordWrap/>
              <w:overflowPunct/>
              <w:topLinePunct w:val="0"/>
              <w:autoSpaceDE/>
              <w:autoSpaceDN/>
              <w:bidi w:val="0"/>
              <w:adjustRightInd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202</w:t>
            </w:r>
            <w:r>
              <w:rPr>
                <w:rFonts w:hint="eastAsia"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8</w:t>
            </w:r>
            <w:r>
              <w:rPr>
                <w:rFonts w:hint="default" w:ascii="Times New Roman" w:hAnsi="Times New Roman" w:eastAsia="宋体" w:cs="Times New Roman"/>
                <w:color w:val="auto"/>
                <w:sz w:val="21"/>
                <w:szCs w:val="21"/>
                <w:highlight w:val="none"/>
              </w:rPr>
              <w:t>.</w:t>
            </w:r>
            <w:r>
              <w:rPr>
                <w:rFonts w:hint="eastAsia" w:cs="Times New Roman"/>
                <w:color w:val="auto"/>
                <w:sz w:val="21"/>
                <w:szCs w:val="21"/>
                <w:highlight w:val="none"/>
                <w:lang w:val="en-US" w:eastAsia="zh-CN"/>
              </w:rPr>
              <w:t>19</w:t>
            </w:r>
          </w:p>
        </w:tc>
        <w:tc>
          <w:tcPr>
            <w:tcW w:w="1377" w:type="pct"/>
            <w:vMerge w:val="continue"/>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p>
        </w:tc>
        <w:tc>
          <w:tcPr>
            <w:tcW w:w="98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3441</w:t>
            </w:r>
          </w:p>
        </w:tc>
        <w:tc>
          <w:tcPr>
            <w:tcW w:w="1197" w:type="pct"/>
            <w:noWrap/>
            <w:vAlign w:val="center"/>
          </w:tcPr>
          <w:p>
            <w:pPr>
              <w:pStyle w:val="8"/>
              <w:keepNext w:val="0"/>
              <w:keepLines w:val="0"/>
              <w:pageBreakBefore w:val="0"/>
              <w:widowControl w:val="0"/>
              <w:kinsoku/>
              <w:wordWrap/>
              <w:overflowPunct/>
              <w:topLinePunct w:val="0"/>
              <w:autoSpaceDE/>
              <w:autoSpaceDN/>
              <w:bidi w:val="0"/>
              <w:snapToGrid/>
              <w:spacing w:after="0"/>
              <w:ind w:firstLine="0" w:firstLineChars="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99.79</w:t>
            </w:r>
          </w:p>
        </w:tc>
      </w:tr>
    </w:tbl>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highlight w:val="none"/>
          <w:lang w:eastAsia="zh-CN"/>
        </w:rPr>
      </w:pPr>
      <w:bookmarkStart w:id="114" w:name="_Toc14993"/>
      <w:bookmarkStart w:id="115" w:name="_Toc17530"/>
      <w:r>
        <w:rPr>
          <w:rFonts w:hint="eastAsia"/>
          <w:color w:val="auto"/>
          <w:highlight w:val="none"/>
          <w:lang w:val="en-US" w:eastAsia="zh-CN"/>
        </w:rPr>
        <w:t>9</w:t>
      </w: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监测结果统计与分析</w:t>
      </w:r>
      <w:bookmarkEnd w:id="114"/>
      <w:bookmarkEnd w:id="11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sz w:val="24"/>
          <w:lang w:val="en-US" w:eastAsia="zh-CN"/>
        </w:rPr>
      </w:pPr>
      <w:r>
        <w:rPr>
          <w:rFonts w:hint="default" w:ascii="Times New Roman" w:hAnsi="Times New Roman" w:cs="Times New Roman"/>
          <w:sz w:val="24"/>
          <w:lang w:val="en-US" w:eastAsia="zh-CN"/>
        </w:rPr>
        <w:t>2022年8月18日采样期间风向为东南风；天气：多云；风速：2.7m/s~3.5m/s。</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Times New Roman" w:hAnsi="Times New Roman" w:cs="Times New Roman"/>
          <w:sz w:val="24"/>
          <w:lang w:val="en-US" w:eastAsia="zh-CN"/>
        </w:rPr>
      </w:pPr>
      <w:r>
        <w:rPr>
          <w:rFonts w:hint="default" w:ascii="Times New Roman" w:hAnsi="Times New Roman" w:cs="Times New Roman"/>
          <w:sz w:val="24"/>
          <w:lang w:val="en-US" w:eastAsia="zh-CN"/>
        </w:rPr>
        <w:t>2022年8月19日采样期间风向为西南风；天气：多云；风速：2.9m/s~3.6m/s。</w:t>
      </w:r>
    </w:p>
    <w:p>
      <w:pPr>
        <w:rPr>
          <w:rFonts w:hint="default" w:ascii="Times New Roman" w:hAnsi="Times New Roman" w:cs="Times New Roman"/>
          <w:sz w:val="24"/>
          <w:lang w:val="en-US" w:eastAsia="zh-CN"/>
        </w:rPr>
      </w:pPr>
      <w:r>
        <w:rPr>
          <w:rFonts w:hint="default" w:ascii="Times New Roman" w:hAnsi="Times New Roman" w:cs="Times New Roman"/>
          <w:sz w:val="24"/>
          <w:lang w:val="en-US" w:eastAsia="zh-CN"/>
        </w:rPr>
        <w:t>验收期间监测点位布置如图9-1</w:t>
      </w:r>
      <w:r>
        <w:rPr>
          <w:rFonts w:hint="eastAsia" w:cs="Times New Roman"/>
          <w:sz w:val="24"/>
          <w:lang w:val="en-US" w:eastAsia="zh-CN"/>
        </w:rPr>
        <w:t>、</w:t>
      </w:r>
      <w:r>
        <w:rPr>
          <w:rFonts w:hint="default" w:ascii="Times New Roman" w:hAnsi="Times New Roman" w:cs="Times New Roman"/>
          <w:sz w:val="24"/>
          <w:lang w:val="en-US" w:eastAsia="zh-CN"/>
        </w:rPr>
        <w:t>9-</w:t>
      </w:r>
      <w:r>
        <w:rPr>
          <w:rFonts w:hint="eastAsia" w:ascii="Times New Roman" w:hAnsi="Times New Roman" w:cs="Times New Roman"/>
          <w:sz w:val="24"/>
          <w:lang w:val="en-US" w:eastAsia="zh-CN"/>
        </w:rPr>
        <w:t>2</w:t>
      </w:r>
      <w:r>
        <w:rPr>
          <w:rFonts w:hint="default" w:ascii="Times New Roman" w:hAnsi="Times New Roman" w:cs="Times New Roman"/>
          <w:sz w:val="24"/>
          <w:lang w:val="en-US" w:eastAsia="zh-CN"/>
        </w:rPr>
        <w:t>所示。</w:t>
      </w:r>
    </w:p>
    <w:p>
      <w:pPr>
        <w:pStyle w:val="22"/>
        <w:rPr>
          <w:rFonts w:hint="default" w:ascii="Times New Roman" w:hAnsi="Times New Roman" w:cs="Times New Roman"/>
          <w:sz w:val="24"/>
          <w:lang w:val="en-US" w:eastAsia="zh-CN"/>
        </w:rPr>
      </w:pPr>
    </w:p>
    <w:p>
      <w:pPr>
        <w:rPr>
          <w:rFonts w:hint="default" w:eastAsia="宋体"/>
          <w:lang w:val="en-US" w:eastAsia="zh-CN"/>
        </w:rPr>
      </w:pPr>
    </w:p>
    <w:p/>
    <w:p/>
    <w:p>
      <w:pPr>
        <w:rPr>
          <w:rFonts w:hint="eastAsia"/>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sz w:val="24"/>
        </w:rPr>
        <mc:AlternateContent>
          <mc:Choice Requires="wps">
            <w:drawing>
              <wp:anchor distT="0" distB="0" distL="114300" distR="114300" simplePos="0" relativeHeight="251661312" behindDoc="0" locked="0" layoutInCell="1" allowOverlap="1">
                <wp:simplePos x="0" y="0"/>
                <wp:positionH relativeFrom="column">
                  <wp:posOffset>849630</wp:posOffset>
                </wp:positionH>
                <wp:positionV relativeFrom="paragraph">
                  <wp:posOffset>363220</wp:posOffset>
                </wp:positionV>
                <wp:extent cx="1414145" cy="308610"/>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1414145" cy="30861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66.9pt;margin-top:28.6pt;height:24.3pt;width:111.35pt;z-index:251661312;mso-width-relative:page;mso-height-relative:page;" filled="f" stroked="f" coordsize="21600,21600" o:gfxdata="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">
                <v:fill on="f" focussize="0,0"/>
                <v:stroke on="f" weight="0.5pt"/>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eastAsia="宋体"/>
                          <w:lang w:val="en-US" w:eastAsia="zh-CN"/>
                        </w:rPr>
                      </w:pPr>
                    </w:p>
                  </w:txbxContent>
                </v:textbox>
              </v:shape>
            </w:pict>
          </mc:Fallback>
        </mc:AlternateConten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outlineLvl w:val="9"/>
      </w:pPr>
      <w:bookmarkStart w:id="116" w:name="_Toc8996"/>
      <w:r>
        <w:drawing>
          <wp:inline distT="0" distB="0" distL="114300" distR="114300">
            <wp:extent cx="8607425" cy="4857115"/>
            <wp:effectExtent l="0" t="0" r="3175" b="6985"/>
            <wp:docPr id="4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2"/>
                    <pic:cNvPicPr>
                      <a:picLocks noChangeAspect="1"/>
                    </pic:cNvPicPr>
                  </pic:nvPicPr>
                  <pic:blipFill>
                    <a:blip r:embed="rId53"/>
                    <a:stretch>
                      <a:fillRect/>
                    </a:stretch>
                  </pic:blipFill>
                  <pic:spPr>
                    <a:xfrm>
                      <a:off x="0" y="0"/>
                      <a:ext cx="8607425" cy="4857115"/>
                    </a:xfrm>
                    <a:prstGeom prst="rect">
                      <a:avLst/>
                    </a:prstGeom>
                    <a:noFill/>
                    <a:ln>
                      <a:noFill/>
                    </a:ln>
                  </pic:spPr>
                </pic:pic>
              </a:graphicData>
            </a:graphic>
          </wp:inline>
        </w:drawing>
      </w:r>
    </w:p>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黑体" w:hAnsi="黑体" w:eastAsia="黑体" w:cs="黑体"/>
          <w:sz w:val="21"/>
          <w:szCs w:val="21"/>
          <w:lang w:val="en-US"/>
        </w:rPr>
      </w:pPr>
      <w:r>
        <w:rPr>
          <w:rFonts w:hint="eastAsia" w:ascii="黑体" w:hAnsi="黑体" w:eastAsia="黑体" w:cs="黑体"/>
          <w:sz w:val="21"/>
          <w:szCs w:val="21"/>
          <w:lang w:val="en-US" w:eastAsia="zh-CN"/>
        </w:rPr>
        <w:t>图9-18月18日监测布点图</w:t>
      </w:r>
    </w:p>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pPr>
      <w:r>
        <w:drawing>
          <wp:inline distT="0" distB="0" distL="114300" distR="114300">
            <wp:extent cx="8797925" cy="4879975"/>
            <wp:effectExtent l="0" t="0" r="3175" b="9525"/>
            <wp:docPr id="5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4"/>
                    <pic:cNvPicPr>
                      <a:picLocks noChangeAspect="1"/>
                    </pic:cNvPicPr>
                  </pic:nvPicPr>
                  <pic:blipFill>
                    <a:blip r:embed="rId54"/>
                    <a:stretch>
                      <a:fillRect/>
                    </a:stretch>
                  </pic:blipFill>
                  <pic:spPr>
                    <a:xfrm>
                      <a:off x="0" y="0"/>
                      <a:ext cx="8797925" cy="4879975"/>
                    </a:xfrm>
                    <a:prstGeom prst="rect">
                      <a:avLst/>
                    </a:prstGeom>
                    <a:noFill/>
                    <a:ln>
                      <a:noFill/>
                    </a:ln>
                  </pic:spPr>
                </pic:pic>
              </a:graphicData>
            </a:graphic>
          </wp:inline>
        </w:drawing>
      </w:r>
    </w:p>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黑体" w:hAnsi="黑体" w:eastAsia="黑体" w:cs="黑体"/>
          <w:sz w:val="21"/>
          <w:szCs w:val="21"/>
          <w:lang w:val="en-US"/>
        </w:rPr>
      </w:pPr>
      <w:r>
        <w:rPr>
          <w:rFonts w:hint="eastAsia" w:ascii="黑体" w:hAnsi="黑体" w:eastAsia="黑体" w:cs="黑体"/>
          <w:sz w:val="21"/>
          <w:szCs w:val="21"/>
          <w:lang w:val="en-US" w:eastAsia="zh-CN"/>
        </w:rPr>
        <w:t>图9-28月19日监测布点图</w:t>
      </w:r>
    </w:p>
    <w:p>
      <w:pPr>
        <w:rPr>
          <w:rFonts w:hint="eastAsia"/>
          <w:color w:val="auto"/>
          <w:highlight w:val="none"/>
          <w:lang w:val="en-US" w:eastAsia="zh-CN"/>
        </w:rPr>
      </w:pPr>
      <w:r>
        <w:rPr>
          <w:rFonts w:hint="eastAsia"/>
          <w:color w:val="auto"/>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2"/>
        <w:rPr>
          <w:rFonts w:hint="eastAsia"/>
          <w:color w:val="auto"/>
          <w:highlight w:val="none"/>
          <w:lang w:eastAsia="zh-CN"/>
        </w:rPr>
      </w:pPr>
      <w:r>
        <w:rPr>
          <w:rFonts w:hint="eastAsia"/>
          <w:color w:val="auto"/>
          <w:highlight w:val="none"/>
          <w:lang w:val="en-US" w:eastAsia="zh-CN"/>
        </w:rPr>
        <w:t>9</w:t>
      </w:r>
      <w:r>
        <w:rPr>
          <w:rFonts w:hint="eastAsia"/>
          <w:color w:val="auto"/>
          <w:highlight w:val="none"/>
          <w:lang w:eastAsia="zh-CN"/>
        </w:rPr>
        <w:t>.2.1有组织废气排放监测</w:t>
      </w:r>
      <w:bookmarkEnd w:id="116"/>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highlight w:val="none"/>
          <w:lang w:val="en-US" w:eastAsia="zh-CN"/>
        </w:rPr>
      </w:pPr>
      <w:r>
        <w:rPr>
          <w:rFonts w:hint="eastAsia" w:ascii="黑体" w:hAnsi="黑体" w:eastAsia="黑体" w:cs="黑体"/>
          <w:sz w:val="21"/>
          <w:szCs w:val="21"/>
          <w:highlight w:val="none"/>
          <w:lang w:val="en-US" w:eastAsia="zh-CN"/>
        </w:rPr>
        <w:t>表9-3</w:t>
      </w:r>
      <w:r>
        <w:rPr>
          <w:rFonts w:hint="eastAsia" w:ascii="黑体" w:hAnsi="黑体" w:eastAsia="黑体" w:cs="黑体"/>
          <w:color w:val="auto"/>
          <w:sz w:val="21"/>
          <w:szCs w:val="21"/>
          <w:highlight w:val="none"/>
          <w:lang w:eastAsia="zh-CN"/>
        </w:rPr>
        <w:t>有组织废气</w:t>
      </w:r>
      <w:r>
        <w:rPr>
          <w:rFonts w:hint="eastAsia" w:ascii="黑体" w:hAnsi="黑体" w:eastAsia="黑体" w:cs="黑体"/>
          <w:color w:val="auto"/>
          <w:sz w:val="21"/>
          <w:szCs w:val="21"/>
          <w:highlight w:val="none"/>
          <w:lang w:val="en-US" w:eastAsia="zh-CN"/>
        </w:rPr>
        <w:t>污染物</w:t>
      </w:r>
      <w:r>
        <w:rPr>
          <w:rFonts w:hint="eastAsia" w:ascii="黑体" w:hAnsi="黑体" w:eastAsia="黑体" w:cs="黑体"/>
          <w:color w:val="auto"/>
          <w:sz w:val="21"/>
          <w:szCs w:val="21"/>
          <w:highlight w:val="none"/>
          <w:lang w:eastAsia="zh-CN"/>
        </w:rPr>
        <w:t>监测</w:t>
      </w:r>
      <w:r>
        <w:rPr>
          <w:rFonts w:hint="eastAsia" w:ascii="黑体" w:hAnsi="黑体" w:eastAsia="黑体" w:cs="黑体"/>
          <w:color w:val="auto"/>
          <w:sz w:val="21"/>
          <w:szCs w:val="21"/>
          <w:highlight w:val="none"/>
          <w:lang w:val="en-US" w:eastAsia="zh-CN"/>
        </w:rPr>
        <w:t>结果一览表</w:t>
      </w:r>
    </w:p>
    <w:tbl>
      <w:tblPr>
        <w:tblStyle w:val="2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0"/>
        <w:gridCol w:w="2299"/>
        <w:gridCol w:w="1442"/>
        <w:gridCol w:w="1442"/>
        <w:gridCol w:w="1442"/>
        <w:gridCol w:w="1442"/>
        <w:gridCol w:w="1442"/>
        <w:gridCol w:w="1442"/>
        <w:gridCol w:w="15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87" w:type="dxa"/>
            <w:vMerge w:val="restart"/>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检测点位</w:t>
            </w:r>
          </w:p>
        </w:tc>
        <w:tc>
          <w:tcPr>
            <w:tcW w:w="2459" w:type="dxa"/>
            <w:vMerge w:val="restart"/>
            <w:tcBorders>
              <w:tl2br w:val="single" w:color="auto" w:sz="4" w:space="0"/>
            </w:tcBorders>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right"/>
              <w:rPr>
                <w:rFonts w:hint="default"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eastAsia="zh-CN"/>
              </w:rPr>
              <w:t>检测</w:t>
            </w:r>
            <w:r>
              <w:rPr>
                <w:rFonts w:hint="eastAsia" w:ascii="Times New Roman" w:hAnsi="Times New Roman" w:eastAsia="宋体" w:cs="Times New Roman"/>
                <w:b/>
                <w:bCs/>
                <w:sz w:val="21"/>
                <w:szCs w:val="21"/>
                <w:highlight w:val="none"/>
                <w:vertAlign w:val="baseline"/>
                <w:lang w:val="en-US" w:eastAsia="zh-CN"/>
              </w:rPr>
              <w:t>时间</w:t>
            </w:r>
            <w:r>
              <w:rPr>
                <w:rFonts w:hint="default" w:ascii="Times New Roman" w:hAnsi="Times New Roman" w:eastAsia="宋体" w:cs="Times New Roman"/>
                <w:b/>
                <w:bCs/>
                <w:sz w:val="21"/>
                <w:szCs w:val="21"/>
                <w:highlight w:val="none"/>
                <w:vertAlign w:val="baseline"/>
                <w:lang w:eastAsia="zh-CN"/>
              </w:rPr>
              <w:t>及</w:t>
            </w:r>
            <w:r>
              <w:rPr>
                <w:rFonts w:hint="default" w:ascii="Times New Roman" w:hAnsi="Times New Roman" w:eastAsia="宋体" w:cs="Times New Roman"/>
                <w:b/>
                <w:bCs/>
                <w:sz w:val="21"/>
                <w:szCs w:val="21"/>
                <w:highlight w:val="none"/>
                <w:vertAlign w:val="baseline"/>
                <w:lang w:val="en-US" w:eastAsia="zh-CN"/>
              </w:rPr>
              <w:t>频次</w:t>
            </w:r>
          </w:p>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left"/>
              <w:rPr>
                <w:rFonts w:hint="eastAsia" w:ascii="Times New Roman" w:hAnsi="Times New Roman" w:eastAsia="宋体" w:cs="Times New Roman"/>
                <w:b/>
                <w:bCs/>
                <w:sz w:val="21"/>
                <w:szCs w:val="21"/>
                <w:highlight w:val="none"/>
                <w:vertAlign w:val="baseline"/>
                <w:lang w:val="en-US" w:eastAsia="zh-CN"/>
              </w:rPr>
            </w:pPr>
            <w:r>
              <w:rPr>
                <w:rFonts w:hint="default" w:ascii="Times New Roman" w:hAnsi="Times New Roman" w:eastAsia="宋体" w:cs="Times New Roman"/>
                <w:b/>
                <w:bCs/>
                <w:sz w:val="21"/>
                <w:szCs w:val="21"/>
                <w:highlight w:val="none"/>
                <w:vertAlign w:val="baseline"/>
                <w:lang w:eastAsia="zh-CN"/>
              </w:rPr>
              <w:t>检测项目</w:t>
            </w:r>
          </w:p>
        </w:tc>
        <w:tc>
          <w:tcPr>
            <w:tcW w:w="450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w:t>
            </w:r>
            <w:r>
              <w:rPr>
                <w:rFonts w:hint="eastAsia" w:cs="Times New Roman"/>
                <w:b/>
                <w:bCs/>
                <w:sz w:val="21"/>
                <w:szCs w:val="21"/>
                <w:highlight w:val="none"/>
                <w:vertAlign w:val="baseline"/>
                <w:lang w:val="en-US" w:eastAsia="zh-CN"/>
              </w:rPr>
              <w:t>2</w:t>
            </w:r>
            <w:r>
              <w:rPr>
                <w:rFonts w:hint="default" w:ascii="Times New Roman" w:hAnsi="Times New Roman" w:eastAsia="宋体" w:cs="Times New Roman"/>
                <w:b/>
                <w:bCs/>
                <w:sz w:val="21"/>
                <w:szCs w:val="21"/>
                <w:highlight w:val="none"/>
                <w:vertAlign w:val="baseline"/>
                <w:lang w:val="en-US" w:eastAsia="zh-CN"/>
              </w:rPr>
              <w:t>-</w:t>
            </w:r>
            <w:r>
              <w:rPr>
                <w:rFonts w:hint="eastAsia" w:cs="Times New Roman"/>
                <w:b/>
                <w:bCs/>
                <w:sz w:val="21"/>
                <w:szCs w:val="21"/>
                <w:highlight w:val="none"/>
                <w:vertAlign w:val="baseline"/>
                <w:lang w:val="en-US" w:eastAsia="zh-CN"/>
              </w:rPr>
              <w:t>8</w:t>
            </w:r>
            <w:r>
              <w:rPr>
                <w:rFonts w:hint="default" w:ascii="Times New Roman" w:hAnsi="Times New Roman" w:eastAsia="宋体" w:cs="Times New Roman"/>
                <w:b/>
                <w:bCs/>
                <w:sz w:val="21"/>
                <w:szCs w:val="21"/>
                <w:highlight w:val="none"/>
                <w:vertAlign w:val="baseline"/>
                <w:lang w:val="en-US" w:eastAsia="zh-CN"/>
              </w:rPr>
              <w:t>-</w:t>
            </w:r>
            <w:r>
              <w:rPr>
                <w:rFonts w:hint="eastAsia" w:cs="Times New Roman"/>
                <w:b/>
                <w:bCs/>
                <w:sz w:val="21"/>
                <w:szCs w:val="21"/>
                <w:highlight w:val="none"/>
                <w:vertAlign w:val="baseline"/>
                <w:lang w:val="en-US" w:eastAsia="zh-CN"/>
              </w:rPr>
              <w:t>18</w:t>
            </w:r>
          </w:p>
        </w:tc>
        <w:tc>
          <w:tcPr>
            <w:tcW w:w="4506" w:type="dxa"/>
            <w:gridSpan w:val="3"/>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bCs/>
                <w:highlight w:val="none"/>
                <w:vertAlign w:val="baseline"/>
                <w:lang w:val="en-US" w:eastAsia="zh-CN"/>
              </w:rPr>
            </w:pPr>
            <w:r>
              <w:rPr>
                <w:rFonts w:hint="default" w:ascii="Times New Roman" w:hAnsi="Times New Roman" w:eastAsia="宋体" w:cs="Times New Roman"/>
                <w:b/>
                <w:bCs/>
                <w:sz w:val="21"/>
                <w:szCs w:val="21"/>
                <w:highlight w:val="none"/>
                <w:vertAlign w:val="baseline"/>
                <w:lang w:val="en-US" w:eastAsia="zh-CN"/>
              </w:rPr>
              <w:t>202</w:t>
            </w:r>
            <w:r>
              <w:rPr>
                <w:rFonts w:hint="eastAsia" w:cs="Times New Roman"/>
                <w:b/>
                <w:bCs/>
                <w:sz w:val="21"/>
                <w:szCs w:val="21"/>
                <w:highlight w:val="none"/>
                <w:vertAlign w:val="baseline"/>
                <w:lang w:val="en-US" w:eastAsia="zh-CN"/>
              </w:rPr>
              <w:t>2</w:t>
            </w:r>
            <w:r>
              <w:rPr>
                <w:rFonts w:hint="default" w:ascii="Times New Roman" w:hAnsi="Times New Roman" w:eastAsia="宋体" w:cs="Times New Roman"/>
                <w:b/>
                <w:bCs/>
                <w:sz w:val="21"/>
                <w:szCs w:val="21"/>
                <w:highlight w:val="none"/>
                <w:vertAlign w:val="baseline"/>
                <w:lang w:val="en-US" w:eastAsia="zh-CN"/>
              </w:rPr>
              <w:t>-</w:t>
            </w:r>
            <w:r>
              <w:rPr>
                <w:rFonts w:hint="eastAsia" w:cs="Times New Roman"/>
                <w:b/>
                <w:bCs/>
                <w:sz w:val="21"/>
                <w:szCs w:val="21"/>
                <w:highlight w:val="none"/>
                <w:vertAlign w:val="baseline"/>
                <w:lang w:val="en-US" w:eastAsia="zh-CN"/>
              </w:rPr>
              <w:t>8</w:t>
            </w:r>
            <w:r>
              <w:rPr>
                <w:rFonts w:hint="default" w:ascii="Times New Roman" w:hAnsi="Times New Roman" w:eastAsia="宋体" w:cs="Times New Roman"/>
                <w:b/>
                <w:bCs/>
                <w:sz w:val="21"/>
                <w:szCs w:val="21"/>
                <w:highlight w:val="none"/>
                <w:vertAlign w:val="baseline"/>
                <w:lang w:val="en-US" w:eastAsia="zh-CN"/>
              </w:rPr>
              <w:t>-</w:t>
            </w:r>
            <w:r>
              <w:rPr>
                <w:rFonts w:hint="eastAsia" w:cs="Times New Roman"/>
                <w:b/>
                <w:bCs/>
                <w:sz w:val="21"/>
                <w:szCs w:val="21"/>
                <w:highlight w:val="none"/>
                <w:vertAlign w:val="baseline"/>
                <w:lang w:val="en-US" w:eastAsia="zh-CN"/>
              </w:rPr>
              <w:t>19</w:t>
            </w:r>
          </w:p>
        </w:tc>
        <w:tc>
          <w:tcPr>
            <w:tcW w:w="1713"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bCs/>
                <w:sz w:val="21"/>
                <w:szCs w:val="21"/>
                <w:highlight w:val="none"/>
                <w:vertAlign w:val="baseline"/>
                <w:lang w:val="en-US" w:eastAsia="zh-CN"/>
              </w:rPr>
            </w:pPr>
            <w:r>
              <w:rPr>
                <w:rFonts w:hint="eastAsia" w:cs="Times New Roman"/>
                <w:b/>
                <w:bCs/>
                <w:sz w:val="21"/>
                <w:szCs w:val="21"/>
                <w:highlight w:val="none"/>
                <w:vertAlign w:val="baseline"/>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blHeader/>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b/>
                <w:bCs/>
                <w:highlight w:val="none"/>
                <w:vertAlign w:val="baseline"/>
                <w:lang w:val="en-US" w:eastAsia="zh-CN"/>
              </w:rPr>
            </w:pPr>
          </w:p>
        </w:tc>
        <w:tc>
          <w:tcPr>
            <w:tcW w:w="2459"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b/>
                <w:bCs/>
                <w:highlight w:val="none"/>
                <w:vertAlign w:val="baseline"/>
                <w:lang w:val="en-US" w:eastAsia="zh-CN"/>
              </w:rPr>
            </w:pP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1</w:t>
            </w: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2</w:t>
            </w: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3</w:t>
            </w: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1</w:t>
            </w: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2</w:t>
            </w:r>
          </w:p>
        </w:tc>
        <w:tc>
          <w:tcPr>
            <w:tcW w:w="1502"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b/>
                <w:bCs/>
                <w:highlight w:val="none"/>
                <w:vertAlign w:val="baseline"/>
                <w:lang w:val="en-US" w:eastAsia="zh-CN"/>
              </w:rPr>
            </w:pPr>
            <w:r>
              <w:rPr>
                <w:rFonts w:hint="eastAsia"/>
                <w:b/>
                <w:bCs/>
                <w:highlight w:val="none"/>
                <w:vertAlign w:val="baseline"/>
                <w:lang w:val="en-US" w:eastAsia="zh-CN"/>
              </w:rPr>
              <w:t>3</w:t>
            </w:r>
          </w:p>
        </w:tc>
        <w:tc>
          <w:tcPr>
            <w:tcW w:w="1713"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b/>
                <w:bCs/>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restart"/>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r>
              <w:rPr>
                <w:rFonts w:hint="eastAsia" w:cs="Times New Roman"/>
                <w:sz w:val="21"/>
                <w:szCs w:val="21"/>
                <w:highlight w:val="none"/>
                <w:vertAlign w:val="baseline"/>
                <w:lang w:val="en-US" w:eastAsia="zh-CN"/>
              </w:rPr>
              <w:t>二期</w:t>
            </w:r>
            <w:r>
              <w:rPr>
                <w:rFonts w:hint="default" w:ascii="Times New Roman" w:hAnsi="Times New Roman" w:eastAsia="宋体" w:cs="Times New Roman"/>
                <w:sz w:val="21"/>
                <w:szCs w:val="21"/>
                <w:highlight w:val="none"/>
                <w:vertAlign w:val="baseline"/>
                <w:lang w:val="en-US" w:eastAsia="zh-CN"/>
              </w:rPr>
              <w:t>烟气总</w:t>
            </w:r>
            <w:r>
              <w:rPr>
                <w:rFonts w:hint="eastAsia" w:cs="Times New Roman"/>
                <w:sz w:val="21"/>
                <w:szCs w:val="21"/>
                <w:highlight w:val="none"/>
                <w:vertAlign w:val="baseline"/>
                <w:lang w:val="en-US" w:eastAsia="zh-CN"/>
              </w:rPr>
              <w:t>出</w:t>
            </w:r>
            <w:r>
              <w:rPr>
                <w:rFonts w:hint="default" w:ascii="Times New Roman" w:hAnsi="Times New Roman" w:eastAsia="宋体" w:cs="Times New Roman"/>
                <w:sz w:val="21"/>
                <w:szCs w:val="21"/>
                <w:highlight w:val="none"/>
                <w:vertAlign w:val="baseline"/>
                <w:lang w:val="en-US" w:eastAsia="zh-CN"/>
              </w:rPr>
              <w:t>口</w:t>
            </w: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含氧量（%）</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3.3</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2.6</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3.1</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标干流量（</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/h</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2983502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3041032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3084603</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2673417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2810941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2999378</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颗粒物</w:t>
            </w: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4.1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2.3</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1.5</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eastAsia" w:ascii="Times New Roman" w:hAnsi="Times New Roman" w:eastAsia="宋体" w:cs="Times New Roman"/>
                <w:sz w:val="21"/>
                <w:szCs w:val="21"/>
                <w:highlight w:val="none"/>
                <w:lang w:val="en-US" w:eastAsia="zh-CN"/>
              </w:rPr>
              <w:t>颗粒物</w:t>
            </w:r>
            <w:r>
              <w:rPr>
                <w:rFonts w:hint="default" w:ascii="Times New Roman" w:hAnsi="Times New Roman" w:eastAsia="宋体" w:cs="Times New Roman"/>
                <w:sz w:val="21"/>
                <w:szCs w:val="21"/>
                <w:highlight w:val="none"/>
                <w:lang w:val="en-US" w:eastAsia="zh-CN"/>
              </w:rPr>
              <w:t>折算浓度（mg/m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3.4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1.9</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1.3</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i w:val="0"/>
                <w:iCs w:val="0"/>
                <w:color w:val="000000"/>
                <w:kern w:val="0"/>
                <w:sz w:val="21"/>
                <w:szCs w:val="21"/>
                <w:highlight w:val="none"/>
                <w:u w:val="none"/>
                <w:lang w:val="en-US" w:eastAsia="zh-CN" w:bidi="ar"/>
              </w:rPr>
            </w:pPr>
            <w:r>
              <w:rPr>
                <w:rFonts w:hint="eastAsia" w:ascii="Times New Roman" w:hAnsi="Times New Roman" w:eastAsia="宋体" w:cs="Times New Roman"/>
                <w:i w:val="0"/>
                <w:iCs w:val="0"/>
                <w:color w:val="000000"/>
                <w:kern w:val="0"/>
                <w:sz w:val="21"/>
                <w:szCs w:val="21"/>
                <w:highlight w:val="none"/>
                <w:u w:val="none"/>
                <w:lang w:val="en-US" w:eastAsia="zh-CN" w:bidi="ar"/>
              </w:rPr>
              <w:t>颗粒物</w:t>
            </w:r>
            <w:r>
              <w:rPr>
                <w:rFonts w:hint="default" w:ascii="Times New Roman" w:hAnsi="Times New Roman" w:eastAsia="宋体" w:cs="Times New Roman"/>
                <w:i w:val="0"/>
                <w:iCs w:val="0"/>
                <w:color w:val="000000"/>
                <w:kern w:val="0"/>
                <w:sz w:val="21"/>
                <w:szCs w:val="21"/>
                <w:highlight w:val="none"/>
                <w:u w:val="none"/>
                <w:lang w:val="en-US" w:eastAsia="zh-CN" w:bidi="ar"/>
              </w:rPr>
              <w:t>排放速率（kg/h）</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8.06</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12.47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9.87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4.54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6.47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4.50</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NO</w:t>
            </w:r>
            <w:r>
              <w:rPr>
                <w:rFonts w:hint="default" w:ascii="Times New Roman" w:hAnsi="Times New Roman" w:eastAsia="宋体" w:cs="Times New Roman"/>
                <w:sz w:val="21"/>
                <w:szCs w:val="21"/>
                <w:highlight w:val="none"/>
                <w:vertAlign w:val="subscript"/>
                <w:lang w:val="en-US" w:eastAsia="zh-CN"/>
              </w:rPr>
              <w:t>X</w:t>
            </w: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41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27</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NO</w:t>
            </w:r>
            <w:r>
              <w:rPr>
                <w:rFonts w:hint="default" w:ascii="Times New Roman" w:hAnsi="Times New Roman" w:eastAsia="宋体" w:cs="Times New Roman"/>
                <w:sz w:val="21"/>
                <w:szCs w:val="21"/>
                <w:highlight w:val="none"/>
                <w:vertAlign w:val="subscript"/>
                <w:lang w:val="en-US" w:eastAsia="zh-CN"/>
              </w:rPr>
              <w:t>X</w:t>
            </w:r>
            <w:r>
              <w:rPr>
                <w:rFonts w:hint="default" w:ascii="Times New Roman" w:hAnsi="Times New Roman" w:eastAsia="宋体" w:cs="Times New Roman"/>
                <w:sz w:val="21"/>
                <w:szCs w:val="21"/>
                <w:highlight w:val="none"/>
                <w:lang w:val="en-US" w:eastAsia="zh-CN"/>
              </w:rPr>
              <w:t>折算浓度（mg/m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34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18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23</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b w:val="0"/>
                <w:bCs/>
                <w:color w:val="auto"/>
                <w:kern w:val="0"/>
                <w:sz w:val="21"/>
                <w:szCs w:val="21"/>
                <w:highlight w:val="none"/>
                <w:lang w:val="en-US" w:eastAsia="zh-CN" w:bidi="ar-SA"/>
              </w:rPr>
            </w:pPr>
            <w:r>
              <w:rPr>
                <w:rFonts w:hint="default" w:ascii="Times New Roman" w:hAnsi="Times New Roman" w:eastAsia="宋体" w:cs="Times New Roman"/>
                <w:kern w:val="0"/>
                <w:sz w:val="21"/>
                <w:szCs w:val="21"/>
                <w:highlight w:val="none"/>
                <w:lang w:val="en-US" w:eastAsia="zh-CN"/>
              </w:rPr>
              <w:t>NO</w:t>
            </w:r>
            <w:r>
              <w:rPr>
                <w:rFonts w:hint="default" w:ascii="Times New Roman" w:hAnsi="Times New Roman" w:eastAsia="宋体" w:cs="Times New Roman"/>
                <w:kern w:val="0"/>
                <w:sz w:val="21"/>
                <w:szCs w:val="21"/>
                <w:highlight w:val="none"/>
                <w:vertAlign w:val="subscript"/>
                <w:lang w:val="en-US" w:eastAsia="zh-CN"/>
              </w:rPr>
              <w:t>X</w:t>
            </w:r>
            <w:r>
              <w:rPr>
                <w:rFonts w:hint="default" w:ascii="Times New Roman" w:hAnsi="Times New Roman" w:eastAsia="宋体" w:cs="Times New Roman"/>
                <w:kern w:val="0"/>
                <w:sz w:val="21"/>
                <w:szCs w:val="21"/>
                <w:highlight w:val="none"/>
                <w:lang w:val="en-US" w:eastAsia="zh-CN"/>
              </w:rPr>
              <w:t>排放速率（kg/h）</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122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91.2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92.5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55.1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61.3</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79.5</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0"/>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SO</w:t>
            </w:r>
            <w:r>
              <w:rPr>
                <w:rFonts w:hint="default" w:ascii="Times New Roman" w:hAnsi="Times New Roman" w:eastAsia="宋体" w:cs="Times New Roman"/>
                <w:sz w:val="21"/>
                <w:szCs w:val="21"/>
                <w:highlight w:val="none"/>
                <w:vertAlign w:val="subscript"/>
                <w:lang w:val="en-US" w:eastAsia="zh-CN"/>
              </w:rPr>
              <w:t>2</w:t>
            </w:r>
            <w:r>
              <w:rPr>
                <w:rFonts w:hint="default" w:ascii="Times New Roman" w:hAnsi="Times New Roman" w:eastAsia="宋体" w:cs="Times New Roman"/>
                <w:sz w:val="21"/>
                <w:szCs w:val="21"/>
                <w:highlight w:val="none"/>
                <w:lang w:val="en-US" w:eastAsia="zh-CN"/>
              </w:rPr>
              <w:t>排放浓度（mg/m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8.0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8.4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7.4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7.0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6.7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7.6</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SO</w:t>
            </w:r>
            <w:r>
              <w:rPr>
                <w:rFonts w:hint="default" w:ascii="Times New Roman" w:hAnsi="Times New Roman" w:eastAsia="宋体" w:cs="Times New Roman"/>
                <w:sz w:val="21"/>
                <w:szCs w:val="21"/>
                <w:highlight w:val="none"/>
                <w:vertAlign w:val="subscript"/>
                <w:lang w:val="en-US" w:eastAsia="zh-CN"/>
              </w:rPr>
              <w:t>2</w:t>
            </w:r>
            <w:r>
              <w:rPr>
                <w:rFonts w:hint="default" w:ascii="Times New Roman" w:hAnsi="Times New Roman" w:eastAsia="宋体" w:cs="Times New Roman"/>
                <w:sz w:val="21"/>
                <w:szCs w:val="21"/>
                <w:highlight w:val="none"/>
                <w:lang w:val="en-US" w:eastAsia="zh-CN"/>
              </w:rPr>
              <w:t>折算浓度（mg/m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6.6</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7.0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6.2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5.9</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5.5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6.4</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ascii="Times New Roman" w:hAnsi="Times New Roman" w:cs="Times New Roman"/>
                <w:color w:val="auto"/>
                <w:sz w:val="21"/>
                <w:szCs w:val="21"/>
                <w:highlight w:val="none"/>
                <w:vertAlign w:val="baseline"/>
                <w:lang w:val="en-US" w:eastAsia="zh-CN"/>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eastAsia" w:ascii="Times New Roman" w:hAnsi="Times New Roman" w:eastAsia="宋体" w:cs="Times New Roman"/>
                <w:b w:val="0"/>
                <w:bCs/>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SO</w:t>
            </w:r>
            <w:r>
              <w:rPr>
                <w:rFonts w:hint="default" w:ascii="Times New Roman" w:hAnsi="Times New Roman" w:eastAsia="宋体" w:cs="Times New Roman"/>
                <w:sz w:val="21"/>
                <w:szCs w:val="21"/>
                <w:highlight w:val="none"/>
                <w:vertAlign w:val="subscript"/>
                <w:lang w:val="en-US" w:eastAsia="zh-CN"/>
              </w:rPr>
              <w:t>2</w:t>
            </w:r>
            <w:r>
              <w:rPr>
                <w:rFonts w:hint="default" w:ascii="Times New Roman" w:hAnsi="Times New Roman" w:eastAsia="宋体" w:cs="Times New Roman"/>
                <w:kern w:val="0"/>
                <w:sz w:val="21"/>
                <w:szCs w:val="21"/>
                <w:highlight w:val="none"/>
                <w:lang w:val="en-US" w:eastAsia="zh-CN"/>
              </w:rPr>
              <w:t>排放速率（kg/h）</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23.9</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25.5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22.8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18.71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18.8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22.8</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vertAlign w:val="baseline"/>
                <w:lang w:val="en-US" w:eastAsia="zh-CN"/>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default" w:ascii="Times New Roman" w:hAnsi="Times New Roman" w:eastAsia="宋体" w:cs="Times New Roman"/>
                <w:sz w:val="21"/>
                <w:szCs w:val="21"/>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含氧量（%）</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2.8</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3.1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2.6</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2.7</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restart"/>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烟气总进口</w:t>
            </w: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标干流量（</w:t>
            </w:r>
            <w:r>
              <w:rPr>
                <w:rFonts w:hint="default" w:ascii="Times New Roman" w:hAnsi="Times New Roman" w:eastAsia="宋体" w:cs="Times New Roman"/>
                <w:color w:val="auto"/>
                <w:sz w:val="21"/>
                <w:szCs w:val="21"/>
                <w:highlight w:val="none"/>
                <w:lang w:val="en-US" w:eastAsia="zh-CN"/>
              </w:rPr>
              <w:t>m</w:t>
            </w:r>
            <w:r>
              <w:rPr>
                <w:rFonts w:hint="default" w:ascii="Times New Roman" w:hAnsi="Times New Roman" w:eastAsia="宋体" w:cs="Times New Roman"/>
                <w:color w:val="auto"/>
                <w:sz w:val="21"/>
                <w:szCs w:val="21"/>
                <w:highlight w:val="none"/>
                <w:vertAlign w:val="superscript"/>
                <w:lang w:val="en-US" w:eastAsia="zh-CN"/>
              </w:rPr>
              <w:t>3</w:t>
            </w:r>
            <w:r>
              <w:rPr>
                <w:rFonts w:hint="default" w:ascii="Times New Roman" w:hAnsi="Times New Roman" w:eastAsia="宋体" w:cs="Times New Roman"/>
                <w:color w:val="auto"/>
                <w:sz w:val="21"/>
                <w:szCs w:val="21"/>
                <w:highlight w:val="none"/>
                <w:lang w:val="en-US" w:eastAsia="zh-CN"/>
              </w:rPr>
              <w:t>/h</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3025871</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2964284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3067100</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2921912</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2835637</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3042917</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vertAlign w:val="baseline"/>
                <w:lang w:val="en-US" w:eastAsia="zh-CN"/>
              </w:rPr>
              <w:t>汞及其化合物</w:t>
            </w:r>
            <w:r>
              <w:rPr>
                <w:rFonts w:hint="default" w:ascii="Times New Roman" w:hAnsi="Times New Roman" w:eastAsia="宋体" w:cs="Times New Roman"/>
                <w:sz w:val="21"/>
                <w:szCs w:val="21"/>
                <w:highlight w:val="none"/>
                <w:lang w:val="en-US" w:eastAsia="zh-CN"/>
              </w:rPr>
              <w:t>排放浓度（</w:t>
            </w:r>
            <w:r>
              <w:rPr>
                <w:rFonts w:hint="eastAsia" w:cs="Times New Roman"/>
                <w:sz w:val="21"/>
                <w:szCs w:val="21"/>
                <w:highlight w:val="none"/>
                <w:lang w:val="en-US" w:eastAsia="zh-CN"/>
              </w:rPr>
              <w:t>m</w:t>
            </w:r>
            <w:r>
              <w:rPr>
                <w:rFonts w:hint="default" w:ascii="Times New Roman" w:hAnsi="Times New Roman" w:eastAsia="宋体" w:cs="Times New Roman"/>
                <w:sz w:val="21"/>
                <w:szCs w:val="21"/>
                <w:highlight w:val="none"/>
                <w:lang w:val="en-US" w:eastAsia="zh-CN"/>
              </w:rPr>
              <w:t>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5.5×10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5.1×10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3.1×10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6.1</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w:t>
            </w:r>
            <w:r>
              <w:rPr>
                <w:rFonts w:hint="default" w:ascii="Times New Roman" w:hAnsi="Times New Roman" w:cs="Times New Roman"/>
                <w:color w:val="auto"/>
                <w:sz w:val="21"/>
                <w:szCs w:val="21"/>
                <w:highlight w:val="none"/>
                <w:vertAlign w:val="baseline"/>
                <w:lang w:val="en-US" w:eastAsia="zh-CN"/>
              </w:rPr>
              <w:t>5</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2.0</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-5</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vertAlign w:val="baseline"/>
                <w:lang w:val="en-US" w:eastAsia="zh-CN"/>
              </w:rPr>
              <w:t>汞及其化合物</w:t>
            </w:r>
            <w:r>
              <w:rPr>
                <w:rFonts w:hint="eastAsia" w:ascii="Times New Roman" w:hAnsi="Times New Roman" w:eastAsia="宋体" w:cs="Times New Roman"/>
                <w:sz w:val="21"/>
                <w:szCs w:val="21"/>
                <w:highlight w:val="none"/>
                <w:lang w:val="en-US" w:eastAsia="zh-CN"/>
              </w:rPr>
              <w:t>折算</w:t>
            </w:r>
            <w:r>
              <w:rPr>
                <w:rFonts w:hint="default" w:ascii="Times New Roman" w:hAnsi="Times New Roman" w:eastAsia="宋体" w:cs="Times New Roman"/>
                <w:sz w:val="21"/>
                <w:szCs w:val="21"/>
                <w:highlight w:val="none"/>
                <w:lang w:val="en-US" w:eastAsia="zh-CN"/>
              </w:rPr>
              <w:t>浓度（</w:t>
            </w:r>
            <w:r>
              <w:rPr>
                <w:rFonts w:hint="eastAsia" w:cs="Times New Roman"/>
                <w:sz w:val="21"/>
                <w:szCs w:val="21"/>
                <w:highlight w:val="none"/>
                <w:lang w:val="en-US" w:eastAsia="zh-CN"/>
              </w:rPr>
              <w:t>m</w:t>
            </w:r>
            <w:r>
              <w:rPr>
                <w:rFonts w:hint="default" w:ascii="Times New Roman" w:hAnsi="Times New Roman" w:eastAsia="宋体" w:cs="Times New Roman"/>
                <w:sz w:val="21"/>
                <w:szCs w:val="21"/>
                <w:highlight w:val="none"/>
                <w:lang w:val="en-US" w:eastAsia="zh-CN"/>
              </w:rPr>
              <w:t>g/m</w:t>
            </w:r>
            <w:r>
              <w:rPr>
                <w:rFonts w:hint="default" w:ascii="Times New Roman" w:hAnsi="Times New Roman" w:eastAsia="宋体" w:cs="Times New Roman"/>
                <w:sz w:val="21"/>
                <w:szCs w:val="21"/>
                <w:highlight w:val="none"/>
                <w:vertAlign w:val="superscript"/>
                <w:lang w:val="en-US" w:eastAsia="zh-CN"/>
              </w:rPr>
              <w:t>3</w:t>
            </w:r>
            <w:r>
              <w:rPr>
                <w:rFonts w:hint="default" w:ascii="Times New Roman" w:hAnsi="Times New Roman" w:eastAsia="宋体" w:cs="Times New Roman"/>
                <w:sz w:val="21"/>
                <w:szCs w:val="21"/>
                <w:highlight w:val="none"/>
                <w:lang w:val="en-US" w:eastAsia="zh-CN"/>
              </w:rPr>
              <w:t>）</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4.5</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4.2</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2.6</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5.1</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2.0</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sz w:val="21"/>
                <w:szCs w:val="21"/>
                <w:highlight w:val="none"/>
                <w:vertAlign w:val="baseline"/>
                <w:lang w:val="en-US" w:eastAsia="zh-CN"/>
              </w:rPr>
            </w:pPr>
            <w:r>
              <w:rPr>
                <w:rFonts w:hint="eastAsia" w:ascii="Times New Roman" w:hAnsi="Times New Roman" w:eastAsia="宋体" w:cs="Times New Roman"/>
                <w:color w:val="auto"/>
                <w:sz w:val="21"/>
                <w:szCs w:val="21"/>
                <w:highlight w:val="none"/>
                <w:vertAlign w:val="baseline"/>
                <w:lang w:val="en-US" w:eastAsia="zh-CN"/>
              </w:rPr>
              <w:t>1.6</w:t>
            </w:r>
            <w:r>
              <w:rPr>
                <w:rFonts w:hint="default" w:ascii="Times New Roman" w:hAnsi="Times New Roman" w:eastAsia="宋体" w:cs="Times New Roman"/>
                <w:color w:val="auto"/>
                <w:sz w:val="21"/>
                <w:szCs w:val="21"/>
                <w:highlight w:val="none"/>
                <w:vertAlign w:val="baseline"/>
                <w:lang w:val="en-US" w:eastAsia="zh-CN"/>
              </w:rPr>
              <w:t>×10</w:t>
            </w:r>
            <w:r>
              <w:rPr>
                <w:rFonts w:hint="default" w:ascii="Times New Roman" w:hAnsi="Times New Roman" w:eastAsia="宋体" w:cs="Times New Roman"/>
                <w:color w:val="auto"/>
                <w:sz w:val="21"/>
                <w:szCs w:val="21"/>
                <w:highlight w:val="none"/>
                <w:vertAlign w:val="superscript"/>
                <w:lang w:val="en-US" w:eastAsia="zh-CN"/>
              </w:rPr>
              <w:t>-5</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eastAsia="宋体" w:cs="Times New Roman"/>
                <w:color w:val="auto"/>
                <w:sz w:val="21"/>
                <w:szCs w:val="21"/>
                <w:vertAlign w:val="baseline"/>
                <w:lang w:val="en-US" w:eastAsia="zh-CN"/>
              </w:rPr>
              <w:t>0.003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trPr>
        <w:tc>
          <w:tcPr>
            <w:tcW w:w="987" w:type="dxa"/>
            <w:vMerge w:val="continue"/>
            <w:vAlign w:val="center"/>
          </w:tcPr>
          <w:p>
            <w:pPr>
              <w:pStyle w:val="8"/>
              <w:keepNext w:val="0"/>
              <w:keepLines w:val="0"/>
              <w:pageBreakBefore w:val="0"/>
              <w:kinsoku/>
              <w:wordWrap/>
              <w:overflowPunct/>
              <w:topLinePunct w:val="0"/>
              <w:autoSpaceDE/>
              <w:autoSpaceDN/>
              <w:bidi w:val="0"/>
              <w:adjustRightInd/>
              <w:snapToGrid/>
              <w:spacing w:after="0" w:line="240" w:lineRule="auto"/>
              <w:ind w:firstLine="0" w:firstLineChars="0"/>
              <w:jc w:val="center"/>
              <w:rPr>
                <w:rFonts w:hint="eastAsia"/>
                <w:highlight w:val="none"/>
                <w:vertAlign w:val="baseline"/>
                <w:lang w:val="en-US" w:eastAsia="zh-CN"/>
              </w:rPr>
            </w:pPr>
          </w:p>
        </w:tc>
        <w:tc>
          <w:tcPr>
            <w:tcW w:w="2459" w:type="dxa"/>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vertAlign w:val="baseline"/>
                <w:lang w:val="en-US" w:eastAsia="zh-CN"/>
              </w:rPr>
              <w:t>汞及其化合物</w:t>
            </w:r>
            <w:r>
              <w:rPr>
                <w:rFonts w:hint="default" w:ascii="Times New Roman" w:hAnsi="Times New Roman" w:eastAsia="宋体" w:cs="Times New Roman"/>
                <w:kern w:val="0"/>
                <w:sz w:val="21"/>
                <w:szCs w:val="21"/>
                <w:highlight w:val="none"/>
                <w:lang w:val="en-US" w:eastAsia="zh-CN"/>
              </w:rPr>
              <w:t>排放速率（kg/h）</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1.66×10</w:t>
            </w:r>
            <w:r>
              <w:rPr>
                <w:rFonts w:hint="default" w:ascii="Times New Roman" w:hAnsi="Times New Roman" w:eastAsia="宋体" w:cs="Times New Roman"/>
                <w:color w:val="auto"/>
                <w:sz w:val="21"/>
                <w:szCs w:val="21"/>
                <w:highlight w:val="none"/>
                <w:vertAlign w:val="superscript"/>
                <w:lang w:val="en-US" w:eastAsia="zh-CN"/>
              </w:rPr>
              <w:t>-4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1.51×10</w:t>
            </w:r>
            <w:r>
              <w:rPr>
                <w:rFonts w:hint="default" w:ascii="Times New Roman" w:hAnsi="Times New Roman" w:eastAsia="宋体" w:cs="Times New Roman"/>
                <w:color w:val="auto"/>
                <w:sz w:val="21"/>
                <w:szCs w:val="21"/>
                <w:highlight w:val="none"/>
                <w:vertAlign w:val="superscript"/>
                <w:lang w:val="en-US" w:eastAsia="zh-CN"/>
              </w:rPr>
              <w:t>-4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color w:val="auto"/>
                <w:sz w:val="21"/>
                <w:szCs w:val="21"/>
                <w:highlight w:val="none"/>
                <w:vertAlign w:val="baseline"/>
                <w:lang w:val="en-US" w:eastAsia="zh-CN"/>
              </w:rPr>
              <w:t>9.51×10</w:t>
            </w:r>
            <w:r>
              <w:rPr>
                <w:rFonts w:hint="default" w:ascii="Times New Roman" w:hAnsi="Times New Roman" w:eastAsia="宋体"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1.78</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-4</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7.09</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-5</w:t>
            </w:r>
          </w:p>
        </w:tc>
        <w:tc>
          <w:tcPr>
            <w:tcW w:w="1502"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ascii="Times New Roman" w:hAnsi="Times New Roman" w:cs="Times New Roman"/>
                <w:color w:val="auto"/>
                <w:sz w:val="21"/>
                <w:szCs w:val="21"/>
                <w:highlight w:val="none"/>
                <w:vertAlign w:val="baseline"/>
                <w:lang w:val="en-US" w:eastAsia="zh-CN"/>
              </w:rPr>
              <w:t>6.09</w:t>
            </w:r>
            <w:r>
              <w:rPr>
                <w:rFonts w:hint="default" w:ascii="Arial" w:hAnsi="Arial" w:cs="Arial"/>
                <w:color w:val="auto"/>
                <w:sz w:val="21"/>
                <w:szCs w:val="21"/>
                <w:highlight w:val="none"/>
                <w:vertAlign w:val="baseline"/>
                <w:lang w:val="en-US" w:eastAsia="zh-CN"/>
              </w:rPr>
              <w:t>×</w:t>
            </w:r>
            <w:r>
              <w:rPr>
                <w:rFonts w:hint="eastAsia" w:ascii="Times New Roman" w:hAnsi="Times New Roman" w:cs="Times New Roman"/>
                <w:color w:val="auto"/>
                <w:sz w:val="21"/>
                <w:szCs w:val="21"/>
                <w:highlight w:val="none"/>
                <w:vertAlign w:val="baseline"/>
                <w:lang w:val="en-US" w:eastAsia="zh-CN"/>
              </w:rPr>
              <w:t>10</w:t>
            </w:r>
            <w:r>
              <w:rPr>
                <w:rFonts w:hint="eastAsia" w:ascii="Times New Roman" w:hAnsi="Times New Roman" w:cs="Times New Roman"/>
                <w:color w:val="auto"/>
                <w:sz w:val="21"/>
                <w:szCs w:val="21"/>
                <w:highlight w:val="none"/>
                <w:vertAlign w:val="superscript"/>
                <w:lang w:val="en-US" w:eastAsia="zh-CN"/>
              </w:rPr>
              <w:t>-5</w:t>
            </w:r>
          </w:p>
        </w:tc>
        <w:tc>
          <w:tcPr>
            <w:tcW w:w="1713"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r>
              <w:rPr>
                <w:rFonts w:hint="eastAsia" w:cs="Times New Roman"/>
                <w:color w:val="auto"/>
                <w:sz w:val="21"/>
                <w:szCs w:val="21"/>
                <w:highlight w:val="none"/>
                <w:vertAlign w:val="baseline"/>
                <w:lang w:val="en-US" w:eastAsia="zh-CN"/>
              </w:rPr>
              <w:t>/</w:t>
            </w:r>
          </w:p>
        </w:tc>
      </w:tr>
    </w:tbl>
    <w:p>
      <w:pPr>
        <w:rPr>
          <w:rFonts w:hint="default" w:ascii="Times New Roman" w:hAnsi="Times New Roman" w:eastAsia="宋体" w:cs="Times New Roman"/>
          <w:color w:val="auto"/>
          <w:sz w:val="24"/>
          <w:szCs w:val="24"/>
          <w:highlight w:val="red"/>
          <w:lang w:eastAsia="zh-CN"/>
        </w:rPr>
      </w:pPr>
      <w:r>
        <w:rPr>
          <w:rFonts w:hint="default" w:ascii="Times New Roman" w:hAnsi="Times New Roman" w:eastAsia="宋体" w:cs="Times New Roman"/>
          <w:color w:val="auto"/>
          <w:sz w:val="24"/>
          <w:szCs w:val="24"/>
          <w:highlight w:val="none"/>
          <w:lang w:eastAsia="zh-CN"/>
        </w:rPr>
        <w:t>监测结果表明：验收监测期间，本项目</w:t>
      </w:r>
      <w:r>
        <w:rPr>
          <w:rFonts w:hint="default" w:ascii="Times New Roman" w:hAnsi="Times New Roman" w:eastAsia="宋体" w:cs="Times New Roman"/>
          <w:color w:val="auto"/>
          <w:sz w:val="24"/>
          <w:szCs w:val="24"/>
          <w:highlight w:val="none"/>
          <w:lang w:val="en-US" w:eastAsia="zh-CN"/>
        </w:rPr>
        <w:t>锅炉</w:t>
      </w:r>
      <w:r>
        <w:rPr>
          <w:rFonts w:hint="default" w:ascii="Times New Roman" w:hAnsi="Times New Roman" w:eastAsia="宋体" w:cs="Times New Roman"/>
          <w:color w:val="auto"/>
          <w:sz w:val="24"/>
          <w:szCs w:val="24"/>
          <w:highlight w:val="none"/>
          <w:lang w:eastAsia="zh-CN"/>
        </w:rPr>
        <w:t>烟气</w:t>
      </w:r>
      <w:r>
        <w:rPr>
          <w:rFonts w:hint="default" w:ascii="Times New Roman" w:hAnsi="Times New Roman" w:eastAsia="宋体" w:cs="Times New Roman"/>
          <w:color w:val="auto"/>
          <w:sz w:val="24"/>
          <w:szCs w:val="24"/>
          <w:highlight w:val="none"/>
          <w:lang w:val="en-US" w:eastAsia="zh-CN"/>
        </w:rPr>
        <w:t>外排</w:t>
      </w:r>
      <w:r>
        <w:rPr>
          <w:rFonts w:hint="default" w:ascii="Times New Roman" w:hAnsi="Times New Roman" w:eastAsia="宋体" w:cs="Times New Roman"/>
          <w:color w:val="auto"/>
          <w:sz w:val="24"/>
          <w:szCs w:val="24"/>
          <w:highlight w:val="none"/>
          <w:lang w:eastAsia="zh-CN"/>
        </w:rPr>
        <w:t>中颗粒物最大排放浓度为</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，二氧化硫最大排放浓度为</w:t>
      </w:r>
      <w:r>
        <w:rPr>
          <w:rFonts w:hint="default" w:ascii="Times New Roman" w:hAnsi="Times New Roman" w:eastAsia="宋体" w:cs="Times New Roman"/>
          <w:color w:val="auto"/>
          <w:sz w:val="24"/>
          <w:szCs w:val="24"/>
          <w:highlight w:val="none"/>
          <w:lang w:val="en-US" w:eastAsia="zh-CN"/>
        </w:rPr>
        <w:t>8</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，氮氧化物最大排放浓度为</w:t>
      </w:r>
      <w:r>
        <w:rPr>
          <w:rFonts w:hint="eastAsia" w:cs="Times New Roman"/>
          <w:color w:val="auto"/>
          <w:sz w:val="24"/>
          <w:szCs w:val="24"/>
          <w:highlight w:val="none"/>
          <w:lang w:val="en-US" w:eastAsia="zh-CN"/>
        </w:rPr>
        <w:t>41</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，汞及其化合物最大排放浓度为</w:t>
      </w:r>
      <w:r>
        <w:rPr>
          <w:rFonts w:hint="eastAsia" w:cs="Times New Roman"/>
          <w:sz w:val="24"/>
          <w:szCs w:val="24"/>
          <w:highlight w:val="none"/>
          <w:vertAlign w:val="baseline"/>
          <w:lang w:val="en-US" w:eastAsia="zh-CN"/>
        </w:rPr>
        <w:t>6.1</w:t>
      </w:r>
      <w:r>
        <w:rPr>
          <w:rFonts w:hint="default" w:ascii="Times New Roman" w:hAnsi="Times New Roman" w:eastAsia="宋体" w:cs="Times New Roman"/>
          <w:sz w:val="24"/>
          <w:szCs w:val="24"/>
          <w:highlight w:val="none"/>
          <w:vertAlign w:val="baseline"/>
          <w:lang w:val="en-US" w:eastAsia="zh-CN"/>
        </w:rPr>
        <w:t>×10</w:t>
      </w:r>
      <w:r>
        <w:rPr>
          <w:rFonts w:hint="default" w:ascii="Times New Roman" w:hAnsi="Times New Roman" w:eastAsia="宋体" w:cs="Times New Roman"/>
          <w:sz w:val="24"/>
          <w:szCs w:val="24"/>
          <w:highlight w:val="none"/>
          <w:vertAlign w:val="superscript"/>
          <w:lang w:val="en-US" w:eastAsia="zh-CN"/>
        </w:rPr>
        <w:t>-</w:t>
      </w:r>
      <w:r>
        <w:rPr>
          <w:rFonts w:hint="eastAsia" w:cs="Times New Roman"/>
          <w:sz w:val="24"/>
          <w:szCs w:val="24"/>
          <w:highlight w:val="none"/>
          <w:vertAlign w:val="superscript"/>
          <w:lang w:val="en-US" w:eastAsia="zh-CN"/>
        </w:rPr>
        <w:t>5</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，均符合《火电厂大气污染物排放标准》（GB13223-2011）表1中相应限值要求</w:t>
      </w:r>
      <w:r>
        <w:rPr>
          <w:rFonts w:hint="default" w:ascii="Times New Roman" w:hAnsi="Times New Roman" w:eastAsia="宋体" w:cs="Times New Roman"/>
          <w:color w:val="auto"/>
          <w:sz w:val="24"/>
          <w:szCs w:val="24"/>
          <w:highlight w:val="none"/>
          <w:lang w:val="en-US" w:eastAsia="zh-CN"/>
        </w:rPr>
        <w:t>和《关于印发《全面实施燃煤电厂超低排放和节能改造工作方案》的通知》（环发[2015]164号）的要求。</w:t>
      </w:r>
    </w:p>
    <w:p>
      <w:pPr>
        <w:rPr>
          <w:rFonts w:hint="eastAsia"/>
          <w:color w:val="auto"/>
          <w:highlight w:val="none"/>
          <w:lang w:val="en-US" w:eastAsia="zh-CN"/>
        </w:rPr>
      </w:pPr>
      <w:r>
        <w:rPr>
          <w:rFonts w:hint="eastAsia"/>
          <w:color w:val="auto"/>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textAlignment w:val="auto"/>
        <w:outlineLvl w:val="2"/>
        <w:rPr>
          <w:rFonts w:hint="eastAsia"/>
          <w:color w:val="auto"/>
          <w:highlight w:val="none"/>
          <w:lang w:val="en-US" w:eastAsia="zh-CN"/>
        </w:rPr>
      </w:pPr>
      <w:r>
        <w:rPr>
          <w:rFonts w:hint="eastAsia"/>
          <w:color w:val="auto"/>
          <w:highlight w:val="none"/>
          <w:lang w:val="en-US" w:eastAsia="zh-CN"/>
        </w:rPr>
        <w:t>9.2.2废水监测</w:t>
      </w:r>
    </w:p>
    <w:p>
      <w:pPr>
        <w:pStyle w:val="8"/>
        <w:jc w:val="center"/>
        <w:rPr>
          <w:rFonts w:hint="eastAsia"/>
          <w:lang w:eastAsia="zh-CN"/>
        </w:rPr>
      </w:pPr>
      <w:r>
        <w:rPr>
          <w:rFonts w:hint="eastAsia" w:ascii="黑体" w:hAnsi="黑体" w:eastAsia="黑体" w:cs="黑体"/>
          <w:sz w:val="21"/>
          <w:szCs w:val="21"/>
          <w:highlight w:val="none"/>
          <w:lang w:val="en-US" w:eastAsia="zh-CN"/>
        </w:rPr>
        <w:t>表9-2</w:t>
      </w:r>
      <w:r>
        <w:rPr>
          <w:rFonts w:hint="eastAsia" w:ascii="黑体" w:hAnsi="黑体" w:eastAsia="黑体" w:cs="黑体"/>
          <w:color w:val="auto"/>
          <w:sz w:val="21"/>
          <w:szCs w:val="21"/>
          <w:highlight w:val="none"/>
          <w:lang w:val="en-US" w:eastAsia="zh-CN"/>
        </w:rPr>
        <w:t>废水污染物</w:t>
      </w:r>
      <w:r>
        <w:rPr>
          <w:rFonts w:hint="eastAsia" w:ascii="黑体" w:hAnsi="黑体" w:eastAsia="黑体" w:cs="黑体"/>
          <w:color w:val="auto"/>
          <w:sz w:val="21"/>
          <w:szCs w:val="21"/>
          <w:highlight w:val="none"/>
          <w:lang w:eastAsia="zh-CN"/>
        </w:rPr>
        <w:t>监测</w:t>
      </w:r>
      <w:r>
        <w:rPr>
          <w:rFonts w:hint="eastAsia" w:ascii="黑体" w:hAnsi="黑体" w:eastAsia="黑体" w:cs="黑体"/>
          <w:color w:val="auto"/>
          <w:sz w:val="21"/>
          <w:szCs w:val="21"/>
          <w:highlight w:val="none"/>
          <w:lang w:val="en-US" w:eastAsia="zh-CN"/>
        </w:rPr>
        <w:t>结果一览表</w:t>
      </w:r>
    </w:p>
    <w:tbl>
      <w:tblPr>
        <w:tblStyle w:val="23"/>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1"/>
        <w:gridCol w:w="1272"/>
        <w:gridCol w:w="1138"/>
        <w:gridCol w:w="1138"/>
        <w:gridCol w:w="1138"/>
        <w:gridCol w:w="1146"/>
        <w:gridCol w:w="1138"/>
        <w:gridCol w:w="1138"/>
        <w:gridCol w:w="1138"/>
        <w:gridCol w:w="1148"/>
        <w:gridCol w:w="1138"/>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14:textFill>
                  <w14:solidFill>
                    <w14:schemeClr w14:val="tx1"/>
                  </w14:solidFill>
                </w14:textFill>
              </w:rPr>
              <w:t>检测</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点位</w:t>
            </w:r>
          </w:p>
        </w:tc>
        <w:tc>
          <w:tcPr>
            <w:tcW w:w="473"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14:textFill>
                  <w14:solidFill>
                    <w14:schemeClr w14:val="tx1"/>
                  </w14:solidFill>
                </w14:textFill>
              </w:rPr>
              <w:t>检测项目</w:t>
            </w: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及单位</w:t>
            </w:r>
          </w:p>
        </w:tc>
        <w:tc>
          <w:tcPr>
            <w:tcW w:w="1695"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2022.08.18</w:t>
            </w:r>
          </w:p>
        </w:tc>
        <w:tc>
          <w:tcPr>
            <w:tcW w:w="1696"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2022.08.19</w:t>
            </w:r>
          </w:p>
        </w:tc>
        <w:tc>
          <w:tcPr>
            <w:tcW w:w="423"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标准限值</w:t>
            </w:r>
          </w:p>
        </w:tc>
        <w:tc>
          <w:tcPr>
            <w:tcW w:w="424" w:type="pct"/>
            <w:vMerge w:val="restar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vertAlign w:val="baseline"/>
                <w:lang w:val="en-US" w:eastAsia="zh-CN" w:bidi="ar-SA"/>
                <w14:textFill>
                  <w14:solidFill>
                    <w14:schemeClr w14:val="tx1"/>
                  </w14:solidFill>
                </w14:textFill>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473" w:type="pct"/>
            <w:vMerge w:val="continue"/>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14:textFill>
                  <w14:solidFill>
                    <w14:schemeClr w14:val="tx1"/>
                  </w14:solidFill>
                </w14:textFill>
              </w:rPr>
            </w:pP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第一次</w:t>
            </w: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第二次</w:t>
            </w: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第三次</w:t>
            </w:r>
          </w:p>
        </w:tc>
        <w:tc>
          <w:tcPr>
            <w:tcW w:w="425"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第四次</w:t>
            </w: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第一次</w:t>
            </w: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第二次</w:t>
            </w:r>
          </w:p>
        </w:tc>
        <w:tc>
          <w:tcPr>
            <w:tcW w:w="423"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第三次</w:t>
            </w:r>
          </w:p>
        </w:tc>
        <w:tc>
          <w:tcPr>
            <w:tcW w:w="426" w:type="pct"/>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第四次</w:t>
            </w:r>
          </w:p>
        </w:tc>
        <w:tc>
          <w:tcPr>
            <w:tcW w:w="423"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c>
          <w:tcPr>
            <w:tcW w:w="424" w:type="pct"/>
            <w:vMerge w:val="continue"/>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脱硫废水进口W1</w:t>
            </w:r>
          </w:p>
        </w:tc>
        <w:tc>
          <w:tcPr>
            <w:tcW w:w="47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pH值（无量纲）</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7.8</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(水温：29.2℃)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7.7</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(水温：30.0℃)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7.7</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(水温：30.6℃)</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7.8</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7.7</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(水温：28.2℃)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7.8</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(水温：30.1℃)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7.7</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(水温：31.8℃)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vertAlign w:val="baseline"/>
                <w:lang w:val="en-US" w:eastAsia="zh-CN"/>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(水温：32.0℃)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悬浮物（mg/L）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29</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铅（mg/L）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0.28</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0.30</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镉（mg/L）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0.049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0.051</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0.053</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0.055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汞（mg/L）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砷（mg/L）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硫化物（mg/L）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氟化物（mg/L）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1.90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1.93</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2.02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1.90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2.04</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pPr>
          </w:p>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脱硫废水出口W2</w:t>
            </w:r>
          </w:p>
        </w:tc>
        <w:tc>
          <w:tcPr>
            <w:tcW w:w="473"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pH值（无量纲）</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(水温：30.6℃)</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(水温：28.4℃)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7.2</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(水温：32.2℃)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悬浮物（mg/L）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铅（mg/L）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镉（mg/L）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汞（mg/L）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砷（mg/L）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硫化物（mg/L）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氟化物（mg/L）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0.89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0.98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0.93</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0.96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0.93</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0.96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auto"/>
                <w:sz w:val="21"/>
                <w:szCs w:val="21"/>
                <w:lang w:val="en-US" w:eastAsia="zh-CN"/>
              </w:rPr>
              <w:t>生活废水出口</w:t>
            </w:r>
            <w:r>
              <w:rPr>
                <w:rFonts w:hint="default" w:ascii="Times New Roman" w:hAnsi="Times New Roman" w:eastAsia="宋体" w:cs="Times New Roman"/>
                <w:b w:val="0"/>
                <w:bCs w:val="0"/>
                <w:color w:val="auto"/>
                <w:sz w:val="21"/>
                <w:szCs w:val="21"/>
                <w:lang w:val="en-US" w:eastAsia="zh-CN"/>
              </w:rPr>
              <w:t>W3</w:t>
            </w: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pH值（无量纲）</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(水温：28.8℃)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7.7</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(水温：32.4℃)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6.0-9.0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悬浮物（mg/L）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浊度（NTU）</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9.8</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9.2</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化学需氧量（mg/L）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五日生化需氧量（mg/L）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氨氮（mg/L）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0.268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0.255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0.222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0.262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0.209</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0.225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铁（mg/L）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溶解性总固体（mg/L）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429</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氯离子（mg/L）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92.6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83.0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41.4</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溶解氧（mg/L）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auto"/>
                <w:sz w:val="21"/>
                <w:szCs w:val="21"/>
                <w:lang w:val="en-US" w:eastAsia="zh-CN"/>
              </w:rPr>
              <w:t>工业水池出口</w:t>
            </w:r>
            <w:r>
              <w:rPr>
                <w:rFonts w:hint="default" w:ascii="Times New Roman" w:hAnsi="Times New Roman" w:eastAsia="宋体" w:cs="Times New Roman"/>
                <w:b w:val="0"/>
                <w:bCs w:val="0"/>
                <w:color w:val="auto"/>
                <w:sz w:val="21"/>
                <w:szCs w:val="21"/>
                <w:lang w:val="en-US" w:eastAsia="zh-CN"/>
              </w:rPr>
              <w:t>W4</w:t>
            </w: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pH值（无量纲）</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(水温：30.8℃)</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7.3</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(水温：28.4℃)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悬浮物（mg/L）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浊度（NTU）</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3</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eastAsia" w:cs="Times New Roman"/>
                <w:b w:val="0"/>
                <w:bCs w:val="0"/>
                <w:color w:val="000000" w:themeColor="text1"/>
                <w:kern w:val="2"/>
                <w:sz w:val="21"/>
                <w:szCs w:val="21"/>
                <w:vertAlign w:val="baseline"/>
                <w:lang w:val="en-US" w:eastAsia="zh-CN" w:bidi="ar-SA"/>
                <w14:textFill>
                  <w14:solidFill>
                    <w14:schemeClr w14:val="tx1"/>
                  </w14:solidFill>
                </w14:textFill>
              </w:rPr>
              <w:t>4</w:t>
            </w: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化学需氧量（mg/L）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五日生化需氧量（mg/L）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4.9</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氨氮（mg/L）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0.287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0.271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0.252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0.258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0.239</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0.228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铁（mg/L）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溶解性总固体（mg/L）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336</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355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361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347</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氯离子（mg/L）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65.3</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44.6</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≦250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溶解氧（mg/L）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auto"/>
                <w:sz w:val="21"/>
                <w:szCs w:val="21"/>
                <w:lang w:val="en-US" w:eastAsia="zh-CN"/>
              </w:rPr>
              <w:t>含煤废水处理回用水池出口</w:t>
            </w:r>
            <w:r>
              <w:rPr>
                <w:rFonts w:hint="default" w:ascii="Times New Roman" w:hAnsi="Times New Roman" w:eastAsia="宋体" w:cs="Times New Roman"/>
                <w:b w:val="0"/>
                <w:bCs w:val="0"/>
                <w:color w:val="auto"/>
                <w:sz w:val="21"/>
                <w:szCs w:val="21"/>
                <w:lang w:val="en-US" w:eastAsia="zh-CN"/>
              </w:rPr>
              <w:t>W5</w:t>
            </w: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pH值（无量纲）</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(水温：32.0℃)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(水温：29.2℃)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7.4</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(水温：30.8℃)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7.6</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(水温：31.8℃)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7.5</w:t>
            </w:r>
          </w:p>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(水温：32.6℃)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6.5</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悬浮物（mg/L）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13</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浊度（NTU）</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7.7</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7.4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default" w:ascii="Times New Roman" w:hAnsi="Times New Roman" w:eastAsia="宋体" w:cs="Times New Roman"/>
                <w:b w:val="0"/>
                <w:bCs w:val="0"/>
                <w:color w:val="auto"/>
                <w:kern w:val="2"/>
                <w:sz w:val="21"/>
                <w:szCs w:val="21"/>
                <w:vertAlign w:val="baseline"/>
                <w:lang w:val="en-US" w:eastAsia="zh-CN" w:bidi="ar-SA"/>
              </w:rPr>
              <w:t>14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auto"/>
                <w:kern w:val="2"/>
                <w:sz w:val="21"/>
                <w:szCs w:val="21"/>
                <w:vertAlign w:val="baseline"/>
                <w:lang w:val="en-US" w:eastAsia="zh-CN" w:bidi="ar-SA"/>
              </w:rPr>
            </w:pPr>
            <w:r>
              <w:rPr>
                <w:rFonts w:hint="eastAsia" w:ascii="Times New Roman" w:hAnsi="Times New Roman" w:eastAsia="宋体" w:cs="Times New Roman"/>
                <w:b w:val="0"/>
                <w:bCs w:val="0"/>
                <w:color w:val="auto"/>
                <w:kern w:val="2"/>
                <w:sz w:val="21"/>
                <w:szCs w:val="21"/>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化学需氧量（mg/L）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15</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17</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五日生化需氧量（mg/L）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4.7</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5.1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氨氮（mg/L）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0.333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0.290</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0.312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0.320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0.263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0.276</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0.298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铁（mg/L）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ND</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≦0.3</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溶解性总固体（mg/L）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376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382</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391</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335</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374</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≦1000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氯离子（mg/L）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129</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129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69.4</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69.6</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69.8</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69.8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≦250</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287"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p>
        </w:tc>
        <w:tc>
          <w:tcPr>
            <w:tcW w:w="47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溶解氧（mg/L）</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3.9</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4.1</w:t>
            </w: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4.3</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4.0</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4.2</w:t>
            </w:r>
          </w:p>
        </w:tc>
        <w:tc>
          <w:tcPr>
            <w:tcW w:w="42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3.8</w:t>
            </w:r>
          </w:p>
        </w:tc>
        <w:tc>
          <w:tcPr>
            <w:tcW w:w="42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c>
          <w:tcPr>
            <w:tcW w:w="42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vertAlign w:val="baseline"/>
                <w:lang w:val="en-US" w:eastAsia="zh-CN" w:bidi="ar-SA"/>
                <w14:textFill>
                  <w14:solidFill>
                    <w14:schemeClr w14:val="tx1"/>
                  </w14:solidFill>
                </w14:textFill>
              </w:rPr>
              <w:t>/</w:t>
            </w:r>
          </w:p>
        </w:tc>
      </w:tr>
    </w:tbl>
    <w:p>
      <w:pPr>
        <w:pStyle w:val="8"/>
        <w:keepNext w:val="0"/>
        <w:keepLines w:val="0"/>
        <w:pageBreakBefore w:val="0"/>
        <w:widowControl w:val="0"/>
        <w:kinsoku/>
        <w:wordWrap/>
        <w:overflowPunct/>
        <w:topLinePunct w:val="0"/>
        <w:autoSpaceDE/>
        <w:autoSpaceDN/>
        <w:bidi w:val="0"/>
        <w:adjustRightInd/>
        <w:snapToGrid/>
        <w:spacing w:after="0"/>
        <w:textAlignment w:val="auto"/>
        <w:rPr>
          <w:rFonts w:hint="default" w:ascii="Times New Roman" w:hAnsi="Times New Roman" w:eastAsia="宋体" w:cs="Times New Roman"/>
          <w:sz w:val="24"/>
          <w:szCs w:val="24"/>
          <w:highlight w:val="red"/>
          <w:lang w:val="en-US" w:eastAsia="zh-CN"/>
        </w:rPr>
      </w:pPr>
      <w:r>
        <w:rPr>
          <w:rFonts w:hint="eastAsia" w:cs="Times New Roman"/>
          <w:sz w:val="24"/>
          <w:szCs w:val="24"/>
          <w:highlight w:val="none"/>
          <w:lang w:val="en-US" w:eastAsia="zh-CN"/>
        </w:rPr>
        <w:t>根据上表可知：生活污水水质满足</w:t>
      </w:r>
      <w:r>
        <w:rPr>
          <w:rFonts w:hint="eastAsia" w:ascii="宋体" w:hAnsi="宋体" w:eastAsia="宋体" w:cs="宋体"/>
          <w:color w:val="000000"/>
          <w:kern w:val="0"/>
          <w:sz w:val="24"/>
          <w:szCs w:val="24"/>
          <w:lang w:val="en-US" w:eastAsia="zh-CN" w:bidi="ar"/>
        </w:rPr>
        <w:t>《城市污水再生利用城市杂用水水质》</w:t>
      </w:r>
      <w:r>
        <w:rPr>
          <w:rFonts w:hint="default" w:ascii="Times New Roman" w:hAnsi="Times New Roman" w:eastAsia="宋体" w:cs="Times New Roman"/>
          <w:color w:val="000000"/>
          <w:kern w:val="0"/>
          <w:sz w:val="24"/>
          <w:szCs w:val="24"/>
          <w:lang w:val="en-US" w:eastAsia="zh-CN" w:bidi="ar"/>
        </w:rPr>
        <w:t>(GB/T18920</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2002)</w:t>
      </w:r>
      <w:r>
        <w:rPr>
          <w:rFonts w:hint="eastAsia" w:ascii="Times New Roman" w:hAnsi="Times New Roman" w:eastAsia="宋体" w:cs="Times New Roman"/>
          <w:color w:val="000000"/>
          <w:kern w:val="0"/>
          <w:sz w:val="24"/>
          <w:szCs w:val="24"/>
          <w:lang w:val="en-US" w:eastAsia="zh-CN" w:bidi="ar"/>
        </w:rPr>
        <w:t>绿化</w:t>
      </w:r>
      <w:r>
        <w:rPr>
          <w:rFonts w:hint="eastAsia" w:ascii="宋体" w:hAnsi="宋体" w:eastAsia="宋体" w:cs="宋体"/>
          <w:color w:val="000000"/>
          <w:kern w:val="0"/>
          <w:sz w:val="24"/>
          <w:szCs w:val="24"/>
          <w:lang w:val="en-US" w:eastAsia="zh-CN" w:bidi="ar"/>
        </w:rPr>
        <w:t>回用标准。生产污水处理后满足《城市污水再生利用工业用水水质》</w:t>
      </w:r>
      <w:r>
        <w:rPr>
          <w:rFonts w:hint="default" w:ascii="Times New Roman" w:hAnsi="Times New Roman" w:eastAsia="宋体" w:cs="Times New Roman"/>
          <w:color w:val="000000"/>
          <w:kern w:val="0"/>
          <w:sz w:val="24"/>
          <w:szCs w:val="24"/>
          <w:lang w:val="en-US" w:eastAsia="zh-CN" w:bidi="ar"/>
        </w:rPr>
        <w:t>(GB/T19923</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2005)</w:t>
      </w:r>
      <w:r>
        <w:rPr>
          <w:rFonts w:hint="eastAsia" w:ascii="Times New Roman" w:hAnsi="Times New Roman" w:eastAsia="宋体" w:cs="Times New Roman"/>
          <w:color w:val="000000"/>
          <w:kern w:val="0"/>
          <w:sz w:val="24"/>
          <w:szCs w:val="24"/>
          <w:lang w:val="en-US" w:eastAsia="zh-CN" w:bidi="ar"/>
        </w:rPr>
        <w:t>中水质要求。</w:t>
      </w:r>
    </w:p>
    <w:p>
      <w:pPr>
        <w:pStyle w:val="8"/>
        <w:rPr>
          <w:rFonts w:hint="eastAsia"/>
          <w:highlight w:val="red"/>
          <w:lang w:val="en-US" w:eastAsia="zh-CN"/>
        </w:rPr>
        <w:sectPr>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textAlignment w:val="auto"/>
        <w:outlineLvl w:val="2"/>
        <w:rPr>
          <w:rFonts w:hint="default" w:ascii="Times New Roman" w:hAnsi="Times New Roman" w:eastAsia="宋体" w:cs="Times New Roman"/>
          <w:color w:val="auto"/>
          <w:highlight w:val="none"/>
          <w:lang w:val="en-US" w:eastAsia="zh-CN"/>
        </w:rPr>
      </w:pPr>
      <w:bookmarkStart w:id="117" w:name="_Toc7737"/>
      <w:bookmarkStart w:id="118" w:name="_Toc32703"/>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3噪声</w:t>
      </w:r>
      <w:r>
        <w:rPr>
          <w:rFonts w:hint="default" w:ascii="Times New Roman" w:hAnsi="Times New Roman" w:eastAsia="宋体" w:cs="Times New Roman"/>
          <w:color w:val="auto"/>
          <w:highlight w:val="none"/>
          <w:lang w:val="en-US" w:eastAsia="zh-CN"/>
        </w:rPr>
        <w:t>监测结果</w:t>
      </w:r>
    </w:p>
    <w:p>
      <w:pPr>
        <w:pStyle w:val="8"/>
        <w:jc w:val="center"/>
        <w:rPr>
          <w:rFonts w:hint="default"/>
          <w:lang w:val="en-US" w:eastAsia="zh-CN"/>
        </w:rPr>
      </w:pPr>
      <w:r>
        <w:rPr>
          <w:rFonts w:hint="eastAsia" w:ascii="黑体" w:hAnsi="黑体" w:eastAsia="黑体" w:cs="黑体"/>
          <w:sz w:val="21"/>
          <w:szCs w:val="21"/>
          <w:highlight w:val="none"/>
          <w:lang w:val="en-US" w:eastAsia="zh-CN"/>
        </w:rPr>
        <w:t>表9-4</w:t>
      </w:r>
      <w:r>
        <w:rPr>
          <w:rFonts w:hint="eastAsia" w:ascii="黑体" w:hAnsi="黑体" w:eastAsia="黑体" w:cs="黑体"/>
          <w:color w:val="auto"/>
          <w:sz w:val="21"/>
          <w:szCs w:val="21"/>
          <w:highlight w:val="none"/>
          <w:lang w:val="en-US" w:eastAsia="zh-CN"/>
        </w:rPr>
        <w:t>噪声</w:t>
      </w:r>
      <w:r>
        <w:rPr>
          <w:rFonts w:hint="eastAsia" w:ascii="黑体" w:hAnsi="黑体" w:eastAsia="黑体" w:cs="黑体"/>
          <w:color w:val="auto"/>
          <w:sz w:val="21"/>
          <w:szCs w:val="21"/>
          <w:highlight w:val="none"/>
          <w:lang w:eastAsia="zh-CN"/>
        </w:rPr>
        <w:t>监测</w:t>
      </w:r>
      <w:r>
        <w:rPr>
          <w:rFonts w:hint="eastAsia" w:ascii="黑体" w:hAnsi="黑体" w:eastAsia="黑体" w:cs="黑体"/>
          <w:color w:val="auto"/>
          <w:sz w:val="21"/>
          <w:szCs w:val="21"/>
          <w:highlight w:val="none"/>
          <w:lang w:val="en-US" w:eastAsia="zh-CN"/>
        </w:rPr>
        <w:t>结果一览表</w:t>
      </w:r>
    </w:p>
    <w:tbl>
      <w:tblPr>
        <w:tblStyle w:val="23"/>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58"/>
        <w:gridCol w:w="2049"/>
        <w:gridCol w:w="1390"/>
        <w:gridCol w:w="1089"/>
        <w:gridCol w:w="1391"/>
        <w:gridCol w:w="11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宋体"/>
                <w:bCs/>
                <w:color w:val="auto"/>
                <w:szCs w:val="21"/>
                <w:lang w:val="en-US" w:eastAsia="zh-CN"/>
              </w:rPr>
            </w:pPr>
            <w:r>
              <w:rPr>
                <w:rFonts w:hint="eastAsia" w:ascii="Times New Roman" w:hAnsi="Times New Roman"/>
                <w:bCs/>
                <w:color w:val="auto"/>
                <w:szCs w:val="21"/>
                <w:lang w:val="en-US" w:eastAsia="zh-CN"/>
              </w:rPr>
              <w:t>日期</w:t>
            </w:r>
          </w:p>
        </w:tc>
        <w:tc>
          <w:tcPr>
            <w:tcW w:w="1203"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r>
              <w:rPr>
                <w:rFonts w:hint="eastAsia" w:ascii="Times New Roman" w:hAnsi="Times New Roman"/>
                <w:bCs/>
                <w:color w:val="auto"/>
                <w:szCs w:val="21"/>
              </w:rPr>
              <w:t>检测</w:t>
            </w:r>
            <w:r>
              <w:rPr>
                <w:rFonts w:ascii="Times New Roman" w:hAnsi="Times New Roman" w:eastAsiaTheme="minorEastAsia"/>
                <w:color w:val="auto"/>
                <w:szCs w:val="21"/>
              </w:rPr>
              <w:t>点位</w:t>
            </w:r>
          </w:p>
        </w:tc>
        <w:tc>
          <w:tcPr>
            <w:tcW w:w="2940" w:type="pct"/>
            <w:gridSpan w:val="4"/>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szCs w:val="21"/>
              </w:rPr>
            </w:pPr>
            <w:r>
              <w:rPr>
                <w:rFonts w:ascii="Times New Roman" w:hAnsi="Times New Roman" w:eastAsiaTheme="minorEastAsia"/>
                <w:color w:val="auto"/>
                <w:szCs w:val="21"/>
              </w:rPr>
              <w:t>工业企业厂界环境噪声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p>
        </w:tc>
        <w:tc>
          <w:tcPr>
            <w:tcW w:w="1203"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r>
              <w:rPr>
                <w:rFonts w:ascii="Times New Roman" w:hAnsi="Times New Roman" w:eastAsiaTheme="minorEastAsia"/>
                <w:color w:val="auto"/>
                <w:szCs w:val="21"/>
              </w:rPr>
              <w:t>昼间</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r>
              <w:rPr>
                <w:rFonts w:ascii="Times New Roman" w:hAnsi="Times New Roman" w:eastAsiaTheme="minorEastAsia"/>
                <w:color w:val="auto"/>
                <w:kern w:val="0"/>
                <w:szCs w:val="21"/>
                <w:lang w:bidi="ar"/>
              </w:rPr>
              <w:t>dB（A）</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szCs w:val="21"/>
              </w:rPr>
            </w:pPr>
            <w:r>
              <w:rPr>
                <w:rFonts w:ascii="Times New Roman" w:hAnsi="Times New Roman" w:eastAsiaTheme="minorEastAsia"/>
                <w:color w:val="auto"/>
                <w:szCs w:val="21"/>
              </w:rPr>
              <w:t>夜间</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ascii="Times New Roman" w:hAnsi="Times New Roman" w:eastAsiaTheme="minorEastAsia"/>
                <w:color w:val="auto"/>
                <w:kern w:val="0"/>
                <w:szCs w:val="21"/>
                <w:lang w:bidi="ar"/>
              </w:rPr>
            </w:pPr>
            <w:r>
              <w:rPr>
                <w:rFonts w:ascii="Times New Roman" w:hAnsi="Times New Roman" w:eastAsiaTheme="minorEastAsia"/>
                <w:color w:val="auto"/>
                <w:kern w:val="0"/>
                <w:szCs w:val="21"/>
                <w:lang w:bidi="ar"/>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2022-8-18</w:t>
            </w: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厂界西外1米</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17:22-17:23</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61</w:t>
            </w:r>
          </w:p>
        </w:tc>
        <w:tc>
          <w:tcPr>
            <w:tcW w:w="81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07</w:t>
            </w: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08</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厂界北外1米</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17:35-17:36</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61</w:t>
            </w:r>
          </w:p>
        </w:tc>
        <w:tc>
          <w:tcPr>
            <w:tcW w:w="81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21</w:t>
            </w: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22</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厂界东外1米</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17:48-17:49</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58</w:t>
            </w:r>
          </w:p>
        </w:tc>
        <w:tc>
          <w:tcPr>
            <w:tcW w:w="81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37</w:t>
            </w: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38</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厂界南外1米</w:t>
            </w:r>
          </w:p>
        </w:tc>
        <w:tc>
          <w:tcPr>
            <w:tcW w:w="81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18:01-18:02</w:t>
            </w:r>
          </w:p>
        </w:tc>
        <w:tc>
          <w:tcPr>
            <w:tcW w:w="63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Cs w:val="21"/>
                <w:lang w:val="en-US" w:eastAsia="zh-CN"/>
              </w:rPr>
            </w:pPr>
            <w:r>
              <w:rPr>
                <w:rFonts w:hint="eastAsia" w:ascii="Times New Roman" w:hAnsi="Times New Roman" w:cs="Times New Roman"/>
                <w:color w:val="auto"/>
                <w:szCs w:val="21"/>
                <w:lang w:val="en-US" w:eastAsia="zh-CN"/>
              </w:rPr>
              <w:t>57</w:t>
            </w:r>
          </w:p>
        </w:tc>
        <w:tc>
          <w:tcPr>
            <w:tcW w:w="81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default" w:ascii="Times New Roman" w:hAnsi="Times New Roman" w:cs="Times New Roman"/>
                <w:color w:val="auto"/>
                <w:vertAlign w:val="baseline"/>
                <w:lang w:val="en-US" w:eastAsia="zh-CN"/>
              </w:rPr>
              <w:t>22:</w:t>
            </w:r>
            <w:r>
              <w:rPr>
                <w:rFonts w:hint="eastAsia" w:ascii="Times New Roman" w:hAnsi="Times New Roman" w:cs="Times New Roman"/>
                <w:color w:val="auto"/>
                <w:vertAlign w:val="baseline"/>
                <w:lang w:val="en-US" w:eastAsia="zh-CN"/>
              </w:rPr>
              <w:t>59</w:t>
            </w:r>
            <w:r>
              <w:rPr>
                <w:rFonts w:hint="default" w:ascii="Times New Roman" w:hAnsi="Times New Roman" w:cs="Times New Roman"/>
                <w:color w:val="auto"/>
                <w:vertAlign w:val="baseline"/>
                <w:lang w:val="en-US" w:eastAsia="zh-CN"/>
              </w:rPr>
              <w:t>-2</w:t>
            </w:r>
            <w:r>
              <w:rPr>
                <w:rFonts w:hint="eastAsia" w:ascii="Times New Roman" w:hAnsi="Times New Roman" w:cs="Times New Roman"/>
                <w:color w:val="auto"/>
                <w:vertAlign w:val="baseline"/>
                <w:lang w:val="en-US" w:eastAsia="zh-CN"/>
              </w:rPr>
              <w:t>3</w:t>
            </w:r>
            <w:r>
              <w:rPr>
                <w:rFonts w:hint="default" w:ascii="Times New Roman" w:hAnsi="Times New Roman" w:cs="Times New Roman"/>
                <w:color w:val="auto"/>
                <w:vertAlign w:val="baseline"/>
                <w:lang w:val="en-US" w:eastAsia="zh-CN"/>
              </w:rPr>
              <w:t>:</w:t>
            </w:r>
            <w:r>
              <w:rPr>
                <w:rFonts w:hint="eastAsia" w:ascii="Times New Roman" w:hAnsi="Times New Roman" w:cs="Times New Roman"/>
                <w:color w:val="auto"/>
                <w:vertAlign w:val="baseline"/>
                <w:lang w:val="en-US" w:eastAsia="zh-CN"/>
              </w:rPr>
              <w:t>00</w:t>
            </w:r>
          </w:p>
        </w:tc>
        <w:tc>
          <w:tcPr>
            <w:tcW w:w="669"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restar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eastAsiaTheme="minorEastAsia"/>
                <w:color w:val="auto"/>
                <w:szCs w:val="21"/>
                <w:lang w:val="en-US" w:eastAsia="zh-CN"/>
              </w:rPr>
            </w:pPr>
            <w:r>
              <w:rPr>
                <w:rFonts w:hint="eastAsia" w:ascii="Times New Roman" w:hAnsi="Times New Roman" w:eastAsiaTheme="minorEastAsia"/>
                <w:color w:val="auto"/>
                <w:szCs w:val="21"/>
                <w:lang w:val="en-US" w:eastAsia="zh-CN"/>
              </w:rPr>
              <w:t>2022-8-19</w:t>
            </w: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厂界西外1米</w:t>
            </w: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16:31-16:32</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57</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22:03-22:04</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厂界北外1米</w:t>
            </w: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16:42-16:43</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58</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22:18-22:19</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厂界东外1米</w:t>
            </w: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16:54-16:55</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59</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22:37-22:38</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856" w:type="pct"/>
            <w:vMerge w:val="continue"/>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eastAsiaTheme="minorEastAsia"/>
                <w:color w:val="auto"/>
                <w:szCs w:val="21"/>
                <w:lang w:val="en-US" w:eastAsia="zh-CN"/>
              </w:rPr>
            </w:pPr>
          </w:p>
        </w:tc>
        <w:tc>
          <w:tcPr>
            <w:tcW w:w="1203"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厂界南外1米</w:t>
            </w:r>
          </w:p>
        </w:tc>
        <w:tc>
          <w:tcPr>
            <w:tcW w:w="815"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17:06-17:07</w:t>
            </w:r>
          </w:p>
        </w:tc>
        <w:tc>
          <w:tcPr>
            <w:tcW w:w="63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58</w:t>
            </w:r>
          </w:p>
        </w:tc>
        <w:tc>
          <w:tcPr>
            <w:tcW w:w="816"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22:53-22:54</w:t>
            </w:r>
          </w:p>
        </w:tc>
        <w:tc>
          <w:tcPr>
            <w:tcW w:w="669" w:type="pct"/>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ascii="Times New Roman" w:hAnsi="Times New Roman" w:cs="Times New Roman" w:eastAsiaTheme="minorEastAsia"/>
                <w:color w:val="auto"/>
                <w:szCs w:val="21"/>
                <w:lang w:val="en-US" w:eastAsia="zh-CN"/>
              </w:rPr>
            </w:pPr>
            <w:r>
              <w:rPr>
                <w:rFonts w:hint="eastAsia" w:ascii="Times New Roman" w:hAnsi="Times New Roman" w:cs="Times New Roman" w:eastAsiaTheme="minorEastAsia"/>
                <w:color w:val="auto"/>
                <w:szCs w:val="21"/>
                <w:lang w:val="en-US" w:eastAsia="zh-CN"/>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9"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标准限值</w:t>
            </w:r>
            <w:r>
              <w:rPr>
                <w:rFonts w:ascii="Times New Roman" w:hAnsi="Times New Roman" w:eastAsiaTheme="minorEastAsia"/>
                <w:color w:val="auto"/>
                <w:kern w:val="0"/>
                <w:szCs w:val="21"/>
                <w:lang w:bidi="ar"/>
              </w:rPr>
              <w:t>dB（A）</w:t>
            </w:r>
          </w:p>
        </w:tc>
        <w:tc>
          <w:tcPr>
            <w:tcW w:w="1454"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65</w:t>
            </w:r>
          </w:p>
        </w:tc>
        <w:tc>
          <w:tcPr>
            <w:tcW w:w="1485"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ascii="Times New Roman" w:hAnsi="Times New Roman" w:cs="Times New Roman" w:eastAsiaTheme="minorEastAsia"/>
                <w:color w:val="auto"/>
                <w:szCs w:val="21"/>
                <w:lang w:val="en-US" w:eastAsia="zh-CN"/>
              </w:rPr>
            </w:pPr>
            <w:r>
              <w:rPr>
                <w:rFonts w:hint="eastAsia" w:cs="Times New Roman" w:eastAsiaTheme="minorEastAsia"/>
                <w:color w:val="auto"/>
                <w:szCs w:val="21"/>
                <w:lang w:val="en-US" w:eastAsia="zh-CN"/>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059"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cs="Times New Roman" w:eastAsiaTheme="minorEastAsia"/>
                <w:color w:val="auto"/>
                <w:szCs w:val="21"/>
                <w:lang w:val="en-US" w:eastAsia="zh-CN"/>
              </w:rPr>
            </w:pPr>
            <w:r>
              <w:rPr>
                <w:rFonts w:hint="eastAsia" w:cs="Times New Roman" w:eastAsiaTheme="minorEastAsia"/>
                <w:color w:val="auto"/>
                <w:szCs w:val="21"/>
                <w:lang w:val="en-US" w:eastAsia="zh-CN"/>
              </w:rPr>
              <w:t>是否合格</w:t>
            </w:r>
          </w:p>
        </w:tc>
        <w:tc>
          <w:tcPr>
            <w:tcW w:w="1454"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default" w:cs="Times New Roman" w:eastAsiaTheme="minorEastAsia"/>
                <w:color w:val="auto"/>
                <w:szCs w:val="21"/>
                <w:lang w:val="en-US" w:eastAsia="zh-CN"/>
              </w:rPr>
            </w:pPr>
            <w:r>
              <w:rPr>
                <w:rFonts w:hint="eastAsia" w:cs="Times New Roman" w:eastAsiaTheme="minorEastAsia"/>
                <w:color w:val="auto"/>
                <w:szCs w:val="21"/>
                <w:lang w:val="en-US" w:eastAsia="zh-CN"/>
              </w:rPr>
              <w:t>合格</w:t>
            </w:r>
          </w:p>
        </w:tc>
        <w:tc>
          <w:tcPr>
            <w:tcW w:w="1485" w:type="pct"/>
            <w:gridSpan w:val="2"/>
            <w:vAlign w:val="center"/>
          </w:tcPr>
          <w:p>
            <w:pPr>
              <w:keepNext w:val="0"/>
              <w:keepLines w:val="0"/>
              <w:pageBreakBefore w:val="0"/>
              <w:kinsoku/>
              <w:wordWrap/>
              <w:overflowPunct/>
              <w:topLinePunct w:val="0"/>
              <w:autoSpaceDE/>
              <w:autoSpaceDN/>
              <w:bidi w:val="0"/>
              <w:adjustRightInd w:val="0"/>
              <w:snapToGrid w:val="0"/>
              <w:spacing w:line="240" w:lineRule="auto"/>
              <w:ind w:firstLine="0" w:firstLineChars="0"/>
              <w:jc w:val="center"/>
              <w:rPr>
                <w:rFonts w:hint="eastAsia" w:cs="Times New Roman" w:eastAsiaTheme="minorEastAsia"/>
                <w:color w:val="auto"/>
                <w:szCs w:val="21"/>
                <w:lang w:val="en-US" w:eastAsia="zh-CN"/>
              </w:rPr>
            </w:pPr>
            <w:r>
              <w:rPr>
                <w:rFonts w:hint="eastAsia" w:cs="Times New Roman" w:eastAsiaTheme="minorEastAsia"/>
                <w:color w:val="auto"/>
                <w:szCs w:val="21"/>
                <w:lang w:val="en-US" w:eastAsia="zh-CN"/>
              </w:rPr>
              <w:t>合格</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default" w:ascii="Times New Roman" w:hAnsi="Times New Roman" w:cs="Times New Roman" w:eastAsiaTheme="minorEastAsia"/>
          <w:color w:val="auto"/>
          <w:highlight w:val="none"/>
          <w:lang w:val="en-US" w:eastAsia="zh-CN"/>
        </w:rPr>
      </w:pPr>
      <w:r>
        <w:rPr>
          <w:rFonts w:hint="eastAsia" w:cs="Times New Roman"/>
          <w:color w:val="auto"/>
          <w:highlight w:val="none"/>
          <w:lang w:val="en-US" w:eastAsia="zh-CN"/>
        </w:rPr>
        <w:t>由上表可知：验收监测期间，本项目</w:t>
      </w:r>
      <w:r>
        <w:rPr>
          <w:rFonts w:ascii="Times New Roman" w:hAnsi="Times New Roman" w:eastAsiaTheme="minorEastAsia"/>
          <w:color w:val="auto"/>
          <w:szCs w:val="21"/>
        </w:rPr>
        <w:t>工业企业厂界环境噪声</w:t>
      </w:r>
      <w:r>
        <w:rPr>
          <w:rFonts w:hint="eastAsia" w:eastAsiaTheme="minorEastAsia"/>
          <w:color w:val="auto"/>
          <w:szCs w:val="21"/>
          <w:lang w:val="en-US" w:eastAsia="zh-CN"/>
        </w:rPr>
        <w:t>昼间最大值为61</w:t>
      </w:r>
      <w:r>
        <w:rPr>
          <w:rFonts w:ascii="Times New Roman" w:hAnsi="Times New Roman" w:eastAsiaTheme="minorEastAsia"/>
          <w:color w:val="auto"/>
          <w:kern w:val="0"/>
          <w:szCs w:val="21"/>
          <w:lang w:bidi="ar"/>
        </w:rPr>
        <w:t>dB（A）</w:t>
      </w:r>
      <w:r>
        <w:rPr>
          <w:rFonts w:hint="eastAsia" w:eastAsiaTheme="minorEastAsia"/>
          <w:color w:val="auto"/>
          <w:kern w:val="0"/>
          <w:szCs w:val="21"/>
          <w:lang w:eastAsia="zh-CN" w:bidi="ar"/>
        </w:rPr>
        <w:t>，</w:t>
      </w:r>
      <w:r>
        <w:rPr>
          <w:rFonts w:hint="eastAsia" w:eastAsiaTheme="minorEastAsia"/>
          <w:color w:val="auto"/>
          <w:kern w:val="0"/>
          <w:szCs w:val="21"/>
          <w:lang w:val="en-US" w:eastAsia="zh-CN" w:bidi="ar"/>
        </w:rPr>
        <w:t>夜间最大值为50</w:t>
      </w:r>
      <w:r>
        <w:rPr>
          <w:rFonts w:ascii="Times New Roman" w:hAnsi="Times New Roman" w:eastAsiaTheme="minorEastAsia"/>
          <w:color w:val="auto"/>
          <w:kern w:val="0"/>
          <w:szCs w:val="21"/>
          <w:lang w:bidi="ar"/>
        </w:rPr>
        <w:t>dB（A）</w:t>
      </w:r>
      <w:r>
        <w:rPr>
          <w:rFonts w:hint="eastAsia" w:eastAsiaTheme="minorEastAsia"/>
          <w:color w:val="auto"/>
          <w:kern w:val="0"/>
          <w:szCs w:val="21"/>
          <w:lang w:eastAsia="zh-CN" w:bidi="ar"/>
        </w:rPr>
        <w:t>，</w:t>
      </w:r>
      <w:r>
        <w:rPr>
          <w:rFonts w:hint="eastAsia" w:eastAsiaTheme="minorEastAsia"/>
          <w:color w:val="auto"/>
          <w:kern w:val="0"/>
          <w:szCs w:val="21"/>
          <w:lang w:val="en-US" w:eastAsia="zh-CN" w:bidi="ar"/>
        </w:rPr>
        <w:t>满足《工业企业厂界环境噪声排放标准》（GB12348-2008）中3类标准。</w:t>
      </w:r>
    </w:p>
    <w:p>
      <w:pPr>
        <w:keepNext w:val="0"/>
        <w:keepLines w:val="0"/>
        <w:pageBreakBefore w:val="0"/>
        <w:widowControl w:val="0"/>
        <w:kinsoku/>
        <w:wordWrap/>
        <w:overflowPunct/>
        <w:topLinePunct w:val="0"/>
        <w:autoSpaceDE/>
        <w:autoSpaceDN/>
        <w:bidi w:val="0"/>
        <w:adjustRightInd/>
        <w:snapToGrid/>
        <w:textAlignment w:val="auto"/>
        <w:outlineLvl w:val="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4地下水</w:t>
      </w:r>
      <w:r>
        <w:rPr>
          <w:rFonts w:hint="default" w:ascii="Times New Roman" w:hAnsi="Times New Roman" w:eastAsia="宋体" w:cs="Times New Roman"/>
          <w:color w:val="auto"/>
          <w:highlight w:val="none"/>
          <w:lang w:val="en-US" w:eastAsia="zh-CN"/>
        </w:rPr>
        <w:t>监测结果</w:t>
      </w:r>
    </w:p>
    <w:p>
      <w:pPr>
        <w:pStyle w:val="8"/>
        <w:jc w:val="center"/>
        <w:rPr>
          <w:rFonts w:hint="default"/>
          <w:lang w:val="en-US" w:eastAsia="zh-CN"/>
        </w:rPr>
      </w:pPr>
      <w:r>
        <w:rPr>
          <w:rFonts w:hint="eastAsia" w:ascii="黑体" w:hAnsi="黑体" w:eastAsia="黑体" w:cs="黑体"/>
          <w:sz w:val="21"/>
          <w:szCs w:val="21"/>
          <w:highlight w:val="none"/>
          <w:lang w:val="en-US" w:eastAsia="zh-CN"/>
        </w:rPr>
        <w:t>表9-5</w:t>
      </w:r>
      <w:r>
        <w:rPr>
          <w:rFonts w:hint="eastAsia" w:ascii="黑体" w:hAnsi="黑体" w:eastAsia="黑体" w:cs="黑体"/>
          <w:color w:val="auto"/>
          <w:sz w:val="21"/>
          <w:szCs w:val="21"/>
          <w:highlight w:val="none"/>
          <w:lang w:val="en-US" w:eastAsia="zh-CN"/>
        </w:rPr>
        <w:t>地下水</w:t>
      </w:r>
      <w:r>
        <w:rPr>
          <w:rFonts w:hint="eastAsia" w:ascii="黑体" w:hAnsi="黑体" w:eastAsia="黑体" w:cs="黑体"/>
          <w:color w:val="auto"/>
          <w:sz w:val="21"/>
          <w:szCs w:val="21"/>
          <w:highlight w:val="none"/>
          <w:lang w:eastAsia="zh-CN"/>
        </w:rPr>
        <w:t>监测</w:t>
      </w:r>
      <w:r>
        <w:rPr>
          <w:rFonts w:hint="eastAsia" w:ascii="黑体" w:hAnsi="黑体" w:eastAsia="黑体" w:cs="黑体"/>
          <w:color w:val="auto"/>
          <w:sz w:val="21"/>
          <w:szCs w:val="21"/>
          <w:highlight w:val="none"/>
          <w:lang w:val="en-US" w:eastAsia="zh-CN"/>
        </w:rPr>
        <w:t>结果一览表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2"/>
        <w:gridCol w:w="1292"/>
        <w:gridCol w:w="1377"/>
        <w:gridCol w:w="1380"/>
        <w:gridCol w:w="1418"/>
        <w:gridCol w:w="1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7" w:hRule="atLeast"/>
          <w:tblHeader/>
        </w:trPr>
        <w:tc>
          <w:tcPr>
            <w:tcW w:w="981" w:type="pct"/>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both"/>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t>检测项目</w:t>
            </w: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mc:AlternateContent>
                <mc:Choice Requires="wpsCustomData">
                  <wpsCustomData:diagonalParaType/>
                </mc:Choice>
              </mc:AlternateContent>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t>检测项目</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t>检测点位及结果</w:t>
            </w:r>
          </w:p>
        </w:tc>
        <w:tc>
          <w:tcPr>
            <w:tcW w:w="75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D1</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D2</w:t>
            </w:r>
          </w:p>
        </w:tc>
        <w:tc>
          <w:tcPr>
            <w:tcW w:w="810"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D3</w:t>
            </w:r>
          </w:p>
        </w:tc>
        <w:tc>
          <w:tcPr>
            <w:tcW w:w="83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标准限值</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（Ⅲ类）</w:t>
            </w:r>
          </w:p>
        </w:tc>
        <w:tc>
          <w:tcPr>
            <w:tcW w:w="808"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vertAlign w:val="baseline"/>
                <w:lang w:val="en-US" w:eastAsia="zh-CN"/>
                <w14:textFill>
                  <w14:solidFill>
                    <w14:schemeClr w14:val="tx1"/>
                  </w14:solidFill>
                </w14:textFill>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lang w:val="en-US" w:eastAsia="zh-CN"/>
                <w14:textFill>
                  <w14:solidFill>
                    <w14:schemeClr w14:val="tx1"/>
                  </w14:solidFill>
                </w14:textFill>
              </w:rPr>
              <w:t>嗅和味</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浑浊度（NTU）</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.2</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.8</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r>
              <w:rPr>
                <w:rFonts w:hint="default" w:ascii="Times New Roman" w:hAnsi="Times New Roman" w:eastAsia="宋体" w:cs="Times New Roman"/>
                <w:color w:val="auto"/>
                <w:sz w:val="21"/>
                <w:szCs w:val="21"/>
                <w:lang w:val="en-US" w:eastAsia="zh-CN"/>
              </w:rPr>
              <w:t>.4</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肉眼可见物</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无</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pH值（无量纲）</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7.2</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highlight w:val="none"/>
                <w:lang w:val="en-US" w:eastAsia="zh-CN"/>
              </w:rPr>
              <w:t>(水温：27.4℃)</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7.3</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highlight w:val="none"/>
                <w:lang w:val="en-US" w:eastAsia="zh-CN"/>
              </w:rPr>
              <w:t>(水温：28.2℃)</w:t>
            </w:r>
          </w:p>
        </w:tc>
        <w:tc>
          <w:tcPr>
            <w:tcW w:w="810"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7.3</w:t>
            </w:r>
          </w:p>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b w:val="0"/>
                <w:bCs w:val="0"/>
                <w:color w:val="auto"/>
                <w:sz w:val="21"/>
                <w:szCs w:val="21"/>
                <w:highlight w:val="none"/>
                <w:lang w:val="en-US" w:eastAsia="zh-CN"/>
              </w:rPr>
              <w:t>(水温：28.0℃)</w:t>
            </w:r>
          </w:p>
        </w:tc>
        <w:tc>
          <w:tcPr>
            <w:tcW w:w="832"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6.5≦pH≦8.5</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总硬度（</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74.0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204</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80.7</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溶解性总固体（</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376</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459</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185</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硫酸盐（</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63.6</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19.1</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11.0</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≦250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氯化物（</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46.5</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7.48</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1.56</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≦250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铁（</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1.38×10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1.69×10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1.83×10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≦0.3</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锰（</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1.40×10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4.53×10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p>
        </w:tc>
        <w:tc>
          <w:tcPr>
            <w:tcW w:w="810"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9.62×10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-2</w:t>
            </w:r>
          </w:p>
        </w:tc>
        <w:tc>
          <w:tcPr>
            <w:tcW w:w="83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≦0.10</w:t>
            </w:r>
          </w:p>
        </w:tc>
        <w:tc>
          <w:tcPr>
            <w:tcW w:w="808"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铜（</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t>4.83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7.80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-4</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4.00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-4</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锌（</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t>2.20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2.09</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t>8.10</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-4</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000000" w:themeColor="text1"/>
                <w:sz w:val="21"/>
                <w:szCs w:val="21"/>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铝（</w:t>
            </w:r>
            <w:r>
              <w:rPr>
                <w:rFonts w:hint="default" w:ascii="Times New Roman" w:hAnsi="Times New Roman" w:eastAsia="宋体" w:cs="Times New Roman"/>
                <w:color w:val="000000" w:themeColor="text1"/>
                <w:sz w:val="21"/>
                <w:szCs w:val="21"/>
                <w14:textFill>
                  <w14:solidFill>
                    <w14:schemeClr w14:val="tx1"/>
                  </w14:solidFill>
                </w14:textFill>
              </w:rPr>
              <w:t>mg/L</w:t>
            </w:r>
            <w:r>
              <w:rPr>
                <w:rFonts w:hint="default" w:ascii="Times New Roman" w:hAnsi="Times New Roman" w:eastAsia="宋体" w:cs="Times New Roman"/>
                <w:color w:val="000000" w:themeColor="text1"/>
                <w:sz w:val="21"/>
                <w:szCs w:val="21"/>
                <w:lang w:eastAsia="zh-CN"/>
                <w14:textFill>
                  <w14:solidFill>
                    <w14:schemeClr w14:val="tx1"/>
                  </w14:solidFill>
                </w14:textFill>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t>2.78</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t>8.63</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r>
              <w:rPr>
                <w:rFonts w:hint="default" w:ascii="Times New Roman" w:hAnsi="Times New Roman" w:eastAsia="宋体" w:cs="Times New Roman"/>
                <w:color w:val="000000" w:themeColor="text1"/>
                <w:sz w:val="21"/>
                <w:szCs w:val="21"/>
                <w:vertAlign w:val="superscript"/>
                <w:lang w:val="en-US" w:eastAsia="zh-CN"/>
                <w14:textFill>
                  <w14:solidFill>
                    <w14:schemeClr w14:val="tx1"/>
                  </w14:solidFill>
                </w14:textFill>
              </w:rPr>
              <w:t>-3</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≦0.20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挥发酚（</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pPr>
            <w:r>
              <w:rPr>
                <w:rFonts w:hint="default" w:ascii="Times New Roman" w:hAnsi="Times New Roman" w:eastAsia="宋体" w:cs="Times New Roman"/>
                <w:i w:val="0"/>
                <w:iCs w:val="0"/>
                <w:color w:val="000000" w:themeColor="text1"/>
                <w:kern w:val="0"/>
                <w:sz w:val="21"/>
                <w:szCs w:val="21"/>
                <w:u w:val="none"/>
                <w:lang w:val="en-US" w:eastAsia="zh-CN" w:bidi="ar"/>
                <w14:textFill>
                  <w14:solidFill>
                    <w14:schemeClr w14:val="tx1"/>
                  </w14:solidFill>
                </w14:textFill>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i w:val="0"/>
                <w:iCs w:val="0"/>
                <w:color w:val="auto"/>
                <w:kern w:val="2"/>
                <w:sz w:val="21"/>
                <w:szCs w:val="21"/>
                <w:u w:val="none"/>
                <w:lang w:val="en-US" w:eastAsia="zh-CN" w:bidi="ar-SA"/>
              </w:rPr>
              <w:t>0.002</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000000" w:themeColor="text1"/>
                <w:kern w:val="2"/>
                <w:sz w:val="21"/>
                <w:szCs w:val="21"/>
                <w:u w:val="none"/>
                <w:lang w:val="en-US" w:eastAsia="zh-CN" w:bidi="ar-SA"/>
                <w14:textFill>
                  <w14:solidFill>
                    <w14:schemeClr w14:val="tx1"/>
                  </w14:solidFill>
                </w14:textFill>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阴离子表面活性剂（</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≦0.3</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耗氧量（</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4.99</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1.84</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1.43</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≦3.0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氨氮（</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0.316</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2"/>
                <w:sz w:val="21"/>
                <w:szCs w:val="21"/>
                <w:u w:val="none"/>
                <w:lang w:val="en-US" w:eastAsia="zh-CN" w:bidi="ar-SA"/>
              </w:rPr>
              <w:t>0.471</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0.495</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≦0.50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vertAlign w:val="baseline"/>
                <w:lang w:eastAsia="zh-CN"/>
              </w:rPr>
            </w:pPr>
            <w:r>
              <w:rPr>
                <w:rFonts w:hint="default" w:ascii="Times New Roman" w:hAnsi="Times New Roman" w:eastAsia="宋体" w:cs="Times New Roman"/>
                <w:color w:val="auto"/>
                <w:sz w:val="21"/>
                <w:szCs w:val="21"/>
                <w:lang w:val="en-US" w:eastAsia="zh-CN"/>
              </w:rPr>
              <w:t>硫化物（</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≦0.02</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color w:val="auto"/>
                <w:sz w:val="21"/>
                <w:szCs w:val="21"/>
                <w:lang w:val="en-US" w:eastAsia="zh-CN"/>
              </w:rPr>
              <w:t>钠（</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142</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39.5</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151</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亚硝酸盐（氮）（mg/L）</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0.034</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0.233</w:t>
            </w:r>
          </w:p>
        </w:tc>
        <w:tc>
          <w:tcPr>
            <w:tcW w:w="810"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0.012</w:t>
            </w:r>
          </w:p>
        </w:tc>
        <w:tc>
          <w:tcPr>
            <w:tcW w:w="832"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硝酸盐（氮）（mg/L）</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6.9</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6.9</w:t>
            </w:r>
          </w:p>
        </w:tc>
        <w:tc>
          <w:tcPr>
            <w:tcW w:w="810"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0.2</w:t>
            </w:r>
          </w:p>
        </w:tc>
        <w:tc>
          <w:tcPr>
            <w:tcW w:w="832"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≦20.0</w:t>
            </w:r>
          </w:p>
        </w:tc>
        <w:tc>
          <w:tcPr>
            <w:tcW w:w="80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氰化物</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≦0.05</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0"/>
                <w:sz w:val="21"/>
                <w:szCs w:val="21"/>
                <w:u w:val="none"/>
                <w:lang w:val="en-US" w:eastAsia="zh-CN" w:bidi="ar"/>
              </w:rPr>
              <w:t>氟化物</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0.327</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0.143</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0.118</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碘化物</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≦0.08</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汞</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≦0.001</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砷（</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≦0.01</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b w:val="0"/>
                <w:bCs w:val="0"/>
                <w:color w:val="auto"/>
                <w:sz w:val="21"/>
                <w:szCs w:val="21"/>
                <w:lang w:val="zh-CN" w:eastAsia="zh-CN"/>
              </w:rPr>
              <w:t>硒</w:t>
            </w:r>
            <w:r>
              <w:rPr>
                <w:rFonts w:hint="default" w:ascii="Times New Roman" w:hAnsi="Times New Roman" w:eastAsia="宋体" w:cs="Times New Roman"/>
                <w:color w:val="auto"/>
                <w:sz w:val="21"/>
                <w:szCs w:val="21"/>
                <w:lang w:val="en-US" w:eastAsia="zh-CN"/>
              </w:rPr>
              <w:t>（</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≦0.01</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镉（</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≦0.005</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六价铬（</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≦0.05</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b w:val="0"/>
                <w:bCs w:val="0"/>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铅（</w:t>
            </w:r>
            <w:r>
              <w:rPr>
                <w:rFonts w:hint="default" w:ascii="Times New Roman" w:hAnsi="Times New Roman" w:eastAsia="宋体" w:cs="Times New Roman"/>
                <w:color w:val="auto"/>
                <w:sz w:val="21"/>
                <w:szCs w:val="21"/>
              </w:rPr>
              <w:t>mg/L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≦0.01</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三氯甲烷（μ</w:t>
            </w:r>
            <w:r>
              <w:rPr>
                <w:rFonts w:hint="default" w:ascii="Times New Roman" w:hAnsi="Times New Roman" w:eastAsia="宋体" w:cs="Times New Roman"/>
                <w:color w:val="auto"/>
                <w:sz w:val="21"/>
                <w:szCs w:val="21"/>
              </w:rPr>
              <w:t>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≦60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四氯化碳（μ</w:t>
            </w:r>
            <w:r>
              <w:rPr>
                <w:rFonts w:hint="default" w:ascii="Times New Roman" w:hAnsi="Times New Roman" w:eastAsia="宋体" w:cs="Times New Roman"/>
                <w:color w:val="auto"/>
                <w:sz w:val="21"/>
                <w:szCs w:val="21"/>
              </w:rPr>
              <w:t>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≦2.0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tabs>
                <w:tab w:val="left" w:pos="1755"/>
              </w:tabs>
              <w:kinsoku/>
              <w:wordWrap/>
              <w:overflowPunct/>
              <w:topLinePunct w:val="0"/>
              <w:autoSpaceDE/>
              <w:autoSpaceDN/>
              <w:bidi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苯</w:t>
            </w:r>
            <w:r>
              <w:rPr>
                <w:rFonts w:hint="default" w:ascii="Times New Roman" w:hAnsi="Times New Roman" w:eastAsia="宋体" w:cs="Times New Roman"/>
                <w:color w:val="auto"/>
                <w:sz w:val="21"/>
                <w:szCs w:val="21"/>
                <w:lang w:val="en-US" w:eastAsia="zh-CN"/>
              </w:rPr>
              <w:t>（μ</w:t>
            </w:r>
            <w:r>
              <w:rPr>
                <w:rFonts w:hint="default" w:ascii="Times New Roman" w:hAnsi="Times New Roman" w:eastAsia="宋体" w:cs="Times New Roman"/>
                <w:color w:val="auto"/>
                <w:sz w:val="21"/>
                <w:szCs w:val="21"/>
              </w:rPr>
              <w:t>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≦10.0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tabs>
                <w:tab w:val="left" w:pos="1755"/>
              </w:tabs>
              <w:kinsoku/>
              <w:wordWrap/>
              <w:overflowPunct/>
              <w:topLinePunct w:val="0"/>
              <w:autoSpaceDE/>
              <w:autoSpaceDN/>
              <w:bidi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甲苯</w:t>
            </w:r>
            <w:r>
              <w:rPr>
                <w:rFonts w:hint="default" w:ascii="Times New Roman" w:hAnsi="Times New Roman" w:eastAsia="宋体" w:cs="Times New Roman"/>
                <w:color w:val="auto"/>
                <w:sz w:val="21"/>
                <w:szCs w:val="21"/>
                <w:lang w:val="en-US" w:eastAsia="zh-CN"/>
              </w:rPr>
              <w:t>（μ</w:t>
            </w:r>
            <w:r>
              <w:rPr>
                <w:rFonts w:hint="default" w:ascii="Times New Roman" w:hAnsi="Times New Roman" w:eastAsia="宋体" w:cs="Times New Roman"/>
                <w:color w:val="auto"/>
                <w:sz w:val="21"/>
                <w:szCs w:val="21"/>
              </w:rPr>
              <w:t>g/L</w:t>
            </w:r>
            <w:r>
              <w:rPr>
                <w:rFonts w:hint="default" w:ascii="Times New Roman" w:hAnsi="Times New Roman" w:eastAsia="宋体" w:cs="Times New Roman"/>
                <w:color w:val="auto"/>
                <w:sz w:val="21"/>
                <w:szCs w:val="21"/>
                <w:lang w:eastAsia="zh-CN"/>
              </w:rPr>
              <w:t>）</w:t>
            </w:r>
          </w:p>
        </w:tc>
        <w:tc>
          <w:tcPr>
            <w:tcW w:w="758" w:type="pct"/>
            <w:vAlign w:val="center"/>
          </w:tcPr>
          <w:p>
            <w:pPr>
              <w:keepNext w:val="0"/>
              <w:keepLines w:val="0"/>
              <w:pageBreakBefore w:val="0"/>
              <w:widowControl/>
              <w:suppressLineNumbers w:val="0"/>
              <w:kinsoku/>
              <w:wordWrap/>
              <w:overflowPunct/>
              <w:topLinePunct w:val="0"/>
              <w:autoSpaceDE/>
              <w:autoSpaceDN/>
              <w:bidi w:val="0"/>
              <w:spacing w:line="240" w:lineRule="auto"/>
              <w:ind w:firstLine="0" w:firstLineChars="0"/>
              <w:jc w:val="center"/>
              <w:textAlignment w:val="center"/>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10"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w:t>
            </w:r>
          </w:p>
        </w:tc>
        <w:tc>
          <w:tcPr>
            <w:tcW w:w="832"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color w:val="000000" w:themeColor="text1"/>
                <w:sz w:val="21"/>
                <w:szCs w:val="21"/>
                <w:lang w:val="en-US" w:eastAsia="zh-CN"/>
                <w14:textFill>
                  <w14:solidFill>
                    <w14:schemeClr w14:val="tx1"/>
                  </w14:solidFill>
                </w14:textFill>
              </w:rPr>
              <w:t>≦700</w:t>
            </w:r>
          </w:p>
        </w:tc>
        <w:tc>
          <w:tcPr>
            <w:tcW w:w="808" w:type="pct"/>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eastAsia" w:ascii="Times New Roman" w:hAnsi="Times New Roman" w:eastAsia="宋体" w:cs="Times New Roman"/>
                <w:color w:val="000000" w:themeColor="text1"/>
                <w:sz w:val="21"/>
                <w:szCs w:val="21"/>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81" w:type="pct"/>
            <w:vAlign w:val="center"/>
          </w:tcPr>
          <w:p>
            <w:pPr>
              <w:keepNext w:val="0"/>
              <w:keepLines w:val="0"/>
              <w:pageBreakBefore w:val="0"/>
              <w:tabs>
                <w:tab w:val="left" w:pos="1755"/>
              </w:tabs>
              <w:kinsoku/>
              <w:wordWrap/>
              <w:overflowPunct/>
              <w:topLinePunct w:val="0"/>
              <w:autoSpaceDE/>
              <w:autoSpaceDN/>
              <w:bidi w:val="0"/>
              <w:snapToGrid w:val="0"/>
              <w:spacing w:line="240" w:lineRule="auto"/>
              <w:ind w:firstLine="0" w:firstLineChars="0"/>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备注：</w:t>
            </w:r>
          </w:p>
        </w:tc>
        <w:tc>
          <w:tcPr>
            <w:tcW w:w="4018" w:type="pct"/>
            <w:gridSpan w:val="5"/>
            <w:vAlign w:val="center"/>
          </w:tcPr>
          <w:p>
            <w:pPr>
              <w:keepNext w:val="0"/>
              <w:keepLines w:val="0"/>
              <w:pageBreakBefore w:val="0"/>
              <w:widowControl w:val="0"/>
              <w:kinsoku/>
              <w:wordWrap/>
              <w:overflowPunct/>
              <w:topLinePunct w:val="0"/>
              <w:autoSpaceDE/>
              <w:autoSpaceDN/>
              <w:bidi w:val="0"/>
              <w:adjustRightInd w:val="0"/>
              <w:snapToGrid w:val="0"/>
              <w:spacing w:after="0" w:line="240" w:lineRule="auto"/>
              <w:ind w:firstLine="0" w:firstLineChars="0"/>
              <w:jc w:val="center"/>
              <w:textAlignment w:val="auto"/>
              <w:rPr>
                <w:rFonts w:hint="default" w:ascii="Times New Roman" w:hAnsi="Times New Roman" w:eastAsia="宋体" w:cs="Times New Roman"/>
                <w:i w:val="0"/>
                <w:iCs w:val="0"/>
                <w:color w:val="auto"/>
                <w:kern w:val="2"/>
                <w:sz w:val="21"/>
                <w:szCs w:val="21"/>
                <w:u w:val="none"/>
                <w:lang w:val="en-US" w:eastAsia="zh-CN" w:bidi="ar-SA"/>
              </w:rPr>
            </w:pPr>
            <w:r>
              <w:rPr>
                <w:rFonts w:hint="default" w:ascii="Times New Roman" w:hAnsi="Times New Roman" w:eastAsia="宋体" w:cs="Times New Roman"/>
                <w:i w:val="0"/>
                <w:iCs w:val="0"/>
                <w:color w:val="auto"/>
                <w:kern w:val="2"/>
                <w:sz w:val="21"/>
                <w:szCs w:val="21"/>
                <w:u w:val="none"/>
                <w:lang w:val="en-US" w:eastAsia="zh-CN" w:bidi="ar-SA"/>
              </w:rPr>
              <w:t>ND表示检测结果为未检出。</w:t>
            </w:r>
          </w:p>
        </w:tc>
      </w:tr>
    </w:tbl>
    <w:p>
      <w:pPr>
        <w:pStyle w:val="8"/>
        <w:rPr>
          <w:rFonts w:hint="default"/>
          <w:color w:val="auto"/>
          <w:highlight w:val="none"/>
          <w:lang w:val="en-US" w:eastAsia="zh-CN"/>
        </w:rPr>
      </w:pPr>
      <w:r>
        <w:rPr>
          <w:rFonts w:hint="eastAsia"/>
          <w:color w:val="auto"/>
          <w:sz w:val="24"/>
          <w:szCs w:val="24"/>
          <w:highlight w:val="none"/>
          <w:lang w:val="en-US" w:eastAsia="zh-CN"/>
        </w:rPr>
        <w:t>由上表可知，地下水检测因子满足</w:t>
      </w:r>
      <w:r>
        <w:rPr>
          <w:rFonts w:hint="default" w:ascii="Times New Roman" w:hAnsi="Times New Roman" w:eastAsia="宋体" w:cs="Times New Roman"/>
          <w:lang w:val="en-US" w:eastAsia="zh-CN"/>
        </w:rPr>
        <w:t>《地下水质量标准》（GB/T14848-2017）的Ⅲ类限值</w:t>
      </w:r>
      <w:r>
        <w:rPr>
          <w:rFonts w:hint="eastAsia"/>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textAlignment w:val="auto"/>
        <w:outlineLvl w:val="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5土壤</w:t>
      </w:r>
      <w:r>
        <w:rPr>
          <w:rFonts w:hint="default" w:ascii="Times New Roman" w:hAnsi="Times New Roman" w:eastAsia="宋体" w:cs="Times New Roman"/>
          <w:color w:val="auto"/>
          <w:highlight w:val="none"/>
          <w:lang w:val="en-US" w:eastAsia="zh-CN"/>
        </w:rPr>
        <w:t>监测结果</w:t>
      </w:r>
    </w:p>
    <w:p>
      <w:pPr>
        <w:pStyle w:val="8"/>
        <w:jc w:val="center"/>
        <w:rPr>
          <w:rFonts w:hint="default"/>
          <w:lang w:val="en-US" w:eastAsia="zh-CN"/>
        </w:rPr>
      </w:pPr>
      <w:r>
        <w:rPr>
          <w:rFonts w:hint="eastAsia" w:ascii="黑体" w:hAnsi="黑体" w:eastAsia="黑体" w:cs="黑体"/>
          <w:sz w:val="21"/>
          <w:szCs w:val="21"/>
          <w:highlight w:val="none"/>
          <w:lang w:val="en-US" w:eastAsia="zh-CN"/>
        </w:rPr>
        <w:t>表9-6</w:t>
      </w:r>
      <w:r>
        <w:rPr>
          <w:rFonts w:hint="eastAsia" w:ascii="黑体" w:hAnsi="黑体" w:eastAsia="黑体" w:cs="黑体"/>
          <w:color w:val="auto"/>
          <w:sz w:val="21"/>
          <w:szCs w:val="21"/>
          <w:highlight w:val="none"/>
          <w:lang w:val="en-US" w:eastAsia="zh-CN"/>
        </w:rPr>
        <w:t>土壤</w:t>
      </w:r>
      <w:r>
        <w:rPr>
          <w:rFonts w:hint="eastAsia" w:ascii="黑体" w:hAnsi="黑体" w:eastAsia="黑体" w:cs="黑体"/>
          <w:color w:val="auto"/>
          <w:sz w:val="21"/>
          <w:szCs w:val="21"/>
          <w:highlight w:val="none"/>
          <w:lang w:eastAsia="zh-CN"/>
        </w:rPr>
        <w:t>监测</w:t>
      </w:r>
      <w:r>
        <w:rPr>
          <w:rFonts w:hint="eastAsia" w:ascii="黑体" w:hAnsi="黑体" w:eastAsia="黑体" w:cs="黑体"/>
          <w:color w:val="auto"/>
          <w:sz w:val="21"/>
          <w:szCs w:val="21"/>
          <w:highlight w:val="none"/>
          <w:lang w:val="en-US" w:eastAsia="zh-CN"/>
        </w:rPr>
        <w:t>结果一览表</w:t>
      </w:r>
    </w:p>
    <w:tbl>
      <w:tblPr>
        <w:tblStyle w:val="24"/>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73"/>
        <w:gridCol w:w="1317"/>
        <w:gridCol w:w="1194"/>
        <w:gridCol w:w="1197"/>
        <w:gridCol w:w="1216"/>
        <w:gridCol w:w="1221"/>
        <w:gridCol w:w="1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9" w:hRule="atLeast"/>
          <w:tblHeader/>
          <w:jc w:val="center"/>
        </w:trPr>
        <w:tc>
          <w:tcPr>
            <w:tcW w:w="1461" w:type="pct"/>
            <w:gridSpan w:val="2"/>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mc:AlternateContent>
                <mc:Choice Requires="wpsCustomData">
                  <wpsCustomData:diagonalParaType/>
                </mc:Choice>
              </mc:AlternateContent>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t>检测项目</w:t>
            </w:r>
            <w:r>
              <w:rPr>
                <w:rFonts w:hint="default" w:ascii="Times New Roman" w:hAnsi="Times New Roman" w:eastAsia="宋体" w:cs="Times New Roman"/>
                <w:color w:val="000000" w:themeColor="text1"/>
                <w:sz w:val="21"/>
                <w:szCs w:val="21"/>
                <w:lang w:val="en-US" w:eastAsia="zh-CN"/>
                <w14:textFill>
                  <w14:solidFill>
                    <w14:schemeClr w14:val="tx1"/>
                  </w14:solidFill>
                </w14:textFill>
              </w:rPr>
              <w:t>及单位</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t>检测点位及结果</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vertAlign w:val="baseline"/>
                <w:lang w:val="en-US" w:eastAsia="zh-CN" w:bidi="ar-SA"/>
                <w14:textFill>
                  <w14:solidFill>
                    <w14:schemeClr w14:val="tx1"/>
                  </w14:solidFill>
                </w14:textFill>
              </w:rPr>
              <w:t>1#</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vertAlign w:val="baseline"/>
                <w:lang w:val="en-US" w:eastAsia="zh-CN" w:bidi="ar-SA"/>
                <w14:textFill>
                  <w14:solidFill>
                    <w14:schemeClr w14:val="tx1"/>
                  </w14:solidFill>
                </w14:textFill>
              </w:rPr>
              <w:t>2#</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kern w:val="2"/>
                <w:sz w:val="21"/>
                <w:szCs w:val="21"/>
                <w:highlight w:val="none"/>
                <w:vertAlign w:val="baseline"/>
                <w:lang w:val="en-US" w:eastAsia="zh-CN" w:bidi="ar-SA"/>
                <w14:textFill>
                  <w14:solidFill>
                    <w14:schemeClr w14:val="tx1"/>
                  </w14:solidFill>
                </w14:textFill>
              </w:rPr>
              <w:t>3#</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cs="Times New Roman"/>
                <w:color w:val="000000" w:themeColor="text1"/>
                <w:kern w:val="2"/>
                <w:sz w:val="21"/>
                <w:szCs w:val="21"/>
                <w:highlight w:val="none"/>
                <w:vertAlign w:val="baseline"/>
                <w:lang w:val="en-US" w:eastAsia="zh-CN" w:bidi="ar-SA"/>
                <w14:textFill>
                  <w14:solidFill>
                    <w14:schemeClr w14:val="tx1"/>
                  </w14:solidFill>
                </w14:textFill>
              </w:rPr>
              <w:t>标准限值</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kern w:val="2"/>
                <w:sz w:val="21"/>
                <w:szCs w:val="21"/>
                <w:highlight w:val="none"/>
                <w:vertAlign w:val="baseline"/>
                <w:lang w:val="en-US" w:eastAsia="zh-CN" w:bidi="ar-SA"/>
                <w14:textFill>
                  <w14:solidFill>
                    <w14:schemeClr w14:val="tx1"/>
                  </w14:solidFill>
                </w14:textFill>
              </w:rPr>
            </w:pPr>
            <w:r>
              <w:rPr>
                <w:rFonts w:hint="eastAsia" w:cs="Times New Roman"/>
                <w:color w:val="000000" w:themeColor="text1"/>
                <w:kern w:val="2"/>
                <w:sz w:val="21"/>
                <w:szCs w:val="21"/>
                <w:highlight w:val="none"/>
                <w:vertAlign w:val="baseline"/>
                <w:lang w:val="en-US" w:eastAsia="zh-CN" w:bidi="ar-SA"/>
                <w14:textFill>
                  <w14:solidFill>
                    <w14:schemeClr w14:val="tx1"/>
                  </w14:solidFill>
                </w14:textFill>
              </w:rPr>
              <w:t>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砷mg/kg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4.96</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5.98</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8.71</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60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镉mg/kg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0.11</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0.12</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65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铬（六价）mg/kg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5.7</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铜mg/kg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53</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19</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24</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18000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铅</w:t>
            </w:r>
            <w:r>
              <w:rPr>
                <w:rFonts w:hint="eastAsia" w:ascii="Times New Roman" w:hAnsi="Times New Roman" w:cs="Times New Roman"/>
                <w:color w:val="000000" w:themeColor="text1"/>
                <w:kern w:val="2"/>
                <w:sz w:val="21"/>
                <w:szCs w:val="21"/>
                <w:lang w:val="en-US" w:eastAsia="zh-CN"/>
                <w14:textFill>
                  <w14:solidFill>
                    <w14:schemeClr w14:val="tx1"/>
                  </w14:solidFill>
                </w14:textFill>
              </w:rPr>
              <w:t>(mg/kg)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800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汞</w:t>
            </w:r>
            <w:r>
              <w:rPr>
                <w:rFonts w:hint="eastAsia" w:ascii="Times New Roman" w:hAnsi="Times New Roman" w:cs="Times New Roman"/>
                <w:color w:val="000000" w:themeColor="text1"/>
                <w:kern w:val="2"/>
                <w:sz w:val="21"/>
                <w:szCs w:val="21"/>
                <w:lang w:val="en-US" w:eastAsia="zh-CN"/>
                <w14:textFill>
                  <w14:solidFill>
                    <w14:schemeClr w14:val="tx1"/>
                  </w14:solidFill>
                </w14:textFill>
              </w:rPr>
              <w:t>(</w:t>
            </w:r>
            <w:r>
              <w:rPr>
                <w:rFonts w:hint="eastAsia" w:cs="Times New Roman"/>
                <w:color w:val="000000" w:themeColor="text1"/>
                <w:kern w:val="2"/>
                <w:sz w:val="21"/>
                <w:szCs w:val="21"/>
                <w:lang w:val="en-US" w:eastAsia="zh-CN"/>
                <w14:textFill>
                  <w14:solidFill>
                    <w14:schemeClr w14:val="tx1"/>
                  </w14:solidFill>
                </w14:textFill>
              </w:rPr>
              <w:t>m</w:t>
            </w:r>
            <w:r>
              <w:rPr>
                <w:rFonts w:hint="eastAsia" w:ascii="Times New Roman" w:hAnsi="Times New Roman" w:cs="Times New Roman"/>
                <w:color w:val="000000" w:themeColor="text1"/>
                <w:kern w:val="2"/>
                <w:sz w:val="21"/>
                <w:szCs w:val="21"/>
                <w:lang w:val="en-US" w:eastAsia="zh-CN"/>
                <w14:textFill>
                  <w14:solidFill>
                    <w14:schemeClr w14:val="tx1"/>
                  </w14:solidFill>
                </w14:textFill>
              </w:rPr>
              <w:t>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7</w:t>
            </w:r>
            <w:r>
              <w:rPr>
                <w:rFonts w:hint="eastAsia"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39</w:t>
            </w:r>
            <w:r>
              <w:rPr>
                <w:rFonts w:hint="default" w:ascii="Arial" w:hAnsi="Arial" w:cs="Arial"/>
                <w:color w:val="000000" w:themeColor="text1"/>
                <w:sz w:val="21"/>
                <w:szCs w:val="21"/>
                <w:highlight w:val="none"/>
                <w:vertAlign w:val="baseline"/>
                <w:lang w:val="en-US" w:eastAsia="zh-CN"/>
                <w14:textFill>
                  <w14:solidFill>
                    <w14:schemeClr w14:val="tx1"/>
                  </w14:solidFill>
                </w14:textFill>
              </w:rPr>
              <w:t>×</w:t>
            </w:r>
            <w:r>
              <w:rPr>
                <w:rFonts w:hint="eastAsia" w:cs="Times New Roman"/>
                <w:color w:val="000000" w:themeColor="text1"/>
                <w:sz w:val="21"/>
                <w:szCs w:val="21"/>
                <w:highlight w:val="none"/>
                <w:vertAlign w:val="baseline"/>
                <w:lang w:val="en-US" w:eastAsia="zh-CN"/>
                <w14:textFill>
                  <w14:solidFill>
                    <w14:schemeClr w14:val="tx1"/>
                  </w14:solidFill>
                </w14:textFill>
              </w:rPr>
              <w:t>10</w:t>
            </w:r>
            <w:r>
              <w:rPr>
                <w:rFonts w:hint="eastAsia" w:cs="Times New Roman"/>
                <w:color w:val="000000" w:themeColor="text1"/>
                <w:sz w:val="22"/>
                <w:szCs w:val="22"/>
                <w:highlight w:val="none"/>
                <w:vertAlign w:val="superscript"/>
                <w:lang w:val="en-US" w:eastAsia="zh-CN"/>
                <w14:textFill>
                  <w14:solidFill>
                    <w14:schemeClr w14:val="tx1"/>
                  </w14:solidFill>
                </w14:textFill>
              </w:rPr>
              <w:t>-2</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1</w:t>
            </w:r>
            <w:r>
              <w:rPr>
                <w:rFonts w:hint="eastAsia"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37</w:t>
            </w:r>
            <w:r>
              <w:rPr>
                <w:rFonts w:hint="default" w:ascii="Arial" w:hAnsi="Arial" w:cs="Arial"/>
                <w:color w:val="000000" w:themeColor="text1"/>
                <w:sz w:val="21"/>
                <w:szCs w:val="21"/>
                <w:highlight w:val="none"/>
                <w:vertAlign w:val="baseline"/>
                <w:lang w:val="en-US" w:eastAsia="zh-CN"/>
                <w14:textFill>
                  <w14:solidFill>
                    <w14:schemeClr w14:val="tx1"/>
                  </w14:solidFill>
                </w14:textFill>
              </w:rPr>
              <w:t>×</w:t>
            </w:r>
            <w:r>
              <w:rPr>
                <w:rFonts w:hint="eastAsia" w:cs="Times New Roman"/>
                <w:color w:val="000000" w:themeColor="text1"/>
                <w:sz w:val="21"/>
                <w:szCs w:val="21"/>
                <w:highlight w:val="none"/>
                <w:vertAlign w:val="baseline"/>
                <w:lang w:val="en-US" w:eastAsia="zh-CN"/>
                <w14:textFill>
                  <w14:solidFill>
                    <w14:schemeClr w14:val="tx1"/>
                  </w14:solidFill>
                </w14:textFill>
              </w:rPr>
              <w:t>10</w:t>
            </w:r>
            <w:r>
              <w:rPr>
                <w:rFonts w:hint="eastAsia" w:cs="Times New Roman"/>
                <w:color w:val="000000" w:themeColor="text1"/>
                <w:sz w:val="22"/>
                <w:szCs w:val="22"/>
                <w:highlight w:val="none"/>
                <w:vertAlign w:val="superscript"/>
                <w:lang w:val="en-US" w:eastAsia="zh-CN"/>
                <w14:textFill>
                  <w14:solidFill>
                    <w14:schemeClr w14:val="tx1"/>
                  </w14:solidFill>
                </w14:textFill>
              </w:rPr>
              <w:t>-2</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w:t>
            </w:r>
            <w:r>
              <w:rPr>
                <w:rFonts w:hint="eastAsia" w:cs="Times New Roman"/>
                <w:color w:val="000000" w:themeColor="text1"/>
                <w:sz w:val="21"/>
                <w:szCs w:val="21"/>
                <w:highlight w:val="none"/>
                <w:vertAlign w:val="baseline"/>
                <w:lang w:val="en-US" w:eastAsia="zh-CN"/>
                <w14:textFill>
                  <w14:solidFill>
                    <w14:schemeClr w14:val="tx1"/>
                  </w14:solidFill>
                </w14:textFill>
              </w:rPr>
              <w:t>.</w:t>
            </w: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54</w:t>
            </w:r>
            <w:r>
              <w:rPr>
                <w:rFonts w:hint="default" w:ascii="Arial" w:hAnsi="Arial" w:cs="Arial"/>
                <w:color w:val="000000" w:themeColor="text1"/>
                <w:sz w:val="21"/>
                <w:szCs w:val="21"/>
                <w:highlight w:val="none"/>
                <w:vertAlign w:val="baseline"/>
                <w:lang w:val="en-US" w:eastAsia="zh-CN"/>
                <w14:textFill>
                  <w14:solidFill>
                    <w14:schemeClr w14:val="tx1"/>
                  </w14:solidFill>
                </w14:textFill>
              </w:rPr>
              <w:t>×</w:t>
            </w:r>
            <w:r>
              <w:rPr>
                <w:rFonts w:hint="eastAsia" w:cs="Times New Roman"/>
                <w:color w:val="000000" w:themeColor="text1"/>
                <w:sz w:val="21"/>
                <w:szCs w:val="21"/>
                <w:highlight w:val="none"/>
                <w:vertAlign w:val="baseline"/>
                <w:lang w:val="en-US" w:eastAsia="zh-CN"/>
                <w14:textFill>
                  <w14:solidFill>
                    <w14:schemeClr w14:val="tx1"/>
                  </w14:solidFill>
                </w14:textFill>
              </w:rPr>
              <w:t>10</w:t>
            </w:r>
            <w:r>
              <w:rPr>
                <w:rFonts w:hint="eastAsia" w:cs="Times New Roman"/>
                <w:color w:val="000000" w:themeColor="text1"/>
                <w:sz w:val="22"/>
                <w:szCs w:val="22"/>
                <w:highlight w:val="none"/>
                <w:vertAlign w:val="superscript"/>
                <w:lang w:val="en-US" w:eastAsia="zh-CN"/>
                <w14:textFill>
                  <w14:solidFill>
                    <w14:schemeClr w14:val="tx1"/>
                  </w14:solidFill>
                </w14:textFill>
              </w:rPr>
              <w:t>-2</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38</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61" w:type="pct"/>
            <w:gridSpan w:val="2"/>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b w:val="0"/>
                <w:bCs/>
                <w:color w:val="000000" w:themeColor="text1"/>
                <w:kern w:val="0"/>
                <w:sz w:val="21"/>
                <w:szCs w:val="21"/>
                <w:vertAlign w:val="baseli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镍</w:t>
            </w:r>
            <w:r>
              <w:rPr>
                <w:rFonts w:hint="eastAsia" w:ascii="Times New Roman" w:hAnsi="Times New Roman" w:cs="Times New Roman"/>
                <w:color w:val="000000" w:themeColor="text1"/>
                <w:kern w:val="2"/>
                <w:sz w:val="21"/>
                <w:szCs w:val="21"/>
                <w:lang w:val="en-US" w:eastAsia="zh-CN"/>
                <w14:textFill>
                  <w14:solidFill>
                    <w14:schemeClr w14:val="tx1"/>
                  </w14:solidFill>
                </w14:textFill>
              </w:rPr>
              <w:t>(mg/kg)</w:t>
            </w:r>
          </w:p>
        </w:tc>
        <w:tc>
          <w:tcPr>
            <w:tcW w:w="701"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22</w:t>
            </w:r>
          </w:p>
        </w:tc>
        <w:tc>
          <w:tcPr>
            <w:tcW w:w="703"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22</w:t>
            </w:r>
          </w:p>
        </w:tc>
        <w:tc>
          <w:tcPr>
            <w:tcW w:w="714"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20</w:t>
            </w:r>
          </w:p>
        </w:tc>
        <w:tc>
          <w:tcPr>
            <w:tcW w:w="717"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900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t>半挥发性有机物</w:t>
            </w:r>
            <w:r>
              <w:rPr>
                <w:rFonts w:hint="default" w:ascii="Times New Roman" w:hAnsi="Times New Roman" w:eastAsia="宋体" w:cs="Times New Roman"/>
                <w:b w:val="0"/>
                <w:bCs w:val="0"/>
                <w:color w:val="000000" w:themeColor="text1"/>
                <w:sz w:val="21"/>
                <w:szCs w:val="21"/>
                <w:highlight w:val="none"/>
                <w:lang w:val="zh-CN" w:eastAsia="zh-CN"/>
                <w14:textFill>
                  <w14:solidFill>
                    <w14:schemeClr w14:val="tx1"/>
                  </w14:solidFill>
                </w14:textFill>
              </w:rPr>
              <w:t>（</w:t>
            </w:r>
            <w:r>
              <w:rPr>
                <w:rFonts w:hint="default" w:ascii="Times New Roman" w:hAnsi="Times New Roman" w:eastAsia="宋体" w:cs="Times New Roman"/>
                <w:b w:val="0"/>
                <w:bCs w:val="0"/>
                <w:color w:val="000000" w:themeColor="text1"/>
                <w:sz w:val="21"/>
                <w:szCs w:val="21"/>
                <w:highlight w:val="none"/>
                <w:lang w:val="en-US" w:eastAsia="zh-CN"/>
                <w14:textFill>
                  <w14:solidFill>
                    <w14:schemeClr w14:val="tx1"/>
                  </w14:solidFill>
                </w14:textFill>
              </w:rPr>
              <w:t>mg/kg</w:t>
            </w:r>
            <w:r>
              <w:rPr>
                <w:rFonts w:hint="default" w:ascii="Times New Roman" w:hAnsi="Times New Roman" w:eastAsia="宋体" w:cs="Times New Roman"/>
                <w:b w:val="0"/>
                <w:bCs w:val="0"/>
                <w:color w:val="000000" w:themeColor="text1"/>
                <w:sz w:val="21"/>
                <w:szCs w:val="21"/>
                <w:highlight w:val="none"/>
                <w:lang w:val="zh-CN" w:eastAsia="zh-CN"/>
                <w14:textFill>
                  <w14:solidFill>
                    <w14:schemeClr w14:val="tx1"/>
                  </w14:solidFill>
                </w14:textFill>
              </w:rPr>
              <w:t>）</w:t>
            </w: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硝基苯</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76</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苯胺</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260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shd w:val="clear" w:color="auto" w:fill="auto"/>
                <w14:textFill>
                  <w14:solidFill>
                    <w14:schemeClr w14:val="tx1"/>
                  </w14:solidFill>
                </w14:textFill>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zh-CN"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2-氯酚</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sz w:val="21"/>
                <w:szCs w:val="21"/>
                <w:highlight w:val="none"/>
                <w:vertAlign w:val="baseline"/>
                <w:lang w:eastAsia="zh-CN"/>
                <w14:textFill>
                  <w14:solidFill>
                    <w14:schemeClr w14:val="tx1"/>
                  </w14:solidFill>
                </w14:textFill>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2256</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苯并[a]蒽</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苯并[a]芘</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苯并[b]荧蒽</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苯并[k]荧蒽</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151</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䓛</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1293</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二苯并[a,h]蒽</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茚并[1,2,3-cd]芘</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15</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萘</w:t>
            </w:r>
          </w:p>
        </w:tc>
        <w:tc>
          <w:tcPr>
            <w:tcW w:w="70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03"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t>ND</w:t>
            </w:r>
          </w:p>
        </w:tc>
        <w:tc>
          <w:tcPr>
            <w:tcW w:w="717"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14:textFill>
                  <w14:solidFill>
                    <w14:schemeClr w14:val="tx1"/>
                  </w14:solidFill>
                </w14:textFill>
              </w:rPr>
              <w:t>70</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挥发性有机物</w:t>
            </w:r>
            <w:r>
              <w:rPr>
                <w:rFonts w:hint="default" w:ascii="Times New Roman" w:hAnsi="Times New Roman" w:eastAsia="宋体" w:cs="Times New Roman"/>
                <w:b w:val="0"/>
                <w:bCs w:val="0"/>
                <w:color w:val="auto"/>
                <w:sz w:val="21"/>
                <w:szCs w:val="21"/>
                <w:highlight w:val="none"/>
                <w:lang w:val="zh-CN" w:eastAsia="zh-CN"/>
              </w:rPr>
              <w:t>（</w:t>
            </w:r>
            <w:r>
              <w:rPr>
                <w:rFonts w:hint="default" w:ascii="Times New Roman" w:hAnsi="Times New Roman" w:eastAsia="宋体" w:cs="Times New Roman"/>
                <w:b w:val="0"/>
                <w:bCs w:val="0"/>
                <w:color w:val="auto"/>
                <w:sz w:val="21"/>
                <w:szCs w:val="21"/>
                <w:highlight w:val="none"/>
                <w:lang w:val="en-US" w:eastAsia="zh-CN"/>
              </w:rPr>
              <w:t>mg/kg</w:t>
            </w:r>
            <w:r>
              <w:rPr>
                <w:rFonts w:hint="default" w:ascii="Times New Roman" w:hAnsi="Times New Roman" w:eastAsia="宋体" w:cs="Times New Roman"/>
                <w:b w:val="0"/>
                <w:bCs w:val="0"/>
                <w:color w:val="auto"/>
                <w:sz w:val="21"/>
                <w:szCs w:val="21"/>
                <w:highlight w:val="none"/>
                <w:lang w:val="zh-CN" w:eastAsia="zh-CN"/>
              </w:rPr>
              <w:t>）</w:t>
            </w: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四氯化碳</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2.8</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氯仿</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0.9</w:t>
            </w:r>
          </w:p>
        </w:tc>
        <w:tc>
          <w:tcPr>
            <w:tcW w:w="702" w:type="pct"/>
            <w:vAlign w:val="center"/>
          </w:tcPr>
          <w:p>
            <w:pPr>
              <w:keepNext w:val="0"/>
              <w:keepLines w:val="0"/>
              <w:pageBreakBefore w:val="0"/>
              <w:widowControl/>
              <w:suppressLineNumbers w:val="0"/>
              <w:kinsoku/>
              <w:wordWrap/>
              <w:overflowPunct/>
              <w:topLinePunct w:val="0"/>
              <w:autoSpaceDE/>
              <w:autoSpaceDN/>
              <w:bidi w:val="0"/>
              <w:adjustRightInd/>
              <w:spacing w:line="240" w:lineRule="auto"/>
              <w:ind w:firstLine="0" w:firstLineChars="0"/>
              <w:jc w:val="center"/>
              <w:textAlignment w:val="cente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pPr>
            <w:r>
              <w:rPr>
                <w:rFonts w:hint="eastAsia" w:ascii="Times New Roman" w:hAnsi="Times New Roman" w:eastAsia="宋体"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氯甲烷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37</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1,1-二氯乙烷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9</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1,2-二氯乙烷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1,1-二氯乙烯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66</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顺-1,2-二氯乙烯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596</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反-1,2-二氯乙烯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54</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二氯甲烷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616</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1,2-二氯丙烷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1,1,1,2-四氯乙烷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10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1,1,2,2-四氯乙烷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6.8</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四氯乙烯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53</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1,1,1-三氯乙烷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840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1,1,2-三氯乙烷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2.8</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三氯乙烯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2.8</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1,2,3-三氯丙烷</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0.5</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0.43</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4</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氯苯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270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1,2-二氯苯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560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1,4-二氯苯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乙苯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28</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苯乙烯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1290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甲苯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1200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间二甲苯+对二甲苯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570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688"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772"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zh-CN" w:eastAsia="zh-CN"/>
              </w:rPr>
            </w:pPr>
            <w:r>
              <w:rPr>
                <w:rFonts w:hint="default" w:ascii="Times New Roman" w:hAnsi="Times New Roman" w:eastAsia="宋体" w:cs="Times New Roman"/>
                <w:color w:val="auto"/>
                <w:sz w:val="21"/>
                <w:szCs w:val="21"/>
                <w:highlight w:val="none"/>
                <w:shd w:val="clear" w:color="auto" w:fill="auto"/>
                <w:lang w:val="zh-CN"/>
              </w:rPr>
              <w:t>邻二甲苯</w:t>
            </w:r>
          </w:p>
        </w:tc>
        <w:tc>
          <w:tcPr>
            <w:tcW w:w="701"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03"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4"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ND</w:t>
            </w:r>
          </w:p>
        </w:tc>
        <w:tc>
          <w:tcPr>
            <w:tcW w:w="717" w:type="pct"/>
            <w:vAlign w:val="center"/>
          </w:tcPr>
          <w:p>
            <w:pPr>
              <w:keepNext w:val="0"/>
              <w:keepLines w:val="0"/>
              <w:pageBreakBefore w:val="0"/>
              <w:kinsoku/>
              <w:wordWrap/>
              <w:overflowPunct/>
              <w:topLinePunct w:val="0"/>
              <w:autoSpaceDE/>
              <w:autoSpaceDN/>
              <w:bidi w:val="0"/>
              <w:adjustRightInd/>
              <w:spacing w:line="240" w:lineRule="auto"/>
              <w:ind w:firstLine="0" w:firstLineChars="0"/>
              <w:jc w:val="center"/>
              <w:rPr>
                <w:rFonts w:hint="eastAsia" w:ascii="Times New Roman" w:hAnsi="Times New Roman" w:eastAsia="宋体" w:cs="Times New Roman"/>
                <w:color w:val="auto"/>
                <w:sz w:val="21"/>
                <w:szCs w:val="21"/>
                <w:highlight w:val="none"/>
                <w:shd w:val="clear" w:color="auto" w:fill="auto"/>
                <w:lang w:val="en-US" w:eastAsia="zh-CN"/>
              </w:rPr>
            </w:pPr>
            <w:r>
              <w:rPr>
                <w:rFonts w:hint="default" w:ascii="Times New Roman" w:hAnsi="Times New Roman" w:eastAsia="宋体" w:cs="Times New Roman"/>
                <w:color w:val="auto"/>
                <w:sz w:val="21"/>
                <w:szCs w:val="21"/>
                <w:highlight w:val="none"/>
                <w:shd w:val="clear" w:color="auto" w:fill="auto"/>
                <w:lang w:val="zh-CN"/>
              </w:rPr>
              <w:t>640</w:t>
            </w:r>
          </w:p>
        </w:tc>
        <w:tc>
          <w:tcPr>
            <w:tcW w:w="702"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000000" w:themeColor="text1"/>
                <w:sz w:val="21"/>
                <w:szCs w:val="21"/>
                <w:highlight w:val="none"/>
                <w:vertAlign w:val="baseline"/>
                <w:lang w:val="en-US" w:eastAsia="zh-CN"/>
                <w14:textFill>
                  <w14:solidFill>
                    <w14:schemeClr w14:val="tx1"/>
                  </w14:solidFill>
                </w14:textFill>
              </w:rPr>
            </w:pPr>
            <w:r>
              <w:rPr>
                <w:rFonts w:hint="eastAsia" w:cs="Times New Roman"/>
                <w:color w:val="000000" w:themeColor="text1"/>
                <w:sz w:val="21"/>
                <w:szCs w:val="21"/>
                <w:highlight w:val="none"/>
                <w:vertAlign w:val="baseline"/>
                <w:lang w:val="en-US" w:eastAsia="zh-CN"/>
                <w14:textFill>
                  <w14:solidFill>
                    <w14:schemeClr w14:val="tx1"/>
                  </w14:solidFill>
                </w14:textFill>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5000" w:type="pct"/>
            <w:gridSpan w:val="7"/>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备注：</w:t>
            </w:r>
            <w:r>
              <w:rPr>
                <w:rFonts w:hint="default" w:ascii="Times New Roman" w:hAnsi="Times New Roman" w:cs="Times New Roman"/>
                <w:bCs/>
                <w:color w:val="000000" w:themeColor="text1"/>
                <w:sz w:val="21"/>
                <w:szCs w:val="21"/>
                <w14:textFill>
                  <w14:solidFill>
                    <w14:schemeClr w14:val="tx1"/>
                  </w14:solidFill>
                </w14:textFill>
              </w:rPr>
              <w:t>ND表示检测结果为未检出。</w:t>
            </w:r>
          </w:p>
        </w:tc>
      </w:tr>
    </w:tbl>
    <w:p>
      <w:pPr>
        <w:pStyle w:val="8"/>
        <w:rPr>
          <w:rFonts w:hint="default"/>
          <w:color w:val="auto"/>
          <w:highlight w:val="none"/>
          <w:lang w:val="en-US" w:eastAsia="zh-CN"/>
        </w:rPr>
      </w:pPr>
      <w:r>
        <w:rPr>
          <w:rFonts w:hint="eastAsia"/>
          <w:color w:val="auto"/>
          <w:sz w:val="24"/>
          <w:szCs w:val="24"/>
          <w:highlight w:val="none"/>
          <w:lang w:val="en-US" w:eastAsia="zh-CN"/>
        </w:rPr>
        <w:t>由上表可知，土壤内金属因子除六价铬外其他金属因子均有检出，检出数值均满足《土壤环境质量建设用地土壤污染风险管控标准（试行）》（GB36600-2018）二类用地筛选要求</w:t>
      </w:r>
      <w:r>
        <w:rPr>
          <w:rFonts w:hint="eastAsia"/>
          <w:color w:val="auto"/>
          <w:sz w:val="24"/>
          <w:szCs w:val="24"/>
          <w:highlight w:val="none"/>
          <w:lang w:eastAsia="zh-CN"/>
        </w:rPr>
        <w:t>。</w:t>
      </w:r>
      <w:r>
        <w:rPr>
          <w:rFonts w:hint="eastAsia"/>
          <w:color w:val="auto"/>
          <w:sz w:val="24"/>
          <w:szCs w:val="24"/>
          <w:highlight w:val="none"/>
          <w:lang w:val="en-US" w:eastAsia="zh-CN"/>
        </w:rPr>
        <w:t>土壤内挥发性有机物和半挥发性有机物均未检出，满足《土壤环境质量建设用地土壤污染风险管控标准（试行）》（GB36600-2018）二类用地筛选要求</w:t>
      </w:r>
      <w:r>
        <w:rPr>
          <w:rFonts w:hint="eastAsia"/>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textAlignment w:val="auto"/>
        <w:outlineLvl w:val="2"/>
        <w:rPr>
          <w:rFonts w:hint="default"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9</w:t>
      </w:r>
      <w:r>
        <w:rPr>
          <w:rFonts w:hint="default" w:ascii="Times New Roman" w:hAnsi="Times New Roman" w:eastAsia="宋体"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6</w:t>
      </w:r>
      <w:r>
        <w:rPr>
          <w:rFonts w:hint="default" w:ascii="Times New Roman" w:hAnsi="Times New Roman" w:eastAsia="宋体" w:cs="Times New Roman"/>
          <w:color w:val="auto"/>
          <w:highlight w:val="none"/>
          <w:lang w:val="en-US" w:eastAsia="zh-CN"/>
        </w:rPr>
        <w:t>烟气治理设施处理效率监测结果</w:t>
      </w:r>
    </w:p>
    <w:p>
      <w:pPr>
        <w:keepNext w:val="0"/>
        <w:keepLines w:val="0"/>
        <w:pageBreakBefore w:val="0"/>
        <w:widowControl w:val="0"/>
        <w:kinsoku/>
        <w:wordWrap/>
        <w:overflowPunct/>
        <w:topLinePunct w:val="0"/>
        <w:autoSpaceDE/>
        <w:autoSpaceDN/>
        <w:bidi w:val="0"/>
        <w:adjustRightInd/>
        <w:snapToGrid/>
        <w:ind w:firstLine="480" w:firstLineChars="200"/>
        <w:textAlignment w:val="auto"/>
        <w:outlineLvl w:val="9"/>
        <w:rPr>
          <w:rFonts w:hint="eastAsia" w:cs="Times New Roman"/>
          <w:color w:val="auto"/>
          <w:highlight w:val="none"/>
          <w:lang w:val="en-US" w:eastAsia="zh-CN"/>
        </w:rPr>
      </w:pPr>
      <w:r>
        <w:rPr>
          <w:rFonts w:hint="default" w:ascii="Times New Roman" w:hAnsi="Times New Roman" w:eastAsia="宋体" w:cs="Times New Roman"/>
          <w:color w:val="auto"/>
          <w:kern w:val="2"/>
          <w:sz w:val="24"/>
          <w:szCs w:val="24"/>
          <w:highlight w:val="none"/>
          <w:lang w:val="en-US" w:eastAsia="zh-CN" w:bidi="ar-SA"/>
        </w:rPr>
        <w:t>烟气治理设施处理效率监测结果</w:t>
      </w:r>
      <w:r>
        <w:rPr>
          <w:rFonts w:hint="eastAsia" w:ascii="Times New Roman" w:hAnsi="Times New Roman" w:eastAsia="宋体" w:cs="Times New Roman"/>
          <w:color w:val="auto"/>
          <w:kern w:val="2"/>
          <w:sz w:val="24"/>
          <w:szCs w:val="24"/>
          <w:highlight w:val="none"/>
          <w:lang w:val="en-US" w:eastAsia="zh-CN" w:bidi="ar-SA"/>
        </w:rPr>
        <w:t>引用《</w:t>
      </w:r>
      <w:r>
        <w:rPr>
          <w:rFonts w:hint="default" w:ascii="Times New Roman" w:hAnsi="Times New Roman" w:eastAsia="宋体" w:cs="Times New Roman"/>
          <w:color w:val="auto"/>
          <w:kern w:val="2"/>
          <w:sz w:val="24"/>
          <w:szCs w:val="24"/>
          <w:highlight w:val="none"/>
          <w:lang w:val="en-US" w:eastAsia="zh-CN" w:bidi="ar-SA"/>
        </w:rPr>
        <w:t>淮北申能发电有限公司申能安徽平山电厂二期工程项目脱硫、脱硝、除尘设施竣工环境保护验收监测报告</w:t>
      </w:r>
      <w:r>
        <w:rPr>
          <w:rFonts w:hint="eastAsia" w:ascii="Times New Roman" w:hAnsi="Times New Roman" w:eastAsia="宋体" w:cs="Times New Roman"/>
          <w:color w:val="auto"/>
          <w:kern w:val="2"/>
          <w:sz w:val="24"/>
          <w:szCs w:val="24"/>
          <w:highlight w:val="none"/>
          <w:lang w:val="en-US" w:eastAsia="zh-CN" w:bidi="ar-SA"/>
        </w:rPr>
        <w:t>》内容，</w:t>
      </w:r>
      <w:r>
        <w:rPr>
          <w:rFonts w:hint="eastAsia" w:ascii="Times New Roman" w:hAnsi="Times New Roman" w:cs="Times New Roman"/>
          <w:color w:val="auto"/>
          <w:kern w:val="2"/>
          <w:sz w:val="24"/>
          <w:szCs w:val="24"/>
          <w:highlight w:val="none"/>
          <w:lang w:val="en-US" w:eastAsia="zh-CN" w:bidi="ar-SA"/>
        </w:rPr>
        <w:t>本项目</w:t>
      </w:r>
      <w:r>
        <w:rPr>
          <w:rFonts w:hint="default" w:ascii="Times New Roman" w:hAnsi="Times New Roman" w:eastAsia="宋体" w:cs="Times New Roman"/>
          <w:color w:val="auto"/>
          <w:kern w:val="2"/>
          <w:sz w:val="24"/>
          <w:szCs w:val="24"/>
          <w:highlight w:val="none"/>
          <w:lang w:val="en-US" w:eastAsia="zh-CN" w:bidi="ar-SA"/>
        </w:rPr>
        <w:t>脱硝系统的脱硝效率为82.299%~88.278%，除尘系统的除尘效率为99.940%~99.951%，脱硫系统的脱硫效率为98.774%~99.040%；综合脱硝效率为：88.50%~97.731%；综合脱硫效率为99.202%~99.602%；综合除尘效率为99.980%~99.991%</w:t>
      </w:r>
      <w:r>
        <w:rPr>
          <w:rFonts w:hint="eastAsia" w:ascii="Times New Roman" w:hAnsi="Times New Roman" w:eastAsia="宋体" w:cs="Times New Roman"/>
          <w:color w:val="auto"/>
          <w:kern w:val="2"/>
          <w:sz w:val="24"/>
          <w:szCs w:val="24"/>
          <w:highlight w:val="none"/>
          <w:lang w:val="en-US" w:eastAsia="zh-CN" w:bidi="ar-SA"/>
        </w:rPr>
        <w:t>；综合汞及其化合物处理效率为76.2%~77.8%</w:t>
      </w:r>
      <w:r>
        <w:rPr>
          <w:rFonts w:hint="default" w:ascii="Times New Roman" w:hAnsi="Times New Roman" w:eastAsia="宋体" w:cs="Times New Roman"/>
          <w:color w:val="auto"/>
          <w:kern w:val="2"/>
          <w:sz w:val="24"/>
          <w:szCs w:val="24"/>
          <w:highlight w:val="none"/>
          <w:lang w:val="en-US" w:eastAsia="zh-CN" w:bidi="ar-SA"/>
        </w:rPr>
        <w:t>。满足环评要求。</w:t>
      </w:r>
    </w:p>
    <w:p>
      <w:pPr>
        <w:keepNext w:val="0"/>
        <w:keepLines w:val="0"/>
        <w:pageBreakBefore w:val="0"/>
        <w:widowControl w:val="0"/>
        <w:kinsoku/>
        <w:wordWrap/>
        <w:overflowPunct/>
        <w:topLinePunct w:val="0"/>
        <w:autoSpaceDE/>
        <w:autoSpaceDN/>
        <w:bidi w:val="0"/>
        <w:adjustRightInd/>
        <w:snapToGrid/>
        <w:textAlignment w:val="auto"/>
        <w:outlineLvl w:val="2"/>
        <w:rPr>
          <w:rFonts w:hint="eastAsia" w:ascii="Times New Roman" w:hAnsi="Times New Roman" w:eastAsia="宋体" w:cs="Times New Roman"/>
          <w:color w:val="auto"/>
          <w:highlight w:val="none"/>
          <w:lang w:val="en-US" w:eastAsia="zh-CN"/>
        </w:rPr>
      </w:pPr>
      <w:r>
        <w:rPr>
          <w:rFonts w:hint="eastAsia" w:ascii="Times New Roman" w:hAnsi="Times New Roman" w:eastAsia="宋体" w:cs="Times New Roman"/>
          <w:color w:val="auto"/>
          <w:highlight w:val="none"/>
          <w:lang w:val="en-US" w:eastAsia="zh-CN"/>
        </w:rPr>
        <w:t>9.2.7总量控制污染物排放情况</w:t>
      </w:r>
      <w:bookmarkEnd w:id="117"/>
      <w:bookmarkEnd w:id="118"/>
    </w:p>
    <w:p>
      <w:pPr>
        <w:rPr>
          <w:rFonts w:hint="eastAsia"/>
          <w:highlight w:val="none"/>
          <w:lang w:val="en-US" w:eastAsia="zh-CN"/>
        </w:rPr>
      </w:pPr>
      <w:r>
        <w:rPr>
          <w:rFonts w:hint="eastAsia"/>
          <w:highlight w:val="none"/>
          <w:lang w:val="en-US" w:eastAsia="zh-CN"/>
        </w:rPr>
        <w:t>根据烟气专项验收监测结果，核算出本项目总量控制污染物排放总量如下表所示。</w:t>
      </w:r>
    </w:p>
    <w:p>
      <w:pPr>
        <w:keepNext w:val="0"/>
        <w:keepLines w:val="0"/>
        <w:pageBreakBefore w:val="0"/>
        <w:widowControl w:val="0"/>
        <w:tabs>
          <w:tab w:val="left" w:pos="1755"/>
        </w:tabs>
        <w:kinsoku/>
        <w:wordWrap/>
        <w:overflowPunct/>
        <w:topLinePunct w:val="0"/>
        <w:autoSpaceDE/>
        <w:autoSpaceDN/>
        <w:bidi w:val="0"/>
        <w:adjustRightInd/>
        <w:snapToGrid w:val="0"/>
        <w:spacing w:line="360" w:lineRule="auto"/>
        <w:ind w:firstLine="0" w:firstLineChars="0"/>
        <w:jc w:val="center"/>
        <w:textAlignment w:val="auto"/>
        <w:outlineLvl w:val="9"/>
        <w:rPr>
          <w:rFonts w:hint="eastAsia" w:ascii="黑体" w:hAnsi="黑体" w:eastAsia="黑体" w:cs="黑体"/>
          <w:b w:val="0"/>
          <w:bCs w:val="0"/>
          <w:highlight w:val="none"/>
          <w:lang w:val="en-US" w:eastAsia="zh-CN"/>
        </w:rPr>
      </w:pPr>
      <w:r>
        <w:rPr>
          <w:rFonts w:hint="eastAsia" w:ascii="黑体" w:hAnsi="黑体" w:eastAsia="黑体" w:cs="黑体"/>
          <w:b w:val="0"/>
          <w:bCs w:val="0"/>
          <w:sz w:val="21"/>
          <w:szCs w:val="21"/>
          <w:highlight w:val="none"/>
          <w:lang w:val="en-US" w:eastAsia="zh-CN"/>
        </w:rPr>
        <w:t>表9-7本项目污染物排放总量核算一览表单位：t/a</w:t>
      </w:r>
    </w:p>
    <w:tbl>
      <w:tblPr>
        <w:tblStyle w:val="24"/>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23"/>
        <w:gridCol w:w="1936"/>
        <w:gridCol w:w="2267"/>
        <w:gridCol w:w="23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jc w:val="center"/>
        </w:trPr>
        <w:tc>
          <w:tcPr>
            <w:tcW w:w="1128"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污染物</w:t>
            </w:r>
          </w:p>
        </w:tc>
        <w:tc>
          <w:tcPr>
            <w:tcW w:w="1136"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SO</w:t>
            </w:r>
            <w:r>
              <w:rPr>
                <w:rFonts w:hint="default" w:ascii="Times New Roman" w:hAnsi="Times New Roman" w:eastAsia="宋体" w:cs="Times New Roman"/>
                <w:sz w:val="21"/>
                <w:szCs w:val="21"/>
                <w:highlight w:val="none"/>
                <w:vertAlign w:val="subscript"/>
                <w:lang w:val="en-US" w:eastAsia="zh-CN"/>
              </w:rPr>
              <w:t>2</w:t>
            </w:r>
          </w:p>
        </w:tc>
        <w:tc>
          <w:tcPr>
            <w:tcW w:w="1330"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NO</w:t>
            </w:r>
            <w:r>
              <w:rPr>
                <w:rFonts w:hint="default" w:ascii="Times New Roman" w:hAnsi="Times New Roman" w:eastAsia="宋体" w:cs="Times New Roman"/>
                <w:sz w:val="21"/>
                <w:szCs w:val="21"/>
                <w:highlight w:val="none"/>
                <w:vertAlign w:val="subscript"/>
                <w:lang w:val="en-US" w:eastAsia="zh-CN"/>
              </w:rPr>
              <w:t>X</w:t>
            </w:r>
          </w:p>
        </w:tc>
        <w:tc>
          <w:tcPr>
            <w:tcW w:w="1404"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烟尘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28"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实测值</w:t>
            </w:r>
          </w:p>
        </w:tc>
        <w:tc>
          <w:tcPr>
            <w:tcW w:w="1136"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118</w:t>
            </w:r>
          </w:p>
        </w:tc>
        <w:tc>
          <w:tcPr>
            <w:tcW w:w="13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default" w:ascii="Times New Roman" w:hAnsi="Times New Roman" w:eastAsia="宋体" w:cs="Times New Roman"/>
                <w:i w:val="0"/>
                <w:iCs w:val="0"/>
                <w:color w:val="000000"/>
                <w:kern w:val="2"/>
                <w:sz w:val="21"/>
                <w:szCs w:val="21"/>
                <w:highlight w:val="none"/>
                <w:u w:val="none"/>
                <w:lang w:val="en-US" w:eastAsia="zh-CN" w:bidi="ar-SA"/>
              </w:rPr>
              <w:t>276</w:t>
            </w:r>
          </w:p>
        </w:tc>
        <w:tc>
          <w:tcPr>
            <w:tcW w:w="1404"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i w:val="0"/>
                <w:iCs w:val="0"/>
                <w:color w:val="000000"/>
                <w:kern w:val="0"/>
                <w:sz w:val="21"/>
                <w:szCs w:val="21"/>
                <w:highlight w:val="none"/>
                <w:u w:val="none"/>
                <w:lang w:val="en-US" w:eastAsia="zh-CN" w:bidi="ar"/>
              </w:rPr>
              <w:t>69.0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1128"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总量控制指标</w:t>
            </w:r>
          </w:p>
        </w:tc>
        <w:tc>
          <w:tcPr>
            <w:tcW w:w="1136"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2599</w:t>
            </w:r>
          </w:p>
        </w:tc>
        <w:tc>
          <w:tcPr>
            <w:tcW w:w="1330" w:type="pct"/>
            <w:tcBorders>
              <w:tl2br w:val="nil"/>
              <w:tr2bl w:val="nil"/>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2599</w:t>
            </w:r>
          </w:p>
        </w:tc>
        <w:tc>
          <w:tcPr>
            <w:tcW w:w="1404" w:type="pct"/>
            <w:tcBorders>
              <w:tl2br w:val="nil"/>
              <w:tr2bl w:val="nil"/>
            </w:tcBorders>
            <w:noWrap w:val="0"/>
            <w:vAlign w:val="center"/>
          </w:tcPr>
          <w:p>
            <w:pPr>
              <w:pStyle w:val="22"/>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260</w:t>
            </w:r>
          </w:p>
        </w:tc>
      </w:tr>
    </w:tbl>
    <w:p>
      <w:pPr>
        <w:keepNext w:val="0"/>
        <w:keepLines w:val="0"/>
        <w:pageBreakBefore w:val="0"/>
        <w:widowControl w:val="0"/>
        <w:kinsoku/>
        <w:wordWrap/>
        <w:overflowPunct/>
        <w:topLinePunct w:val="0"/>
        <w:autoSpaceDE/>
        <w:autoSpaceDN/>
        <w:bidi w:val="0"/>
        <w:adjustRightInd/>
        <w:snapToGrid/>
        <w:textAlignment w:val="auto"/>
        <w:outlineLvl w:val="9"/>
        <w:rPr>
          <w:rFonts w:hint="eastAsia"/>
          <w:highlight w:val="none"/>
          <w:lang w:val="en-US" w:eastAsia="zh-CN"/>
        </w:rPr>
      </w:pPr>
      <w:r>
        <w:rPr>
          <w:rFonts w:hint="eastAsia"/>
          <w:highlight w:val="none"/>
          <w:lang w:val="en-US" w:eastAsia="zh-CN"/>
        </w:rPr>
        <w:t>由上表可知，本项目主要污染物排放总量满足本项目总量控制指标要求。</w:t>
      </w:r>
    </w:p>
    <w:p>
      <w:pPr>
        <w:keepNext w:val="0"/>
        <w:keepLines w:val="0"/>
        <w:pageBreakBefore w:val="0"/>
        <w:widowControl w:val="0"/>
        <w:kinsoku/>
        <w:wordWrap/>
        <w:overflowPunct/>
        <w:topLinePunct w:val="0"/>
        <w:autoSpaceDE/>
        <w:autoSpaceDN/>
        <w:bidi w:val="0"/>
        <w:adjustRightInd/>
        <w:snapToGrid/>
        <w:textAlignment w:val="auto"/>
        <w:outlineLvl w:val="2"/>
        <w:rPr>
          <w:rFonts w:hint="eastAsia" w:ascii="Times New Roman" w:hAnsi="Times New Roman" w:eastAsia="宋体" w:cs="Times New Roman"/>
          <w:color w:val="auto"/>
          <w:highlight w:val="none"/>
          <w:lang w:val="en-US" w:eastAsia="zh-CN"/>
        </w:rPr>
      </w:pPr>
      <w:bookmarkStart w:id="119" w:name="_Toc19318"/>
      <w:r>
        <w:rPr>
          <w:rFonts w:hint="eastAsia" w:ascii="Times New Roman" w:hAnsi="Times New Roman" w:eastAsia="宋体" w:cs="Times New Roman"/>
          <w:color w:val="auto"/>
          <w:highlight w:val="none"/>
          <w:lang w:val="en-US" w:eastAsia="zh-CN"/>
        </w:rPr>
        <w:t>9.2.8无组织废气监测</w:t>
      </w:r>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highlight w:val="none"/>
          <w:lang w:val="en-US" w:eastAsia="zh-CN"/>
        </w:rPr>
      </w:pPr>
      <w:r>
        <w:rPr>
          <w:rFonts w:hint="eastAsia" w:ascii="黑体" w:hAnsi="黑体" w:eastAsia="黑体" w:cs="黑体"/>
          <w:color w:val="auto"/>
          <w:sz w:val="21"/>
          <w:szCs w:val="21"/>
          <w:highlight w:val="none"/>
          <w:lang w:val="en-US" w:eastAsia="zh-CN"/>
        </w:rPr>
        <w:t>表9-8无组织废气检测结果一览表</w:t>
      </w:r>
    </w:p>
    <w:tbl>
      <w:tblPr>
        <w:tblStyle w:val="2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4"/>
        <w:gridCol w:w="1471"/>
        <w:gridCol w:w="978"/>
        <w:gridCol w:w="1253"/>
        <w:gridCol w:w="1217"/>
        <w:gridCol w:w="1220"/>
        <w:gridCol w:w="12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0" w:hRule="atLeast"/>
        </w:trPr>
        <w:tc>
          <w:tcPr>
            <w:tcW w:w="671"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eastAsia="宋体" w:cs="Times New Roman"/>
                <w:sz w:val="21"/>
                <w:szCs w:val="21"/>
                <w:highlight w:val="none"/>
                <w:vertAlign w:val="baseline"/>
                <w:lang w:eastAsia="zh-CN"/>
              </w:rPr>
              <w:t>采样日期</w:t>
            </w:r>
          </w:p>
        </w:tc>
        <w:tc>
          <w:tcPr>
            <w:tcW w:w="1437" w:type="pct"/>
            <w:gridSpan w:val="2"/>
            <w:vAlign w:val="center"/>
            <mc:AlternateContent>
              <mc:Choice Requires="wpsCustomData">
                <wpsCustomData:diagonals>
                  <wpsCustomData:diagonal from="10000" to="30000">
                    <wpsCustomData:border w:val="single" w:color="auto" w:sz="4" w:space="0"/>
                  </wpsCustomData:diagonal>
                </wpsCustomData:diagonals>
              </mc:Choice>
            </mc:AlternateContent>
          </w:tcPr>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p>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mc:AlternateContent>
                <mc:Choice Requires="wpsCustomData">
                  <wpsCustomData:diagonalParaType/>
                </mc:Choice>
              </mc:AlternateContent>
              <w:rPr>
                <w:rFonts w:hint="default" w:ascii="Times New Roman" w:hAnsi="Times New Roman" w:eastAsia="宋体" w:cs="Times New Roman"/>
                <w:sz w:val="21"/>
                <w:szCs w:val="21"/>
                <w:highlight w:val="none"/>
                <w:vertAlign w:val="baseline"/>
                <w:lang w:eastAsia="zh-CN"/>
              </w:rPr>
            </w:pPr>
            <w:r>
              <w:rPr>
                <w:rFonts w:hint="default" w:ascii="Times New Roman" w:hAnsi="Times New Roman" w:eastAsia="宋体" w:cs="Times New Roman"/>
                <w:sz w:val="21"/>
                <w:szCs w:val="21"/>
                <w:highlight w:val="none"/>
                <w:vertAlign w:val="baseline"/>
                <w:lang w:eastAsia="zh-CN"/>
              </w:rPr>
              <w:t>检测项目及</w:t>
            </w:r>
            <w:r>
              <w:rPr>
                <w:rFonts w:hint="default" w:ascii="Times New Roman" w:hAnsi="Times New Roman" w:eastAsia="宋体" w:cs="Times New Roman"/>
                <w:sz w:val="21"/>
                <w:szCs w:val="21"/>
                <w:highlight w:val="none"/>
                <w:vertAlign w:val="baseline"/>
                <w:lang w:val="en-US" w:eastAsia="zh-CN"/>
              </w:rPr>
              <w:t>频次</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eastAsia="宋体" w:cs="Times New Roman"/>
                <w:sz w:val="21"/>
                <w:szCs w:val="21"/>
                <w:highlight w:val="none"/>
                <w:vertAlign w:val="baseline"/>
                <w:lang w:eastAsia="zh-CN"/>
              </w:rPr>
              <w:t>检测点位</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eastAsia="宋体" w:cs="Times New Roman"/>
                <w:sz w:val="21"/>
                <w:szCs w:val="21"/>
                <w:highlight w:val="none"/>
                <w:vertAlign w:val="baseline"/>
                <w:lang w:eastAsia="zh-CN"/>
              </w:rPr>
              <w:t>及结果</w:t>
            </w:r>
          </w:p>
        </w:tc>
        <w:tc>
          <w:tcPr>
            <w:tcW w:w="73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上风向G1</w:t>
            </w:r>
          </w:p>
        </w:tc>
        <w:tc>
          <w:tcPr>
            <w:tcW w:w="71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下风向G2</w:t>
            </w:r>
          </w:p>
        </w:tc>
        <w:tc>
          <w:tcPr>
            <w:tcW w:w="716"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下风向G3</w:t>
            </w:r>
          </w:p>
        </w:tc>
        <w:tc>
          <w:tcPr>
            <w:tcW w:w="725"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202</w:t>
            </w:r>
            <w:r>
              <w:rPr>
                <w:rFonts w:hint="eastAsia" w:cs="Times New Roman"/>
                <w:sz w:val="21"/>
                <w:szCs w:val="21"/>
                <w:highlight w:val="none"/>
                <w:vertAlign w:val="baseline"/>
                <w:lang w:val="en-US" w:eastAsia="zh-CN"/>
              </w:rPr>
              <w:t>2-8-18</w:t>
            </w:r>
          </w:p>
        </w:tc>
        <w:tc>
          <w:tcPr>
            <w:tcW w:w="86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颗粒物</w:t>
            </w:r>
            <w:r>
              <w:rPr>
                <w:rFonts w:hint="eastAsia" w:ascii="Times New Roman" w:hAnsi="Times New Roman" w:eastAsia="宋体" w:cs="Times New Roman"/>
                <w:sz w:val="21"/>
                <w:szCs w:val="21"/>
                <w:highlight w:val="none"/>
                <w:vertAlign w:val="baseline"/>
                <w:lang w:val="en-US" w:eastAsia="zh-CN"/>
              </w:rPr>
              <w:t>（mg/m</w:t>
            </w:r>
            <w:r>
              <w:rPr>
                <w:rFonts w:hint="eastAsia" w:ascii="Times New Roman" w:hAnsi="Times New Roman" w:eastAsia="宋体" w:cs="Times New Roman"/>
                <w:sz w:val="21"/>
                <w:szCs w:val="21"/>
                <w:highlight w:val="none"/>
                <w:vertAlign w:val="superscript"/>
                <w:lang w:val="en-US" w:eastAsia="zh-CN"/>
              </w:rPr>
              <w:t>3</w:t>
            </w:r>
            <w:r>
              <w:rPr>
                <w:rFonts w:hint="eastAsia" w:ascii="Times New Roman" w:hAnsi="Times New Roman" w:eastAsia="宋体" w:cs="Times New Roman"/>
                <w:sz w:val="21"/>
                <w:szCs w:val="21"/>
                <w:highlight w:val="none"/>
                <w:vertAlign w:val="baseline"/>
                <w:lang w:val="en-US" w:eastAsia="zh-CN"/>
              </w:rPr>
              <w:t>）</w:t>
            </w: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第一次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0.098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0.105</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0.185</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0.173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第二次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0.092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0.122</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0.166</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第三次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0.085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0.128</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0.175</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第四次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0.095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0.117</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0.185</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eastAsia="宋体" w:cs="Times New Roman"/>
                <w:sz w:val="21"/>
                <w:szCs w:val="21"/>
                <w:highlight w:val="none"/>
                <w:vertAlign w:val="baseline"/>
                <w:lang w:val="en-US" w:eastAsia="zh-CN"/>
              </w:rPr>
              <w:t>202</w:t>
            </w:r>
            <w:r>
              <w:rPr>
                <w:rFonts w:hint="eastAsia" w:cs="Times New Roman"/>
                <w:sz w:val="21"/>
                <w:szCs w:val="21"/>
                <w:highlight w:val="none"/>
                <w:vertAlign w:val="baseline"/>
                <w:lang w:val="en-US" w:eastAsia="zh-CN"/>
              </w:rPr>
              <w:t>2-8-19</w:t>
            </w:r>
          </w:p>
        </w:tc>
        <w:tc>
          <w:tcPr>
            <w:tcW w:w="863" w:type="pct"/>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颗粒物</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eastAsia="宋体" w:cs="Times New Roman"/>
                <w:sz w:val="21"/>
                <w:szCs w:val="21"/>
                <w:highlight w:val="none"/>
                <w:vertAlign w:val="baseline"/>
                <w:lang w:val="en-US" w:eastAsia="zh-CN"/>
              </w:rPr>
              <w:t>（mg/m</w:t>
            </w:r>
            <w:r>
              <w:rPr>
                <w:rFonts w:hint="eastAsia" w:ascii="Times New Roman" w:hAnsi="Times New Roman" w:eastAsia="宋体" w:cs="Times New Roman"/>
                <w:sz w:val="21"/>
                <w:szCs w:val="21"/>
                <w:highlight w:val="none"/>
                <w:vertAlign w:val="superscript"/>
                <w:lang w:val="en-US" w:eastAsia="zh-CN"/>
              </w:rPr>
              <w:t>3</w:t>
            </w:r>
            <w:r>
              <w:rPr>
                <w:rFonts w:hint="eastAsia" w:ascii="Times New Roman" w:hAnsi="Times New Roman" w:eastAsia="宋体" w:cs="Times New Roman"/>
                <w:sz w:val="21"/>
                <w:szCs w:val="21"/>
                <w:highlight w:val="none"/>
                <w:vertAlign w:val="baseline"/>
                <w:lang w:val="en-US" w:eastAsia="zh-CN"/>
              </w:rPr>
              <w:t>）</w:t>
            </w: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第一次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0.128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0.145</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0.213</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第二次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0.105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0.153</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0.202</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第三次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0.108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0.158</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0.218</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671"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863" w:type="pct"/>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eastAsia="zh-CN"/>
              </w:rPr>
            </w:pPr>
          </w:p>
        </w:tc>
        <w:tc>
          <w:tcPr>
            <w:tcW w:w="574" w:type="pct"/>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highlight w:val="none"/>
                <w:vertAlign w:val="baseline"/>
                <w:lang w:val="en-US" w:eastAsia="zh-CN" w:bidi="ar-SA"/>
              </w:rPr>
            </w:pPr>
            <w:r>
              <w:rPr>
                <w:rFonts w:hint="default" w:ascii="Times New Roman" w:hAnsi="Times New Roman" w:eastAsia="宋体" w:cs="Times New Roman"/>
                <w:sz w:val="21"/>
                <w:szCs w:val="21"/>
                <w:highlight w:val="none"/>
                <w:vertAlign w:val="baseline"/>
                <w:lang w:val="en-US" w:eastAsia="zh-CN"/>
              </w:rPr>
              <w:t>第四次</w:t>
            </w:r>
          </w:p>
        </w:tc>
        <w:tc>
          <w:tcPr>
            <w:tcW w:w="125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0.117</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0.168</w:t>
            </w:r>
          </w:p>
        </w:tc>
        <w:tc>
          <w:tcPr>
            <w:tcW w:w="122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0.207</w:t>
            </w:r>
          </w:p>
        </w:tc>
        <w:tc>
          <w:tcPr>
            <w:tcW w:w="1236"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outlineLvl w:val="9"/>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bCs/>
                <w:color w:val="auto"/>
                <w:kern w:val="0"/>
                <w:sz w:val="21"/>
                <w:szCs w:val="21"/>
                <w:highlight w:val="none"/>
                <w:vertAlign w:val="baseline"/>
                <w:lang w:val="en-US" w:eastAsia="zh-CN" w:bidi="ar-SA"/>
              </w:rPr>
              <w:t>0.235</w:t>
            </w:r>
          </w:p>
        </w:tc>
      </w:tr>
    </w:tbl>
    <w:p>
      <w:pPr>
        <w:pStyle w:val="8"/>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color w:val="auto"/>
          <w:sz w:val="24"/>
          <w:szCs w:val="24"/>
          <w:highlight w:val="none"/>
          <w:lang w:eastAsia="zh-CN"/>
        </w:rPr>
      </w:pPr>
      <w:r>
        <w:rPr>
          <w:rFonts w:hint="eastAsia"/>
          <w:color w:val="auto"/>
          <w:sz w:val="24"/>
          <w:szCs w:val="24"/>
          <w:highlight w:val="none"/>
          <w:lang w:eastAsia="zh-CN"/>
        </w:rPr>
        <w:t>监测结果表明：验收监测期间，本项目颗粒物的无组织排放最大监控浓度为0.</w:t>
      </w:r>
      <w:r>
        <w:rPr>
          <w:rFonts w:hint="eastAsia"/>
          <w:color w:val="auto"/>
          <w:sz w:val="24"/>
          <w:szCs w:val="24"/>
          <w:highlight w:val="none"/>
          <w:lang w:val="en-US" w:eastAsia="zh-CN"/>
        </w:rPr>
        <w:t>238</w:t>
      </w:r>
      <w:r>
        <w:rPr>
          <w:rFonts w:hint="eastAsia"/>
          <w:color w:val="auto"/>
          <w:sz w:val="24"/>
          <w:szCs w:val="24"/>
          <w:highlight w:val="none"/>
          <w:lang w:eastAsia="zh-CN"/>
        </w:rPr>
        <w:t>mg/m</w:t>
      </w:r>
      <w:r>
        <w:rPr>
          <w:rFonts w:hint="eastAsia"/>
          <w:color w:val="auto"/>
          <w:sz w:val="24"/>
          <w:szCs w:val="24"/>
          <w:highlight w:val="none"/>
          <w:vertAlign w:val="superscript"/>
          <w:lang w:eastAsia="zh-CN"/>
        </w:rPr>
        <w:t>3</w:t>
      </w:r>
      <w:r>
        <w:rPr>
          <w:rFonts w:hint="eastAsia"/>
          <w:color w:val="auto"/>
          <w:sz w:val="24"/>
          <w:szCs w:val="24"/>
          <w:highlight w:val="none"/>
          <w:lang w:eastAsia="zh-CN"/>
        </w:rPr>
        <w:t>，符合《大气污染物综合排放标准》（GB16297-1996）表2中限值要求。</w:t>
      </w:r>
    </w:p>
    <w:bookmarkEnd w:id="119"/>
    <w:p>
      <w:pPr>
        <w:rPr>
          <w:rFonts w:hint="eastAsia" w:cs="Times New Roman"/>
          <w:color w:val="auto"/>
          <w:highlight w:val="none"/>
          <w:lang w:val="en-US" w:eastAsia="zh-CN"/>
        </w:rPr>
      </w:pPr>
      <w:bookmarkStart w:id="120" w:name="_Toc8233"/>
      <w:r>
        <w:rPr>
          <w:rFonts w:hint="eastAsia" w:cs="Times New Roman"/>
          <w:color w:val="auto"/>
          <w:highlight w:val="none"/>
          <w:lang w:val="en-US" w:eastAsia="zh-CN"/>
        </w:rPr>
        <w:br w:type="page"/>
      </w:r>
    </w:p>
    <w:p>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120" w:line="360" w:lineRule="auto"/>
        <w:ind w:left="157" w:leftChars="0"/>
        <w:jc w:val="center"/>
        <w:textAlignment w:val="auto"/>
        <w:rPr>
          <w:rFonts w:hint="eastAsia" w:cs="Times New Roman"/>
          <w:color w:val="auto"/>
          <w:highlight w:val="none"/>
          <w:lang w:val="en-US" w:eastAsia="zh-CN"/>
        </w:rPr>
      </w:pPr>
      <w:bookmarkStart w:id="121" w:name="_Toc1452"/>
      <w:r>
        <w:rPr>
          <w:rFonts w:hint="eastAsia" w:cs="Times New Roman"/>
          <w:color w:val="auto"/>
          <w:highlight w:val="none"/>
          <w:lang w:val="en-US" w:eastAsia="zh-CN"/>
        </w:rPr>
        <w:t>十、公众意见调查结果</w:t>
      </w:r>
      <w:bookmarkEnd w:id="121"/>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highlight w:val="none"/>
          <w:lang w:val="en-US" w:eastAsia="zh-CN"/>
        </w:rPr>
      </w:pPr>
      <w:bookmarkStart w:id="122" w:name="_Toc6408"/>
      <w:r>
        <w:rPr>
          <w:rFonts w:hint="eastAsia"/>
          <w:color w:val="auto"/>
          <w:highlight w:val="none"/>
          <w:lang w:val="en-US" w:eastAsia="zh-CN"/>
        </w:rPr>
        <w:t>10.1环评信息公示过程及公示结果</w:t>
      </w:r>
      <w:bookmarkEnd w:id="122"/>
    </w:p>
    <w:p>
      <w:pPr>
        <w:pStyle w:val="8"/>
        <w:keepNext w:val="0"/>
        <w:keepLines w:val="0"/>
        <w:pageBreakBefore w:val="0"/>
        <w:widowControl w:val="0"/>
        <w:kinsoku/>
        <w:wordWrap/>
        <w:overflowPunct/>
        <w:topLinePunct w:val="0"/>
        <w:autoSpaceDE/>
        <w:autoSpaceDN/>
        <w:bidi w:val="0"/>
        <w:adjustRightInd/>
        <w:snapToGrid/>
        <w:spacing w:after="0"/>
        <w:ind w:firstLine="0" w:firstLineChars="0"/>
        <w:jc w:val="center"/>
        <w:textAlignment w:val="auto"/>
        <w:rPr>
          <w:rFonts w:hint="eastAsia" w:ascii="黑体" w:hAnsi="黑体" w:eastAsia="黑体" w:cs="黑体"/>
          <w:sz w:val="21"/>
          <w:szCs w:val="21"/>
          <w:lang w:val="en-US" w:eastAsia="zh-CN"/>
        </w:rPr>
      </w:pPr>
      <w:r>
        <w:rPr>
          <w:rFonts w:hint="eastAsia" w:ascii="黑体" w:hAnsi="黑体" w:eastAsia="黑体" w:cs="黑体"/>
          <w:sz w:val="21"/>
          <w:szCs w:val="21"/>
          <w:lang w:val="en-US" w:eastAsia="zh-CN"/>
        </w:rPr>
        <w:t>10-1环评信息公开情况一览表</w:t>
      </w:r>
    </w:p>
    <w:tbl>
      <w:tblPr>
        <w:tblStyle w:val="24"/>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16"/>
        <w:gridCol w:w="3007"/>
        <w:gridCol w:w="2221"/>
        <w:gridCol w:w="2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96"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序号</w:t>
            </w:r>
          </w:p>
        </w:tc>
        <w:tc>
          <w:tcPr>
            <w:tcW w:w="17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公示阶段</w:t>
            </w:r>
          </w:p>
        </w:tc>
        <w:tc>
          <w:tcPr>
            <w:tcW w:w="13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发布时间</w:t>
            </w:r>
          </w:p>
        </w:tc>
        <w:tc>
          <w:tcPr>
            <w:tcW w:w="133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发布载体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96"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1</w:t>
            </w:r>
          </w:p>
        </w:tc>
        <w:tc>
          <w:tcPr>
            <w:tcW w:w="17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第一次环评信息公示</w:t>
            </w:r>
          </w:p>
        </w:tc>
        <w:tc>
          <w:tcPr>
            <w:tcW w:w="13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2015</w:t>
            </w:r>
            <w:r>
              <w:rPr>
                <w:rFonts w:hint="eastAsia" w:ascii="宋体" w:hAnsi="宋体" w:eastAsia="宋体" w:cs="宋体"/>
                <w:color w:val="000000"/>
                <w:kern w:val="0"/>
                <w:sz w:val="21"/>
                <w:szCs w:val="21"/>
                <w:highlight w:val="none"/>
                <w:lang w:val="en-US" w:eastAsia="zh-CN" w:bidi="ar"/>
              </w:rPr>
              <w:t>年</w:t>
            </w:r>
            <w:r>
              <w:rPr>
                <w:rFonts w:hint="default" w:ascii="Times New Roman" w:hAnsi="Times New Roman" w:eastAsia="宋体" w:cs="Times New Roman"/>
                <w:color w:val="000000"/>
                <w:kern w:val="0"/>
                <w:sz w:val="21"/>
                <w:szCs w:val="21"/>
                <w:highlight w:val="none"/>
                <w:lang w:val="en-US" w:eastAsia="zh-CN" w:bidi="ar"/>
              </w:rPr>
              <w:t>10</w:t>
            </w:r>
            <w:r>
              <w:rPr>
                <w:rFonts w:hint="eastAsia" w:ascii="宋体" w:hAnsi="宋体" w:eastAsia="宋体" w:cs="宋体"/>
                <w:color w:val="000000"/>
                <w:kern w:val="0"/>
                <w:sz w:val="21"/>
                <w:szCs w:val="21"/>
                <w:highlight w:val="none"/>
                <w:lang w:val="en-US" w:eastAsia="zh-CN" w:bidi="ar"/>
              </w:rPr>
              <w:t>月</w:t>
            </w:r>
            <w:r>
              <w:rPr>
                <w:rFonts w:hint="default" w:ascii="Times New Roman" w:hAnsi="Times New Roman" w:eastAsia="宋体" w:cs="Times New Roman"/>
                <w:color w:val="000000"/>
                <w:kern w:val="0"/>
                <w:sz w:val="21"/>
                <w:szCs w:val="21"/>
                <w:highlight w:val="none"/>
                <w:lang w:val="en-US" w:eastAsia="zh-CN" w:bidi="ar"/>
              </w:rPr>
              <w:t>9</w:t>
            </w:r>
            <w:r>
              <w:rPr>
                <w:rFonts w:hint="eastAsia" w:ascii="宋体" w:hAnsi="宋体" w:eastAsia="宋体" w:cs="宋体"/>
                <w:color w:val="000000"/>
                <w:kern w:val="0"/>
                <w:sz w:val="21"/>
                <w:szCs w:val="21"/>
                <w:highlight w:val="none"/>
                <w:lang w:val="en-US" w:eastAsia="zh-CN" w:bidi="ar"/>
              </w:rPr>
              <w:t>日</w:t>
            </w:r>
          </w:p>
        </w:tc>
        <w:tc>
          <w:tcPr>
            <w:tcW w:w="133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淮北市环境保护局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96"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2</w:t>
            </w:r>
          </w:p>
        </w:tc>
        <w:tc>
          <w:tcPr>
            <w:tcW w:w="17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环评简本公示</w:t>
            </w:r>
          </w:p>
        </w:tc>
        <w:tc>
          <w:tcPr>
            <w:tcW w:w="13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2016</w:t>
            </w:r>
            <w:r>
              <w:rPr>
                <w:rFonts w:hint="eastAsia" w:ascii="宋体" w:hAnsi="宋体" w:eastAsia="宋体" w:cs="宋体"/>
                <w:color w:val="000000"/>
                <w:kern w:val="0"/>
                <w:sz w:val="21"/>
                <w:szCs w:val="21"/>
                <w:highlight w:val="none"/>
                <w:lang w:val="en-US" w:eastAsia="zh-CN" w:bidi="ar"/>
              </w:rPr>
              <w:t>年</w:t>
            </w:r>
            <w:r>
              <w:rPr>
                <w:rFonts w:hint="default" w:ascii="Times New Roman" w:hAnsi="Times New Roman" w:eastAsia="宋体" w:cs="Times New Roman"/>
                <w:color w:val="000000"/>
                <w:kern w:val="0"/>
                <w:sz w:val="21"/>
                <w:szCs w:val="21"/>
                <w:highlight w:val="none"/>
                <w:lang w:val="en-US" w:eastAsia="zh-CN" w:bidi="ar"/>
              </w:rPr>
              <w:t>10</w:t>
            </w:r>
            <w:r>
              <w:rPr>
                <w:rFonts w:hint="eastAsia" w:ascii="宋体" w:hAnsi="宋体" w:eastAsia="宋体" w:cs="宋体"/>
                <w:color w:val="000000"/>
                <w:kern w:val="0"/>
                <w:sz w:val="21"/>
                <w:szCs w:val="21"/>
                <w:highlight w:val="none"/>
                <w:lang w:val="en-US" w:eastAsia="zh-CN" w:bidi="ar"/>
              </w:rPr>
              <w:t>月</w:t>
            </w:r>
            <w:r>
              <w:rPr>
                <w:rFonts w:hint="default" w:ascii="Times New Roman" w:hAnsi="Times New Roman" w:eastAsia="宋体" w:cs="Times New Roman"/>
                <w:color w:val="000000"/>
                <w:kern w:val="0"/>
                <w:sz w:val="21"/>
                <w:szCs w:val="21"/>
                <w:highlight w:val="none"/>
                <w:lang w:val="en-US" w:eastAsia="zh-CN" w:bidi="ar"/>
              </w:rPr>
              <w:t>21</w:t>
            </w:r>
            <w:r>
              <w:rPr>
                <w:rFonts w:hint="eastAsia" w:ascii="宋体" w:hAnsi="宋体" w:eastAsia="宋体" w:cs="宋体"/>
                <w:color w:val="000000"/>
                <w:kern w:val="0"/>
                <w:sz w:val="21"/>
                <w:szCs w:val="21"/>
                <w:highlight w:val="none"/>
                <w:lang w:val="en-US" w:eastAsia="zh-CN" w:bidi="ar"/>
              </w:rPr>
              <w:t>日</w:t>
            </w:r>
          </w:p>
        </w:tc>
        <w:tc>
          <w:tcPr>
            <w:tcW w:w="133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淮北市环境保护局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96"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3</w:t>
            </w:r>
          </w:p>
        </w:tc>
        <w:tc>
          <w:tcPr>
            <w:tcW w:w="17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第二次环评信息公示</w:t>
            </w:r>
          </w:p>
        </w:tc>
        <w:tc>
          <w:tcPr>
            <w:tcW w:w="13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2016</w:t>
            </w:r>
            <w:r>
              <w:rPr>
                <w:rFonts w:hint="eastAsia" w:ascii="宋体" w:hAnsi="宋体" w:eastAsia="宋体" w:cs="宋体"/>
                <w:color w:val="000000"/>
                <w:kern w:val="0"/>
                <w:sz w:val="21"/>
                <w:szCs w:val="21"/>
                <w:highlight w:val="none"/>
                <w:lang w:val="en-US" w:eastAsia="zh-CN" w:bidi="ar"/>
              </w:rPr>
              <w:t>年</w:t>
            </w:r>
            <w:r>
              <w:rPr>
                <w:rFonts w:hint="default" w:ascii="Times New Roman" w:hAnsi="Times New Roman" w:eastAsia="宋体" w:cs="Times New Roman"/>
                <w:color w:val="000000"/>
                <w:kern w:val="0"/>
                <w:sz w:val="21"/>
                <w:szCs w:val="21"/>
                <w:highlight w:val="none"/>
                <w:lang w:val="en-US" w:eastAsia="zh-CN" w:bidi="ar"/>
              </w:rPr>
              <w:t>10</w:t>
            </w:r>
            <w:r>
              <w:rPr>
                <w:rFonts w:hint="eastAsia" w:ascii="宋体" w:hAnsi="宋体" w:eastAsia="宋体" w:cs="宋体"/>
                <w:color w:val="000000"/>
                <w:kern w:val="0"/>
                <w:sz w:val="21"/>
                <w:szCs w:val="21"/>
                <w:highlight w:val="none"/>
                <w:lang w:val="en-US" w:eastAsia="zh-CN" w:bidi="ar"/>
              </w:rPr>
              <w:t>月</w:t>
            </w:r>
            <w:r>
              <w:rPr>
                <w:rFonts w:hint="default" w:ascii="Times New Roman" w:hAnsi="Times New Roman" w:eastAsia="宋体" w:cs="Times New Roman"/>
                <w:color w:val="000000"/>
                <w:kern w:val="0"/>
                <w:sz w:val="21"/>
                <w:szCs w:val="21"/>
                <w:highlight w:val="none"/>
                <w:lang w:val="en-US" w:eastAsia="zh-CN" w:bidi="ar"/>
              </w:rPr>
              <w:t>21</w:t>
            </w:r>
            <w:r>
              <w:rPr>
                <w:rFonts w:hint="eastAsia" w:ascii="宋体" w:hAnsi="宋体" w:eastAsia="宋体" w:cs="宋体"/>
                <w:color w:val="000000"/>
                <w:kern w:val="0"/>
                <w:sz w:val="21"/>
                <w:szCs w:val="21"/>
                <w:highlight w:val="none"/>
                <w:lang w:val="en-US" w:eastAsia="zh-CN" w:bidi="ar"/>
              </w:rPr>
              <w:t>日</w:t>
            </w:r>
          </w:p>
        </w:tc>
        <w:tc>
          <w:tcPr>
            <w:tcW w:w="133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淮北市环境保护局</w:t>
            </w:r>
            <w:r>
              <w:rPr>
                <w:rFonts w:hint="eastAsia" w:ascii="宋体" w:hAnsi="宋体" w:cs="宋体"/>
                <w:color w:val="000000"/>
                <w:kern w:val="0"/>
                <w:sz w:val="21"/>
                <w:szCs w:val="21"/>
                <w:highlight w:val="none"/>
                <w:lang w:val="en-US" w:eastAsia="zh-CN" w:bidi="ar"/>
              </w:rPr>
              <w:t>、</w:t>
            </w:r>
            <w:r>
              <w:rPr>
                <w:rFonts w:hint="eastAsia" w:ascii="宋体" w:hAnsi="宋体" w:eastAsia="宋体" w:cs="宋体"/>
                <w:color w:val="000000"/>
                <w:kern w:val="0"/>
                <w:sz w:val="21"/>
                <w:szCs w:val="21"/>
                <w:highlight w:val="none"/>
                <w:lang w:val="en-US" w:eastAsia="zh-CN" w:bidi="ar"/>
              </w:rPr>
              <w:t>工程周边村庄张贴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596"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4</w:t>
            </w:r>
          </w:p>
        </w:tc>
        <w:tc>
          <w:tcPr>
            <w:tcW w:w="1764"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eastAsia" w:ascii="宋体" w:hAnsi="宋体" w:eastAsia="宋体" w:cs="宋体"/>
                <w:color w:val="000000"/>
                <w:kern w:val="0"/>
                <w:sz w:val="21"/>
                <w:szCs w:val="21"/>
                <w:highlight w:val="none"/>
                <w:lang w:val="en-US" w:eastAsia="zh-CN" w:bidi="ar"/>
              </w:rPr>
              <w:t>公众意见书面问卷调查</w:t>
            </w:r>
          </w:p>
        </w:tc>
        <w:tc>
          <w:tcPr>
            <w:tcW w:w="130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cs="Times New Roman"/>
                <w:color w:val="auto"/>
                <w:highlight w:val="none"/>
                <w:vertAlign w:val="baseline"/>
                <w:lang w:val="en-US" w:eastAsia="zh-CN"/>
              </w:rPr>
            </w:pPr>
            <w:r>
              <w:rPr>
                <w:rFonts w:hint="default" w:ascii="Times New Roman" w:hAnsi="Times New Roman" w:eastAsia="宋体" w:cs="Times New Roman"/>
                <w:color w:val="000000"/>
                <w:kern w:val="0"/>
                <w:sz w:val="21"/>
                <w:szCs w:val="21"/>
                <w:highlight w:val="none"/>
                <w:lang w:val="en-US" w:eastAsia="zh-CN" w:bidi="ar"/>
              </w:rPr>
              <w:t>2016</w:t>
            </w:r>
            <w:r>
              <w:rPr>
                <w:rFonts w:hint="eastAsia" w:ascii="宋体" w:hAnsi="宋体" w:eastAsia="宋体" w:cs="宋体"/>
                <w:color w:val="000000"/>
                <w:kern w:val="0"/>
                <w:sz w:val="21"/>
                <w:szCs w:val="21"/>
                <w:highlight w:val="none"/>
                <w:lang w:val="en-US" w:eastAsia="zh-CN" w:bidi="ar"/>
              </w:rPr>
              <w:t>年</w:t>
            </w:r>
            <w:r>
              <w:rPr>
                <w:rFonts w:hint="default" w:ascii="Times New Roman" w:hAnsi="Times New Roman" w:eastAsia="宋体" w:cs="Times New Roman"/>
                <w:color w:val="000000"/>
                <w:kern w:val="0"/>
                <w:sz w:val="21"/>
                <w:szCs w:val="21"/>
                <w:highlight w:val="none"/>
                <w:lang w:val="en-US" w:eastAsia="zh-CN" w:bidi="ar"/>
              </w:rPr>
              <w:t>10</w:t>
            </w:r>
            <w:r>
              <w:rPr>
                <w:rFonts w:hint="eastAsia" w:ascii="宋体" w:hAnsi="宋体" w:eastAsia="宋体" w:cs="宋体"/>
                <w:color w:val="000000"/>
                <w:kern w:val="0"/>
                <w:sz w:val="21"/>
                <w:szCs w:val="21"/>
                <w:highlight w:val="none"/>
                <w:lang w:val="en-US" w:eastAsia="zh-CN" w:bidi="ar"/>
              </w:rPr>
              <w:t>月</w:t>
            </w:r>
            <w:r>
              <w:rPr>
                <w:rFonts w:hint="default" w:ascii="Times New Roman" w:hAnsi="Times New Roman" w:eastAsia="宋体" w:cs="Times New Roman"/>
                <w:color w:val="000000"/>
                <w:kern w:val="0"/>
                <w:sz w:val="21"/>
                <w:szCs w:val="21"/>
                <w:highlight w:val="none"/>
                <w:lang w:val="en-US" w:eastAsia="zh-CN" w:bidi="ar"/>
              </w:rPr>
              <w:t>22</w:t>
            </w:r>
            <w:r>
              <w:rPr>
                <w:rFonts w:hint="eastAsia" w:ascii="宋体" w:hAnsi="宋体" w:eastAsia="宋体" w:cs="宋体"/>
                <w:color w:val="000000"/>
                <w:kern w:val="0"/>
                <w:sz w:val="21"/>
                <w:szCs w:val="21"/>
                <w:highlight w:val="none"/>
                <w:lang w:val="en-US" w:eastAsia="zh-CN" w:bidi="ar"/>
              </w:rPr>
              <w:t>日</w:t>
            </w:r>
            <w:r>
              <w:rPr>
                <w:rFonts w:hint="default" w:ascii="Times New Roman" w:hAnsi="Times New Roman" w:eastAsia="宋体" w:cs="Times New Roman"/>
                <w:color w:val="000000"/>
                <w:kern w:val="0"/>
                <w:sz w:val="21"/>
                <w:szCs w:val="21"/>
                <w:highlight w:val="none"/>
                <w:lang w:val="en-US" w:eastAsia="zh-CN" w:bidi="ar"/>
              </w:rPr>
              <w:t>~10</w:t>
            </w:r>
            <w:r>
              <w:rPr>
                <w:rFonts w:hint="eastAsia" w:ascii="宋体" w:hAnsi="宋体" w:eastAsia="宋体" w:cs="宋体"/>
                <w:color w:val="000000"/>
                <w:kern w:val="0"/>
                <w:sz w:val="21"/>
                <w:szCs w:val="21"/>
                <w:highlight w:val="none"/>
                <w:lang w:val="en-US" w:eastAsia="zh-CN" w:bidi="ar"/>
              </w:rPr>
              <w:t>月</w:t>
            </w:r>
            <w:r>
              <w:rPr>
                <w:rFonts w:hint="default" w:ascii="Times New Roman" w:hAnsi="Times New Roman" w:eastAsia="宋体" w:cs="Times New Roman"/>
                <w:color w:val="000000"/>
                <w:kern w:val="0"/>
                <w:sz w:val="21"/>
                <w:szCs w:val="21"/>
                <w:highlight w:val="none"/>
                <w:lang w:val="en-US" w:eastAsia="zh-CN" w:bidi="ar"/>
              </w:rPr>
              <w:t>31</w:t>
            </w:r>
            <w:r>
              <w:rPr>
                <w:rFonts w:hint="eastAsia" w:ascii="宋体" w:hAnsi="宋体" w:eastAsia="宋体" w:cs="宋体"/>
                <w:color w:val="000000"/>
                <w:kern w:val="0"/>
                <w:sz w:val="21"/>
                <w:szCs w:val="21"/>
                <w:highlight w:val="none"/>
                <w:lang w:val="en-US" w:eastAsia="zh-CN" w:bidi="ar"/>
              </w:rPr>
              <w:t>日</w:t>
            </w:r>
          </w:p>
        </w:tc>
        <w:tc>
          <w:tcPr>
            <w:tcW w:w="1335" w:type="pct"/>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lang w:val="en-US" w:eastAsia="zh-CN"/>
              </w:rPr>
            </w:pPr>
            <w:r>
              <w:rPr>
                <w:rFonts w:hint="eastAsia" w:cs="Times New Roman"/>
                <w:color w:val="auto"/>
                <w:highlight w:val="none"/>
                <w:vertAlign w:val="baseline"/>
                <w:lang w:val="en-US" w:eastAsia="zh-CN"/>
              </w:rPr>
              <w:t>/</w:t>
            </w:r>
          </w:p>
        </w:tc>
      </w:tr>
    </w:tbl>
    <w:p>
      <w:pPr>
        <w:keepNext w:val="0"/>
        <w:keepLines w:val="0"/>
        <w:widowControl/>
        <w:suppressLineNumbers w:val="0"/>
        <w:jc w:val="both"/>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(1)本工程建设的是高效的超超临界发电机组，采用最先进的环保治理措施，经预测分析，本工程建成后对环境的影响是可以接受的，公众不必担心本工程的建设会造成环境空气、水环境等污染。</w:t>
      </w:r>
    </w:p>
    <w:p>
      <w:pPr>
        <w:keepNext w:val="0"/>
        <w:keepLines w:val="0"/>
        <w:widowControl/>
        <w:suppressLineNumbers w:val="0"/>
        <w:jc w:val="both"/>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(2)在本工程采用采取网站公示、现场张贴方式进行环境影响信息公开的基础上，采取现场发放调查表进行公众意见调查。因此，本次公众参与工作程序合法、形式有效。自公告发出后至意见反馈截止日期，建设单位及评价单位均未收到与本项目建设和环评工作有关的意见、建议。</w:t>
      </w:r>
    </w:p>
    <w:p>
      <w:pPr>
        <w:keepNext w:val="0"/>
        <w:keepLines w:val="0"/>
        <w:widowControl/>
        <w:suppressLineNumbers w:val="0"/>
        <w:jc w:val="both"/>
        <w:rPr>
          <w:rFonts w:hint="default" w:ascii="Times New Roman" w:hAnsi="Times New Roman" w:eastAsia="宋体" w:cs="Times New Roman"/>
        </w:rPr>
      </w:pPr>
      <w:r>
        <w:rPr>
          <w:rFonts w:hint="default" w:ascii="Times New Roman" w:hAnsi="Times New Roman" w:eastAsia="宋体" w:cs="Times New Roman"/>
          <w:color w:val="000000"/>
          <w:kern w:val="0"/>
          <w:sz w:val="24"/>
          <w:szCs w:val="24"/>
          <w:lang w:val="en-US" w:eastAsia="zh-CN" w:bidi="ar"/>
        </w:rPr>
        <w:t>(3) 公众意见调查结果表明，81.0%的个人支持本工程建设，17.2%基本支持本工程建设，0.7%对本工程建设表示无所谓、1.1%（3人）对本工程建设表示反对；在被调查的团体中，90.4%的团体支持本工程建设，7.7%基本支持本工程建设，1.9%对本工程建设表示不关心。公众意见回访调查中，调查人员对原持“不支持”态度的4位公众进行了电话回访，在详细了解了本工程建设情况及工程建设拟采取的环境保护措施后，其中 1 人对本工程的 态度转为支持；另外 3 人仍表示不支持本工程的建设。因此，本次公众参与对象具有代表性、结果真实。</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color w:val="auto"/>
          <w:highlight w:val="none"/>
          <w:lang w:val="en-US" w:eastAsia="zh-CN"/>
        </w:rPr>
      </w:pPr>
      <w:bookmarkStart w:id="123" w:name="_Toc29454"/>
      <w:r>
        <w:rPr>
          <w:rFonts w:hint="eastAsia"/>
          <w:color w:val="auto"/>
          <w:highlight w:val="none"/>
          <w:lang w:val="en-US" w:eastAsia="zh-CN"/>
        </w:rPr>
        <w:t>10.2验收信息公示过程及公示结果</w:t>
      </w:r>
      <w:bookmarkEnd w:id="123"/>
    </w:p>
    <w:p>
      <w:pPr>
        <w:pStyle w:val="47"/>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eastAsia="宋体" w:cs="Times New Roman"/>
          <w:sz w:val="24"/>
          <w:szCs w:val="24"/>
          <w:lang w:val="en-US" w:eastAsia="zh-CN"/>
        </w:rPr>
      </w:pPr>
      <w:r>
        <w:rPr>
          <w:rFonts w:hint="default" w:ascii="Times New Roman" w:hAnsi="Times New Roman" w:eastAsia="宋体" w:cs="Times New Roman"/>
          <w:sz w:val="24"/>
          <w:szCs w:val="24"/>
          <w:lang w:val="en-US" w:eastAsia="zh-CN"/>
        </w:rPr>
        <w:t>在建设项目竣工环境保护验收期间进行公众意见调查，可广泛的了解和听取民众的意见和建议，以便更好的执行国家关于建设项目竣工环境保护验收相关规章制度。了解建设项目在不同时期存在的环境影响，发现工程设计期、施工期曾经存在的及目前可能遗留的环境问题，试运营期公众关心的环境问题，以及公众对建设项目环境保护工作的评价，促进企业进一步做好环境保护工作。</w:t>
      </w:r>
    </w:p>
    <w:p>
      <w:pPr>
        <w:rPr>
          <w:rFonts w:hint="default" w:cs="Times New Roman"/>
          <w:color w:val="auto"/>
          <w:highlight w:val="none"/>
          <w:lang w:val="en-US" w:eastAsia="zh-CN"/>
        </w:rPr>
      </w:pPr>
      <w:r>
        <w:rPr>
          <w:rFonts w:hint="eastAsia" w:cs="Times New Roman"/>
          <w:color w:val="auto"/>
          <w:highlight w:val="none"/>
          <w:lang w:val="en-US" w:eastAsia="zh-CN"/>
        </w:rPr>
        <w:t>（1）建设单位2021年6月10日对本期工程项目脱硫、脱硝、除尘环保设施进行了先期验收，并在安徽工和环境监测有限责任公司网站进行文本公示。公示截图见图10-1。自公告发出后至意见反馈截止日期，建设单位及编制单位均未收到与本项目建设和环评工作有关的意见、建议。</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lang w:val="en-US" w:eastAsia="zh-CN"/>
        </w:rPr>
        <w:drawing>
          <wp:inline distT="0" distB="0" distL="114300" distR="114300">
            <wp:extent cx="5265420" cy="3097530"/>
            <wp:effectExtent l="0" t="0" r="5080" b="1270"/>
            <wp:docPr id="51" name="图片 51" descr="公示截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公示截图"/>
                    <pic:cNvPicPr>
                      <a:picLocks noChangeAspect="1"/>
                    </pic:cNvPicPr>
                  </pic:nvPicPr>
                  <pic:blipFill>
                    <a:blip r:embed="rId55"/>
                    <a:stretch>
                      <a:fillRect/>
                    </a:stretch>
                  </pic:blipFill>
                  <pic:spPr>
                    <a:xfrm>
                      <a:off x="0" y="0"/>
                      <a:ext cx="5265420" cy="3097530"/>
                    </a:xfrm>
                    <a:prstGeom prst="rect">
                      <a:avLst/>
                    </a:prstGeom>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Times New Roman" w:hAnsi="Times New Roman" w:cs="Times New Roman"/>
          <w:color w:val="auto"/>
          <w:highlight w:val="none"/>
          <w:lang w:val="en-US" w:eastAsia="zh-CN"/>
        </w:rPr>
      </w:pPr>
      <w:r>
        <w:rPr>
          <w:rFonts w:hint="eastAsia" w:ascii="黑体" w:hAnsi="黑体" w:eastAsia="黑体" w:cs="黑体"/>
          <w:color w:val="auto"/>
          <w:sz w:val="21"/>
          <w:szCs w:val="21"/>
          <w:highlight w:val="none"/>
          <w:lang w:val="en-US" w:eastAsia="zh-CN"/>
        </w:rPr>
        <w:t>图10-1  脱硫、脱硝、除尘环保设施验收文本公司截图</w:t>
      </w:r>
      <w:r>
        <w:rPr>
          <w:rFonts w:hint="eastAsia" w:ascii="Times New Roman" w:hAnsi="Times New Roman" w:cs="Times New Roman"/>
          <w:color w:val="auto"/>
          <w:highlight w:val="none"/>
          <w:lang w:val="en-US" w:eastAsia="zh-CN"/>
        </w:rPr>
        <w:br w:type="page"/>
      </w:r>
    </w:p>
    <w:p>
      <w:pPr>
        <w:pStyle w:val="3"/>
        <w:keepNext/>
        <w:keepLines/>
        <w:pageBreakBefore w:val="0"/>
        <w:widowControl w:val="0"/>
        <w:numPr>
          <w:ilvl w:val="0"/>
          <w:numId w:val="0"/>
        </w:numPr>
        <w:kinsoku/>
        <w:wordWrap/>
        <w:overflowPunct/>
        <w:topLinePunct w:val="0"/>
        <w:autoSpaceDE/>
        <w:autoSpaceDN/>
        <w:bidi w:val="0"/>
        <w:adjustRightInd/>
        <w:snapToGrid/>
        <w:spacing w:before="0" w:beforeLines="0" w:after="120" w:line="360" w:lineRule="auto"/>
        <w:ind w:left="157" w:leftChars="0"/>
        <w:jc w:val="center"/>
        <w:textAlignment w:val="auto"/>
        <w:rPr>
          <w:rFonts w:hint="eastAsia" w:ascii="Times New Roman" w:hAnsi="Times New Roman" w:cs="Times New Roman"/>
          <w:color w:val="auto"/>
          <w:highlight w:val="none"/>
          <w:lang w:val="en-US" w:eastAsia="zh-CN"/>
        </w:rPr>
      </w:pPr>
      <w:bookmarkStart w:id="124" w:name="_Toc7640"/>
      <w:r>
        <w:rPr>
          <w:rFonts w:hint="eastAsia" w:cs="Times New Roman"/>
          <w:color w:val="auto"/>
          <w:highlight w:val="none"/>
          <w:lang w:val="en-US" w:eastAsia="zh-CN"/>
        </w:rPr>
        <w:t>十一</w:t>
      </w:r>
      <w:r>
        <w:rPr>
          <w:rFonts w:hint="eastAsia" w:ascii="Times New Roman" w:hAnsi="Times New Roman" w:cs="Times New Roman"/>
          <w:color w:val="auto"/>
          <w:highlight w:val="none"/>
          <w:lang w:val="en-US" w:eastAsia="zh-CN"/>
        </w:rPr>
        <w:t>、环境管理检查</w:t>
      </w:r>
      <w:bookmarkEnd w:id="120"/>
      <w:bookmarkEnd w:id="124"/>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color w:val="auto"/>
          <w:highlight w:val="none"/>
        </w:rPr>
      </w:pPr>
      <w:bookmarkStart w:id="125" w:name="_Toc21331"/>
      <w:bookmarkStart w:id="126" w:name="_Toc9527"/>
      <w:r>
        <w:rPr>
          <w:rFonts w:hint="eastAsia"/>
          <w:color w:val="auto"/>
          <w:highlight w:val="none"/>
          <w:lang w:val="en-US" w:eastAsia="zh-CN"/>
        </w:rPr>
        <w:t>11.1</w:t>
      </w:r>
      <w:r>
        <w:rPr>
          <w:rFonts w:hint="default"/>
          <w:color w:val="auto"/>
          <w:highlight w:val="none"/>
        </w:rPr>
        <w:t>环境保护审批手续及“三同时制度执行情况”</w:t>
      </w:r>
      <w:bookmarkEnd w:id="125"/>
      <w:bookmarkEnd w:id="12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val="en-US" w:eastAsia="zh-CN"/>
        </w:rPr>
        <w:t>2016年11月，中国电力工程顾问集团华东电力设计院有限公司编制</w:t>
      </w:r>
      <w:r>
        <w:rPr>
          <w:rFonts w:hint="eastAsia" w:cs="Times New Roman"/>
          <w:color w:val="auto"/>
          <w:sz w:val="24"/>
          <w:szCs w:val="24"/>
          <w:highlight w:val="none"/>
          <w:lang w:val="en-US" w:eastAsia="zh-CN"/>
        </w:rPr>
        <w:t>了</w:t>
      </w:r>
      <w:r>
        <w:rPr>
          <w:rFonts w:hint="default" w:ascii="Times New Roman" w:hAnsi="Times New Roman" w:eastAsia="宋体" w:cs="Times New Roman"/>
          <w:color w:val="auto"/>
          <w:sz w:val="24"/>
          <w:szCs w:val="24"/>
          <w:highlight w:val="none"/>
          <w:lang w:val="en-US" w:eastAsia="zh-CN"/>
        </w:rPr>
        <w:t>《申能安徽平山电厂二期工程环境影响报告书》</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2016年12月6日，安徽省生态环境厅</w:t>
      </w:r>
      <w:r>
        <w:rPr>
          <w:rFonts w:hint="eastAsia" w:cs="Times New Roman"/>
          <w:color w:val="auto"/>
          <w:sz w:val="24"/>
          <w:szCs w:val="24"/>
          <w:highlight w:val="none"/>
          <w:lang w:val="en-US" w:eastAsia="zh-CN"/>
        </w:rPr>
        <w:t>批复了</w:t>
      </w:r>
      <w:r>
        <w:rPr>
          <w:rFonts w:hint="default" w:ascii="Times New Roman" w:hAnsi="Times New Roman" w:eastAsia="宋体" w:cs="Times New Roman"/>
          <w:color w:val="auto"/>
          <w:sz w:val="24"/>
          <w:szCs w:val="24"/>
          <w:highlight w:val="none"/>
          <w:lang w:val="en-US" w:eastAsia="zh-CN"/>
        </w:rPr>
        <w:t>《关于申能安徽平山电厂二期工程影响报告书的批复》（皖环函[2016]1338号）</w:t>
      </w:r>
      <w:r>
        <w:rPr>
          <w:rFonts w:hint="default" w:ascii="Times New Roman" w:hAnsi="Times New Roman" w:eastAsia="宋体"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本项目按照国家建设项目环境保护管理有关规定，履行了各项环保审批手续。项目执行了环保“三同时”制度，本项目主体工程和环保治理设施同时设计、同时施工和同时投入运行。</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color w:val="auto"/>
          <w:highlight w:val="none"/>
          <w:lang w:val="en-US" w:eastAsia="zh-CN"/>
        </w:rPr>
      </w:pPr>
      <w:bookmarkStart w:id="127" w:name="_Toc32136"/>
      <w:bookmarkStart w:id="128" w:name="_Toc12300"/>
      <w:r>
        <w:rPr>
          <w:rFonts w:hint="eastAsia"/>
          <w:color w:val="auto"/>
          <w:highlight w:val="none"/>
          <w:lang w:val="en-US" w:eastAsia="zh-CN"/>
        </w:rPr>
        <w:t>11.2应急预案和环境风险防范措施的落实情况</w:t>
      </w:r>
      <w:bookmarkEnd w:id="127"/>
      <w:bookmarkEnd w:id="128"/>
    </w:p>
    <w:p>
      <w:pPr>
        <w:ind w:firstLine="480"/>
        <w:rPr>
          <w:highlight w:val="red"/>
        </w:rPr>
      </w:pPr>
      <w:r>
        <w:rPr>
          <w:color w:val="auto"/>
          <w:highlight w:val="none"/>
        </w:rPr>
        <w:t>为了保障油库燃油罐及罐区设备、氢站设备</w:t>
      </w:r>
      <w:r>
        <w:rPr>
          <w:rFonts w:hint="eastAsia"/>
          <w:color w:val="auto"/>
          <w:highlight w:val="none"/>
          <w:lang w:val="en-US" w:eastAsia="zh-CN"/>
        </w:rPr>
        <w:t>等</w:t>
      </w:r>
      <w:r>
        <w:rPr>
          <w:color w:val="auto"/>
          <w:highlight w:val="none"/>
        </w:rPr>
        <w:t>安全运行，防止和减少各类环境污染事故造成的损失，建立紧急情况下快速、有效组织环境污染事故救援和应急的机制，确保员工的安全，维护社会稳定，保障公众生命健康和财产安全，保护环境，促进社会全面、协调发展，平山电厂编制《淮北申</w:t>
      </w:r>
      <w:r>
        <w:rPr>
          <w:rFonts w:hint="eastAsia"/>
          <w:color w:val="auto"/>
          <w:highlight w:val="none"/>
          <w:lang w:val="en-US" w:eastAsia="zh-CN"/>
        </w:rPr>
        <w:t>能</w:t>
      </w:r>
      <w:r>
        <w:rPr>
          <w:color w:val="auto"/>
          <w:highlight w:val="none"/>
        </w:rPr>
        <w:t>发电有限公司突发环境事件应急预案》和《</w:t>
      </w:r>
      <w:r>
        <w:rPr>
          <w:rFonts w:hint="eastAsia"/>
          <w:color w:val="auto"/>
          <w:highlight w:val="none"/>
          <w:lang w:val="en-US" w:eastAsia="zh-CN"/>
        </w:rPr>
        <w:t>淮北申能</w:t>
      </w:r>
      <w:r>
        <w:rPr>
          <w:color w:val="auto"/>
          <w:highlight w:val="none"/>
        </w:rPr>
        <w:t>发电有限公司突发环境事件专项预案》，专项预案详见表</w:t>
      </w:r>
      <w:r>
        <w:rPr>
          <w:rFonts w:hint="eastAsia"/>
          <w:color w:val="auto"/>
          <w:highlight w:val="none"/>
          <w:lang w:val="en-US" w:eastAsia="zh-CN"/>
        </w:rPr>
        <w:t>9-</w:t>
      </w:r>
      <w:r>
        <w:rPr>
          <w:color w:val="auto"/>
          <w:highlight w:val="none"/>
        </w:rPr>
        <w:t>1。</w:t>
      </w:r>
      <w:r>
        <w:rPr>
          <w:rFonts w:hint="default" w:ascii="Times New Roman" w:hAnsi="Times New Roman" w:cs="Times New Roman"/>
        </w:rPr>
        <w:t>目前预案</w:t>
      </w:r>
      <w:r>
        <w:rPr>
          <w:rFonts w:hint="eastAsia" w:cs="Times New Roman"/>
          <w:lang w:val="en-US" w:eastAsia="zh-CN"/>
        </w:rPr>
        <w:t>已完成评审备案工作</w:t>
      </w:r>
      <w:r>
        <w:t>。</w:t>
      </w:r>
    </w:p>
    <w:p>
      <w:pPr>
        <w:pStyle w:val="35"/>
        <w:keepNext w:val="0"/>
        <w:keepLines w:val="0"/>
        <w:pageBreakBefore w:val="0"/>
        <w:widowControl w:val="0"/>
        <w:kinsoku/>
        <w:wordWrap/>
        <w:overflowPunct/>
        <w:topLinePunct w:val="0"/>
        <w:autoSpaceDE/>
        <w:autoSpaceDN/>
        <w:bidi w:val="0"/>
        <w:adjustRightInd/>
        <w:snapToGrid/>
        <w:spacing w:before="0" w:line="360" w:lineRule="auto"/>
        <w:textAlignment w:val="auto"/>
        <w:rPr>
          <w:rFonts w:hint="eastAsia" w:ascii="黑体" w:hAnsi="黑体" w:eastAsia="黑体" w:cs="黑体"/>
          <w:highlight w:val="none"/>
        </w:rPr>
      </w:pPr>
      <w:r>
        <w:rPr>
          <w:rFonts w:hint="eastAsia" w:ascii="黑体" w:hAnsi="黑体" w:eastAsia="黑体" w:cs="黑体"/>
          <w:highlight w:val="none"/>
        </w:rPr>
        <w:t>表</w:t>
      </w:r>
      <w:r>
        <w:rPr>
          <w:rFonts w:hint="eastAsia" w:ascii="黑体" w:hAnsi="黑体" w:eastAsia="黑体" w:cs="黑体"/>
          <w:highlight w:val="none"/>
          <w:lang w:val="en-US" w:eastAsia="zh-CN"/>
        </w:rPr>
        <w:t>9-</w:t>
      </w:r>
      <w:r>
        <w:rPr>
          <w:rFonts w:hint="eastAsia" w:ascii="黑体" w:hAnsi="黑体" w:eastAsia="黑体" w:cs="黑体"/>
          <w:highlight w:val="none"/>
        </w:rPr>
        <w:t>1</w:t>
      </w:r>
      <w:r>
        <w:rPr>
          <w:rFonts w:hint="eastAsia" w:ascii="黑体" w:hAnsi="黑体" w:eastAsia="黑体" w:cs="黑体"/>
          <w:highlight w:val="none"/>
          <w:lang w:val="en-US" w:eastAsia="zh-CN"/>
        </w:rPr>
        <w:t>淮北申能发电有限公司</w:t>
      </w:r>
      <w:r>
        <w:rPr>
          <w:rFonts w:hint="eastAsia" w:ascii="黑体" w:hAnsi="黑体" w:eastAsia="黑体" w:cs="黑体"/>
          <w:highlight w:val="none"/>
        </w:rPr>
        <w:t>突发环境事件专项预案目录</w:t>
      </w:r>
    </w:p>
    <w:tbl>
      <w:tblPr>
        <w:tblStyle w:val="23"/>
        <w:tblW w:w="0" w:type="auto"/>
        <w:tblInd w:w="173"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0"/>
        <w:gridCol w:w="743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highlight w:val="none"/>
              </w:rPr>
            </w:pPr>
            <w:r>
              <w:rPr>
                <w:highlight w:val="none"/>
              </w:rPr>
              <w:t>序号</w:t>
            </w:r>
          </w:p>
        </w:tc>
        <w:tc>
          <w:tcPr>
            <w:tcW w:w="7437" w:type="dxa"/>
            <w:noWrap w:val="0"/>
            <w:vAlign w:val="center"/>
          </w:tcPr>
          <w:p>
            <w:pPr>
              <w:spacing w:line="240" w:lineRule="auto"/>
              <w:ind w:firstLine="0" w:firstLineChars="0"/>
              <w:jc w:val="center"/>
              <w:rPr>
                <w:highlight w:val="none"/>
              </w:rPr>
            </w:pPr>
            <w:r>
              <w:rPr>
                <w:rFonts w:hint="eastAsia"/>
                <w:highlight w:val="none"/>
                <w:lang w:val="en-US" w:eastAsia="zh-CN"/>
              </w:rPr>
              <w:t>淮北申能发电有限公司</w:t>
            </w:r>
            <w:r>
              <w:rPr>
                <w:highlight w:val="none"/>
              </w:rPr>
              <w:t>突发环境事件专项预案目录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highlight w:val="none"/>
              </w:rPr>
            </w:pPr>
            <w:r>
              <w:rPr>
                <w:highlight w:val="none"/>
              </w:rPr>
              <w:t>1</w:t>
            </w:r>
          </w:p>
        </w:tc>
        <w:tc>
          <w:tcPr>
            <w:tcW w:w="7437" w:type="dxa"/>
            <w:noWrap w:val="0"/>
            <w:vAlign w:val="center"/>
          </w:tcPr>
          <w:p>
            <w:pPr>
              <w:spacing w:line="240" w:lineRule="auto"/>
              <w:ind w:firstLine="0" w:firstLineChars="0"/>
              <w:jc w:val="center"/>
              <w:rPr>
                <w:highlight w:val="none"/>
              </w:rPr>
            </w:pPr>
            <w:r>
              <w:rPr>
                <w:rFonts w:hint="eastAsia"/>
                <w:highlight w:val="none"/>
                <w:lang w:val="en-US" w:eastAsia="zh-CN"/>
              </w:rPr>
              <w:t>淮北申能发电有限公司</w:t>
            </w:r>
            <w:r>
              <w:rPr>
                <w:highlight w:val="none"/>
              </w:rPr>
              <w:t>灰场垮坝事故专项应急预案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highlight w:val="none"/>
              </w:rPr>
            </w:pPr>
            <w:r>
              <w:rPr>
                <w:highlight w:val="none"/>
              </w:rPr>
              <w:t>2</w:t>
            </w:r>
          </w:p>
        </w:tc>
        <w:tc>
          <w:tcPr>
            <w:tcW w:w="7437" w:type="dxa"/>
            <w:noWrap w:val="0"/>
            <w:vAlign w:val="center"/>
          </w:tcPr>
          <w:p>
            <w:pPr>
              <w:spacing w:line="240" w:lineRule="auto"/>
              <w:ind w:firstLine="0" w:firstLineChars="0"/>
              <w:jc w:val="center"/>
              <w:rPr>
                <w:highlight w:val="none"/>
              </w:rPr>
            </w:pPr>
            <w:r>
              <w:rPr>
                <w:rFonts w:hint="eastAsia"/>
                <w:highlight w:val="none"/>
                <w:lang w:val="en-US" w:eastAsia="zh-CN"/>
              </w:rPr>
              <w:t>淮北申能发电有限公司</w:t>
            </w:r>
            <w:r>
              <w:rPr>
                <w:highlight w:val="none"/>
              </w:rPr>
              <w:t>突发环境事件现场处置方案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eastAsia="zh-CN"/>
              </w:rPr>
            </w:pPr>
            <w:r>
              <w:rPr>
                <w:rFonts w:hint="eastAsia"/>
                <w:highlight w:val="none"/>
                <w:lang w:val="en-US" w:eastAsia="zh-CN"/>
              </w:rPr>
              <w:t>3</w:t>
            </w:r>
          </w:p>
        </w:tc>
        <w:tc>
          <w:tcPr>
            <w:tcW w:w="7437" w:type="dxa"/>
            <w:noWrap w:val="0"/>
            <w:vAlign w:val="center"/>
          </w:tcPr>
          <w:p>
            <w:pPr>
              <w:spacing w:line="240" w:lineRule="auto"/>
              <w:ind w:firstLine="0" w:firstLineChars="0"/>
              <w:jc w:val="center"/>
              <w:rPr>
                <w:highlight w:val="none"/>
              </w:rPr>
            </w:pPr>
            <w:bookmarkStart w:id="129" w:name="_Toc17456"/>
            <w:bookmarkStart w:id="130" w:name="_Toc5422"/>
            <w:r>
              <w:rPr>
                <w:rFonts w:hint="eastAsia"/>
                <w:highlight w:val="none"/>
                <w:lang w:val="en-US" w:eastAsia="zh-CN"/>
              </w:rPr>
              <w:t>淮北申能发电有限公司</w:t>
            </w:r>
            <w:r>
              <w:rPr>
                <w:highlight w:val="none"/>
              </w:rPr>
              <w:t>燃油罐区泄漏事件应急现场处置预案</w:t>
            </w:r>
            <w:bookmarkEnd w:id="129"/>
            <w:bookmarkEnd w:id="130"/>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val="en-US" w:eastAsia="zh-CN"/>
              </w:rPr>
            </w:pPr>
            <w:r>
              <w:rPr>
                <w:rFonts w:hint="eastAsia"/>
                <w:highlight w:val="none"/>
                <w:lang w:val="en-US" w:eastAsia="zh-CN"/>
              </w:rPr>
              <w:t>4</w:t>
            </w:r>
          </w:p>
        </w:tc>
        <w:tc>
          <w:tcPr>
            <w:tcW w:w="7437" w:type="dxa"/>
            <w:noWrap w:val="0"/>
            <w:vAlign w:val="center"/>
          </w:tcPr>
          <w:p>
            <w:pPr>
              <w:spacing w:line="240" w:lineRule="auto"/>
              <w:ind w:firstLine="0" w:firstLineChars="0"/>
              <w:jc w:val="center"/>
              <w:rPr>
                <w:highlight w:val="none"/>
              </w:rPr>
            </w:pPr>
            <w:bookmarkStart w:id="131" w:name="_Toc9710"/>
            <w:bookmarkStart w:id="132" w:name="_Toc11054"/>
            <w:r>
              <w:rPr>
                <w:rFonts w:hint="eastAsia"/>
                <w:highlight w:val="none"/>
                <w:lang w:val="en-US" w:eastAsia="zh-CN"/>
              </w:rPr>
              <w:t>淮北申能发电有限公司</w:t>
            </w:r>
            <w:r>
              <w:rPr>
                <w:highlight w:val="none"/>
              </w:rPr>
              <w:t>除灰、渣系统异常事件应急现场处置方案</w:t>
            </w:r>
            <w:bookmarkEnd w:id="131"/>
            <w:bookmarkEnd w:id="132"/>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val="en-US" w:eastAsia="zh-CN"/>
              </w:rPr>
            </w:pPr>
            <w:r>
              <w:rPr>
                <w:rFonts w:hint="eastAsia"/>
                <w:highlight w:val="none"/>
                <w:lang w:val="en-US" w:eastAsia="zh-CN"/>
              </w:rPr>
              <w:t>5</w:t>
            </w:r>
          </w:p>
        </w:tc>
        <w:tc>
          <w:tcPr>
            <w:tcW w:w="7437" w:type="dxa"/>
            <w:noWrap w:val="0"/>
            <w:vAlign w:val="center"/>
          </w:tcPr>
          <w:p>
            <w:pPr>
              <w:spacing w:line="240" w:lineRule="auto"/>
              <w:ind w:firstLine="0" w:firstLineChars="0"/>
              <w:jc w:val="center"/>
              <w:rPr>
                <w:highlight w:val="none"/>
              </w:rPr>
            </w:pPr>
            <w:bookmarkStart w:id="133" w:name="_Toc28507"/>
            <w:bookmarkStart w:id="134" w:name="_Toc437865213"/>
            <w:bookmarkStart w:id="135" w:name="_Toc4941"/>
            <w:r>
              <w:rPr>
                <w:rFonts w:hint="eastAsia"/>
                <w:highlight w:val="none"/>
                <w:lang w:val="en-US" w:eastAsia="zh-CN"/>
              </w:rPr>
              <w:t>淮北申能发电有限公司</w:t>
            </w:r>
            <w:r>
              <w:rPr>
                <w:highlight w:val="none"/>
              </w:rPr>
              <w:t>脱硫系统事件应急现场处置预案</w:t>
            </w:r>
            <w:bookmarkEnd w:id="133"/>
            <w:bookmarkEnd w:id="134"/>
            <w:bookmarkEnd w:id="135"/>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val="en-US" w:eastAsia="zh-CN"/>
              </w:rPr>
            </w:pPr>
            <w:r>
              <w:rPr>
                <w:rFonts w:hint="eastAsia"/>
                <w:highlight w:val="none"/>
                <w:lang w:val="en-US" w:eastAsia="zh-CN"/>
              </w:rPr>
              <w:t>6</w:t>
            </w:r>
          </w:p>
        </w:tc>
        <w:tc>
          <w:tcPr>
            <w:tcW w:w="7437" w:type="dxa"/>
            <w:noWrap w:val="0"/>
            <w:vAlign w:val="center"/>
          </w:tcPr>
          <w:p>
            <w:pPr>
              <w:spacing w:line="240" w:lineRule="auto"/>
              <w:ind w:firstLine="0" w:firstLineChars="0"/>
              <w:jc w:val="center"/>
              <w:rPr>
                <w:highlight w:val="none"/>
              </w:rPr>
            </w:pPr>
            <w:bookmarkStart w:id="136" w:name="_Toc437865220"/>
            <w:bookmarkStart w:id="137" w:name="_Toc11753"/>
            <w:bookmarkStart w:id="138" w:name="_Toc3677"/>
            <w:r>
              <w:rPr>
                <w:rFonts w:hint="eastAsia"/>
                <w:highlight w:val="none"/>
                <w:lang w:val="en-US" w:eastAsia="zh-CN"/>
              </w:rPr>
              <w:t>淮北申能发电有限公司</w:t>
            </w:r>
            <w:r>
              <w:rPr>
                <w:highlight w:val="none"/>
              </w:rPr>
              <w:t>脱硝系统异常事件应急现场处置预案</w:t>
            </w:r>
            <w:bookmarkEnd w:id="136"/>
            <w:bookmarkEnd w:id="137"/>
            <w:bookmarkEnd w:id="138"/>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val="en-US" w:eastAsia="zh-CN"/>
              </w:rPr>
            </w:pPr>
            <w:r>
              <w:rPr>
                <w:rFonts w:hint="eastAsia"/>
                <w:highlight w:val="none"/>
                <w:lang w:val="en-US" w:eastAsia="zh-CN"/>
              </w:rPr>
              <w:t>7</w:t>
            </w:r>
          </w:p>
        </w:tc>
        <w:tc>
          <w:tcPr>
            <w:tcW w:w="7437" w:type="dxa"/>
            <w:noWrap w:val="0"/>
            <w:vAlign w:val="center"/>
          </w:tcPr>
          <w:p>
            <w:pPr>
              <w:spacing w:line="240" w:lineRule="auto"/>
              <w:ind w:firstLine="0" w:firstLineChars="0"/>
              <w:jc w:val="center"/>
              <w:rPr>
                <w:highlight w:val="none"/>
              </w:rPr>
            </w:pPr>
            <w:bookmarkStart w:id="139" w:name="_Toc31092"/>
            <w:bookmarkStart w:id="140" w:name="_Toc437865227"/>
            <w:bookmarkStart w:id="141" w:name="_Toc4123"/>
            <w:r>
              <w:rPr>
                <w:rFonts w:hint="eastAsia"/>
                <w:highlight w:val="none"/>
                <w:lang w:val="en-US" w:eastAsia="zh-CN"/>
              </w:rPr>
              <w:t>淮北申能发电有限公司</w:t>
            </w:r>
            <w:r>
              <w:rPr>
                <w:highlight w:val="none"/>
              </w:rPr>
              <w:t>贮煤场塌方、自燃事件应急现场处置预案</w:t>
            </w:r>
            <w:bookmarkEnd w:id="139"/>
            <w:bookmarkEnd w:id="140"/>
            <w:bookmarkEnd w:id="141"/>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eastAsia" w:eastAsia="宋体"/>
                <w:highlight w:val="none"/>
                <w:lang w:val="en-US" w:eastAsia="zh-CN"/>
              </w:rPr>
            </w:pPr>
            <w:r>
              <w:rPr>
                <w:rFonts w:hint="eastAsia"/>
                <w:highlight w:val="none"/>
                <w:lang w:val="en-US" w:eastAsia="zh-CN"/>
              </w:rPr>
              <w:t>8</w:t>
            </w:r>
          </w:p>
        </w:tc>
        <w:tc>
          <w:tcPr>
            <w:tcW w:w="7437" w:type="dxa"/>
            <w:noWrap w:val="0"/>
            <w:vAlign w:val="center"/>
          </w:tcPr>
          <w:p>
            <w:pPr>
              <w:spacing w:line="240" w:lineRule="auto"/>
              <w:ind w:firstLine="0" w:firstLineChars="0"/>
              <w:jc w:val="center"/>
              <w:rPr>
                <w:highlight w:val="none"/>
              </w:rPr>
            </w:pPr>
            <w:r>
              <w:rPr>
                <w:rFonts w:hint="eastAsia"/>
                <w:highlight w:val="none"/>
                <w:lang w:val="en-US" w:eastAsia="zh-CN"/>
              </w:rPr>
              <w:t>淮北申能发电有限公司</w:t>
            </w:r>
            <w:r>
              <w:rPr>
                <w:highlight w:val="none"/>
              </w:rPr>
              <w:t>废机油泄漏事件应急现场处置预案</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10" w:hRule="atLeast"/>
        </w:trPr>
        <w:tc>
          <w:tcPr>
            <w:tcW w:w="720" w:type="dxa"/>
            <w:noWrap w:val="0"/>
            <w:vAlign w:val="center"/>
          </w:tcPr>
          <w:p>
            <w:pPr>
              <w:spacing w:line="240" w:lineRule="auto"/>
              <w:ind w:firstLine="0" w:firstLineChars="0"/>
              <w:jc w:val="center"/>
              <w:rPr>
                <w:rFonts w:hint="default" w:eastAsia="宋体"/>
                <w:highlight w:val="none"/>
                <w:lang w:val="en-US" w:eastAsia="zh-CN"/>
              </w:rPr>
            </w:pPr>
            <w:r>
              <w:rPr>
                <w:rFonts w:hint="eastAsia"/>
                <w:highlight w:val="none"/>
                <w:lang w:val="en-US" w:eastAsia="zh-CN"/>
              </w:rPr>
              <w:t>9</w:t>
            </w:r>
          </w:p>
        </w:tc>
        <w:tc>
          <w:tcPr>
            <w:tcW w:w="7437" w:type="dxa"/>
            <w:noWrap w:val="0"/>
            <w:vAlign w:val="center"/>
          </w:tcPr>
          <w:p>
            <w:pPr>
              <w:spacing w:line="240" w:lineRule="auto"/>
              <w:ind w:firstLine="0" w:firstLineChars="0"/>
              <w:jc w:val="center"/>
              <w:rPr>
                <w:highlight w:val="none"/>
              </w:rPr>
            </w:pPr>
            <w:bookmarkStart w:id="142" w:name="_Toc26135"/>
            <w:bookmarkStart w:id="143" w:name="_Toc437865241"/>
            <w:bookmarkStart w:id="144" w:name="_Toc3000"/>
            <w:r>
              <w:rPr>
                <w:rFonts w:hint="eastAsia"/>
                <w:highlight w:val="none"/>
                <w:lang w:val="en-US" w:eastAsia="zh-CN"/>
              </w:rPr>
              <w:t>淮北申能发电有限公司</w:t>
            </w:r>
            <w:r>
              <w:rPr>
                <w:highlight w:val="none"/>
              </w:rPr>
              <w:t>危险化学品泄漏应急现场处置预案</w:t>
            </w:r>
            <w:bookmarkEnd w:id="142"/>
            <w:bookmarkEnd w:id="143"/>
            <w:bookmarkEnd w:id="144"/>
          </w:p>
        </w:tc>
      </w:tr>
    </w:tbl>
    <w:p>
      <w:pPr>
        <w:pStyle w:val="33"/>
        <w:jc w:val="both"/>
        <w:rPr>
          <w:color w:val="FF0000"/>
        </w:rPr>
      </w:pPr>
      <w:r>
        <w:rPr>
          <w:szCs w:val="21"/>
        </w:rPr>
        <w:drawing>
          <wp:inline distT="0" distB="0" distL="114300" distR="114300">
            <wp:extent cx="5273675" cy="6924040"/>
            <wp:effectExtent l="0" t="0" r="9525" b="10160"/>
            <wp:docPr id="24" name="图片 1" descr="平山电厂突发环境事件应急预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 descr="平山电厂突发环境事件应急预案"/>
                    <pic:cNvPicPr>
                      <a:picLocks noChangeAspect="1"/>
                    </pic:cNvPicPr>
                  </pic:nvPicPr>
                  <pic:blipFill>
                    <a:blip r:embed="rId56"/>
                    <a:stretch>
                      <a:fillRect/>
                    </a:stretch>
                  </pic:blipFill>
                  <pic:spPr>
                    <a:xfrm>
                      <a:off x="0" y="0"/>
                      <a:ext cx="5273675" cy="6924040"/>
                    </a:xfrm>
                    <a:prstGeom prst="rect">
                      <a:avLst/>
                    </a:prstGeom>
                    <a:noFill/>
                    <a:ln>
                      <a:noFill/>
                    </a:ln>
                  </pic:spPr>
                </pic:pic>
              </a:graphicData>
            </a:graphic>
          </wp:inline>
        </w:drawing>
      </w:r>
    </w:p>
    <w:p>
      <w:pPr>
        <w:pStyle w:val="45"/>
        <w:spacing w:after="166"/>
        <w:rPr>
          <w:rFonts w:hint="eastAsia" w:ascii="Times New Roman" w:hAnsi="Times New Roman" w:cs="Times New Roman"/>
          <w:lang w:val="en-US" w:eastAsia="zh-CN"/>
        </w:rPr>
      </w:pPr>
      <w:r>
        <w:t>图</w:t>
      </w:r>
      <w:r>
        <w:rPr>
          <w:rFonts w:hint="eastAsia"/>
          <w:lang w:val="en-US" w:eastAsia="zh-CN"/>
        </w:rPr>
        <w:t>10</w:t>
      </w:r>
      <w:r>
        <w:t>-1淮北申</w:t>
      </w:r>
      <w:r>
        <w:rPr>
          <w:rFonts w:hint="eastAsia"/>
          <w:lang w:val="en-US" w:eastAsia="zh-CN"/>
        </w:rPr>
        <w:t>能</w:t>
      </w:r>
      <w:r>
        <w:t>发电有限公司突发环境事件应急预案处置流程图</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color w:val="auto"/>
          <w:highlight w:val="none"/>
          <w:lang w:val="en-US" w:eastAsia="zh-CN"/>
        </w:rPr>
      </w:pPr>
      <w:bookmarkStart w:id="145" w:name="_Toc11097"/>
      <w:bookmarkStart w:id="146" w:name="_Toc1624"/>
      <w:r>
        <w:rPr>
          <w:rFonts w:hint="eastAsia" w:cs="Times New Roman"/>
          <w:color w:val="auto"/>
          <w:highlight w:val="none"/>
          <w:lang w:val="en-US" w:eastAsia="zh-CN"/>
        </w:rPr>
        <w:t>11</w:t>
      </w:r>
      <w:r>
        <w:rPr>
          <w:rFonts w:hint="eastAsia" w:ascii="Times New Roman" w:hAnsi="Times New Roman" w:cs="Times New Roman"/>
          <w:color w:val="auto"/>
          <w:highlight w:val="none"/>
          <w:lang w:val="en-US" w:eastAsia="zh-CN"/>
        </w:rPr>
        <w:t>.3排污口规范化建设情况</w:t>
      </w:r>
      <w:bookmarkEnd w:id="145"/>
      <w:bookmarkEnd w:id="14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本项目烟囱按规范要求预留了永久性监测口，烟气总排口安装了烟气排放连续监测装置，对烟气中污染物进行实时监测。烟气在线连续监测设备</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监测因子：SO</w:t>
      </w:r>
      <w:r>
        <w:rPr>
          <w:rFonts w:hint="default" w:ascii="Times New Roman" w:hAnsi="Times New Roman" w:eastAsia="宋体" w:cs="Times New Roman"/>
          <w:color w:val="auto"/>
          <w:sz w:val="24"/>
          <w:szCs w:val="24"/>
          <w:highlight w:val="none"/>
          <w:vertAlign w:val="subscript"/>
          <w:lang w:val="en-US" w:eastAsia="zh-CN"/>
        </w:rPr>
        <w:t>2</w:t>
      </w:r>
      <w:r>
        <w:rPr>
          <w:rFonts w:hint="default" w:ascii="Times New Roman" w:hAnsi="Times New Roman" w:eastAsia="宋体" w:cs="Times New Roman"/>
          <w:color w:val="auto"/>
          <w:sz w:val="24"/>
          <w:szCs w:val="24"/>
          <w:highlight w:val="none"/>
          <w:lang w:val="en-US" w:eastAsia="zh-CN"/>
        </w:rPr>
        <w:t>、烟尘、NOx</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已按要求与环保主管部门联网</w:t>
      </w:r>
      <w:r>
        <w:rPr>
          <w:rFonts w:hint="default" w:ascii="Times New Roman" w:hAnsi="Times New Roman" w:eastAsia="宋体" w:cs="Times New Roman"/>
          <w:color w:val="auto"/>
          <w:sz w:val="24"/>
          <w:szCs w:val="24"/>
          <w:highlight w:val="none"/>
          <w:lang w:eastAsia="zh-CN"/>
        </w:rPr>
        <w:t>，符合其监控要求</w:t>
      </w:r>
      <w:r>
        <w:rPr>
          <w:rFonts w:hint="default" w:ascii="Times New Roman" w:hAnsi="Times New Roman" w:eastAsia="宋体" w:cs="Times New Roman"/>
          <w:color w:val="auto"/>
          <w:sz w:val="24"/>
          <w:szCs w:val="24"/>
          <w:highlight w:val="none"/>
        </w:rPr>
        <w:t>。</w:t>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color w:val="auto"/>
          <w:highlight w:val="none"/>
          <w:lang w:val="en-US" w:eastAsia="zh-CN"/>
        </w:rPr>
      </w:pPr>
      <w:bookmarkStart w:id="147" w:name="_Toc30220"/>
      <w:bookmarkStart w:id="148" w:name="_Toc21055"/>
      <w:r>
        <w:rPr>
          <w:rFonts w:hint="eastAsia" w:cs="Times New Roman"/>
          <w:color w:val="auto"/>
          <w:highlight w:val="none"/>
          <w:lang w:val="en-US" w:eastAsia="zh-CN"/>
        </w:rPr>
        <w:t>11</w:t>
      </w:r>
      <w:r>
        <w:rPr>
          <w:rFonts w:hint="eastAsia" w:ascii="Times New Roman" w:hAnsi="Times New Roman" w:cs="Times New Roman"/>
          <w:color w:val="auto"/>
          <w:highlight w:val="none"/>
          <w:lang w:val="en-US" w:eastAsia="zh-CN"/>
        </w:rPr>
        <w:t>.4固体废物处理处置情况</w:t>
      </w:r>
      <w:bookmarkEnd w:id="147"/>
      <w:bookmarkEnd w:id="14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本项目</w:t>
      </w:r>
      <w:r>
        <w:rPr>
          <w:rFonts w:hint="default" w:ascii="Times New Roman" w:hAnsi="Times New Roman" w:cs="Times New Roman"/>
          <w:color w:val="auto"/>
          <w:sz w:val="24"/>
          <w:szCs w:val="24"/>
          <w:highlight w:val="none"/>
          <w:lang w:val="en-US" w:eastAsia="zh-CN"/>
        </w:rPr>
        <w:t>产生的固体废弃物主要包括锅炉灰渣、烟气脱硫石膏、废水处理站污泥、脱硝系统失效废催化剂以及生活垃圾。</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1</w:t>
      </w:r>
      <w:r>
        <w:rPr>
          <w:rFonts w:hint="default" w:ascii="Times New Roman" w:hAnsi="Times New Roman" w:eastAsia="宋体" w:cs="Times New Roman"/>
          <w:color w:val="auto"/>
          <w:sz w:val="24"/>
          <w:szCs w:val="24"/>
          <w:highlight w:val="none"/>
        </w:rPr>
        <w:t>）锅炉灰渣</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工程采用灰渣分除、干灰干排、粗细分排的除灰渣系统</w:t>
      </w:r>
      <w:r>
        <w:rPr>
          <w:rFonts w:hint="default" w:ascii="Times New Roman" w:hAnsi="Times New Roman"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公司与</w:t>
      </w:r>
      <w:r>
        <w:rPr>
          <w:rFonts w:hint="eastAsia" w:cs="Times New Roman"/>
          <w:color w:val="auto"/>
          <w:sz w:val="24"/>
          <w:szCs w:val="24"/>
          <w:highlight w:val="none"/>
          <w:lang w:val="en-US" w:eastAsia="zh-CN"/>
        </w:rPr>
        <w:t>淮北平哲商贸有限责任公司</w:t>
      </w:r>
      <w:r>
        <w:rPr>
          <w:rFonts w:hint="default" w:ascii="Times New Roman" w:hAnsi="Times New Roman" w:eastAsia="宋体" w:cs="Times New Roman"/>
          <w:color w:val="auto"/>
          <w:sz w:val="24"/>
          <w:szCs w:val="24"/>
          <w:highlight w:val="none"/>
        </w:rPr>
        <w:t>签订的《</w:t>
      </w:r>
      <w:r>
        <w:rPr>
          <w:rFonts w:hint="eastAsia" w:cs="Times New Roman"/>
          <w:color w:val="auto"/>
          <w:sz w:val="24"/>
          <w:szCs w:val="24"/>
          <w:highlight w:val="none"/>
          <w:lang w:val="en-US" w:eastAsia="zh-CN"/>
        </w:rPr>
        <w:t>淮北申能发电有限公司粉煤灰、渣硝售及处置合同</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工程锅炉灰渣可实现完全综合利用。</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2</w:t>
      </w:r>
      <w:r>
        <w:rPr>
          <w:rFonts w:hint="default" w:ascii="Times New Roman" w:hAnsi="Times New Roman" w:eastAsia="宋体" w:cs="Times New Roman"/>
          <w:color w:val="auto"/>
          <w:sz w:val="24"/>
          <w:szCs w:val="24"/>
          <w:highlight w:val="none"/>
        </w:rPr>
        <w:t>）脱硫石膏</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公司与</w:t>
      </w:r>
      <w:r>
        <w:rPr>
          <w:rFonts w:hint="eastAsia" w:cs="Times New Roman"/>
          <w:color w:val="auto"/>
          <w:sz w:val="24"/>
          <w:szCs w:val="24"/>
          <w:highlight w:val="none"/>
          <w:lang w:val="en-US" w:eastAsia="zh-CN"/>
        </w:rPr>
        <w:t>淮北宏欧贸易有限公式</w:t>
      </w:r>
      <w:r>
        <w:rPr>
          <w:rFonts w:hint="default" w:ascii="Times New Roman" w:hAnsi="Times New Roman" w:eastAsia="宋体" w:cs="Times New Roman"/>
          <w:color w:val="auto"/>
          <w:sz w:val="24"/>
          <w:szCs w:val="24"/>
          <w:highlight w:val="none"/>
        </w:rPr>
        <w:t>签订的《</w:t>
      </w:r>
      <w:r>
        <w:rPr>
          <w:rFonts w:hint="eastAsia" w:cs="Times New Roman"/>
          <w:color w:val="auto"/>
          <w:sz w:val="24"/>
          <w:szCs w:val="24"/>
          <w:highlight w:val="none"/>
          <w:lang w:val="en-US" w:eastAsia="zh-CN"/>
        </w:rPr>
        <w:t>淮北申能发电有限公司脱硫石膏硝售及处置合同</w:t>
      </w:r>
      <w:r>
        <w:rPr>
          <w:rFonts w:hint="default" w:ascii="Times New Roman" w:hAnsi="Times New Roman" w:eastAsia="宋体" w:cs="Times New Roman"/>
          <w:color w:val="auto"/>
          <w:sz w:val="24"/>
          <w:szCs w:val="24"/>
          <w:highlight w:val="none"/>
        </w:rPr>
        <w:t>》，脱硫石膏可实现完全综合利用。</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3</w:t>
      </w:r>
      <w:r>
        <w:rPr>
          <w:rFonts w:hint="default" w:ascii="Times New Roman" w:hAnsi="Times New Roman" w:eastAsia="宋体" w:cs="Times New Roman"/>
          <w:color w:val="auto"/>
          <w:sz w:val="24"/>
          <w:szCs w:val="24"/>
          <w:highlight w:val="none"/>
        </w:rPr>
        <w:t>）污泥</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cs="Times New Roman"/>
          <w:color w:val="auto"/>
          <w:sz w:val="24"/>
          <w:szCs w:val="24"/>
          <w:highlight w:val="none"/>
          <w:lang w:eastAsia="zh-CN"/>
        </w:rPr>
        <w:t>本</w:t>
      </w:r>
      <w:r>
        <w:rPr>
          <w:rFonts w:hint="default" w:ascii="Times New Roman" w:hAnsi="Times New Roman" w:eastAsia="宋体" w:cs="Times New Roman"/>
          <w:color w:val="auto"/>
          <w:sz w:val="24"/>
          <w:szCs w:val="24"/>
          <w:highlight w:val="none"/>
        </w:rPr>
        <w:t>工程原水预处理系统及工业废水处理系统产生的污泥属于一般工业固废，均外运安全填埋。</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4</w:t>
      </w:r>
      <w:r>
        <w:rPr>
          <w:rFonts w:hint="default" w:ascii="Times New Roman" w:hAnsi="Times New Roman" w:eastAsia="宋体" w:cs="Times New Roman"/>
          <w:color w:val="auto"/>
          <w:sz w:val="24"/>
          <w:szCs w:val="24"/>
          <w:highlight w:val="none"/>
        </w:rPr>
        <w:t>）脱硝系统失效废催化剂</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eastAsia"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脱硝系统催化剂中的成份是</w:t>
      </w:r>
      <w:r>
        <w:rPr>
          <w:rFonts w:hint="default" w:ascii="Times New Roman" w:hAnsi="Times New Roman" w:eastAsia="Times New Roman" w:cs="Times New Roman"/>
          <w:color w:val="auto"/>
          <w:sz w:val="24"/>
          <w:szCs w:val="24"/>
          <w:highlight w:val="none"/>
        </w:rPr>
        <w:t>TiO</w:t>
      </w:r>
      <w:r>
        <w:rPr>
          <w:rFonts w:hint="default" w:ascii="Times New Roman" w:hAnsi="Times New Roman" w:eastAsia="Times New Roman" w:cs="Times New Roman"/>
          <w:color w:val="auto"/>
          <w:sz w:val="24"/>
          <w:szCs w:val="24"/>
          <w:highlight w:val="none"/>
          <w:vertAlign w:val="subscript"/>
        </w:rPr>
        <w:t>2</w:t>
      </w: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V</w:t>
      </w:r>
      <w:r>
        <w:rPr>
          <w:rFonts w:hint="default" w:ascii="Times New Roman" w:hAnsi="Times New Roman" w:eastAsia="Times New Roman" w:cs="Times New Roman"/>
          <w:color w:val="auto"/>
          <w:sz w:val="24"/>
          <w:szCs w:val="24"/>
          <w:highlight w:val="none"/>
          <w:vertAlign w:val="subscript"/>
        </w:rPr>
        <w:t>2</w:t>
      </w:r>
      <w:r>
        <w:rPr>
          <w:rFonts w:hint="default" w:ascii="Times New Roman" w:hAnsi="Times New Roman" w:eastAsia="Times New Roman" w:cs="Times New Roman"/>
          <w:color w:val="auto"/>
          <w:sz w:val="24"/>
          <w:szCs w:val="24"/>
          <w:highlight w:val="none"/>
        </w:rPr>
        <w:t>O</w:t>
      </w:r>
      <w:r>
        <w:rPr>
          <w:rFonts w:hint="default" w:ascii="Times New Roman" w:hAnsi="Times New Roman" w:eastAsia="Times New Roman" w:cs="Times New Roman"/>
          <w:color w:val="auto"/>
          <w:sz w:val="24"/>
          <w:szCs w:val="24"/>
          <w:highlight w:val="none"/>
          <w:vertAlign w:val="subscript"/>
        </w:rPr>
        <w:t>5</w:t>
      </w: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WO</w:t>
      </w:r>
      <w:r>
        <w:rPr>
          <w:rFonts w:hint="default" w:ascii="Times New Roman" w:hAnsi="Times New Roman" w:eastAsia="Times New Roman"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w:t>
      </w:r>
      <w:r>
        <w:rPr>
          <w:rFonts w:hint="default" w:ascii="Times New Roman" w:hAnsi="Times New Roman" w:eastAsia="Times New Roman" w:cs="Times New Roman"/>
          <w:color w:val="auto"/>
          <w:sz w:val="24"/>
          <w:szCs w:val="24"/>
          <w:highlight w:val="none"/>
        </w:rPr>
        <w:t>MoO</w:t>
      </w:r>
      <w:r>
        <w:rPr>
          <w:rFonts w:hint="default" w:ascii="Times New Roman" w:hAnsi="Times New Roman" w:eastAsia="Times New Roman" w:cs="Times New Roman"/>
          <w:color w:val="auto"/>
          <w:sz w:val="24"/>
          <w:szCs w:val="24"/>
          <w:highlight w:val="none"/>
          <w:vertAlign w:val="subscript"/>
        </w:rPr>
        <w:t>3</w:t>
      </w:r>
      <w:r>
        <w:rPr>
          <w:rFonts w:hint="default" w:ascii="Times New Roman" w:hAnsi="Times New Roman" w:eastAsia="宋体" w:cs="Times New Roman"/>
          <w:color w:val="auto"/>
          <w:sz w:val="24"/>
          <w:szCs w:val="24"/>
          <w:highlight w:val="none"/>
        </w:rPr>
        <w:t>等，，属于危险废物，其归类为《国家危险废物名录》中“</w:t>
      </w:r>
      <w:r>
        <w:rPr>
          <w:rFonts w:hint="default" w:ascii="Times New Roman" w:hAnsi="Times New Roman" w:eastAsia="Times New Roman" w:cs="Times New Roman"/>
          <w:color w:val="auto"/>
          <w:sz w:val="24"/>
          <w:szCs w:val="24"/>
          <w:highlight w:val="none"/>
        </w:rPr>
        <w:t>HW49</w:t>
      </w:r>
      <w:r>
        <w:rPr>
          <w:rFonts w:hint="default" w:ascii="Times New Roman" w:hAnsi="Times New Roman" w:eastAsia="宋体" w:cs="Times New Roman"/>
          <w:color w:val="auto"/>
          <w:sz w:val="24"/>
          <w:szCs w:val="24"/>
          <w:highlight w:val="none"/>
        </w:rPr>
        <w:t>其他废物”。</w:t>
      </w:r>
      <w:r>
        <w:rPr>
          <w:rFonts w:hint="eastAsia" w:cs="Times New Roman"/>
          <w:color w:val="auto"/>
          <w:sz w:val="24"/>
          <w:szCs w:val="24"/>
          <w:highlight w:val="none"/>
          <w:lang w:val="en-US" w:eastAsia="zh-CN"/>
        </w:rPr>
        <w:t>本项目的</w:t>
      </w:r>
      <w:r>
        <w:rPr>
          <w:rFonts w:hint="default" w:ascii="Times New Roman" w:hAnsi="Times New Roman" w:eastAsia="宋体" w:cs="Times New Roman"/>
          <w:color w:val="auto"/>
          <w:sz w:val="24"/>
          <w:szCs w:val="24"/>
          <w:highlight w:val="none"/>
        </w:rPr>
        <w:t>废脱硝催化剂</w:t>
      </w:r>
      <w:r>
        <w:rPr>
          <w:rFonts w:hint="eastAsia" w:cs="Times New Roman"/>
          <w:color w:val="auto"/>
          <w:sz w:val="24"/>
          <w:szCs w:val="24"/>
          <w:highlight w:val="none"/>
          <w:lang w:val="en-US" w:eastAsia="zh-CN"/>
        </w:rPr>
        <w:t>暂未产生，待产生后需交</w:t>
      </w:r>
      <w:r>
        <w:rPr>
          <w:rFonts w:hint="default" w:ascii="Times New Roman" w:hAnsi="Times New Roman" w:eastAsia="宋体" w:cs="Times New Roman"/>
          <w:color w:val="auto"/>
          <w:sz w:val="24"/>
          <w:szCs w:val="24"/>
          <w:highlight w:val="none"/>
        </w:rPr>
        <w:t>由</w:t>
      </w:r>
      <w:r>
        <w:rPr>
          <w:rFonts w:hint="eastAsia" w:cs="Times New Roman"/>
          <w:color w:val="auto"/>
          <w:sz w:val="24"/>
          <w:szCs w:val="24"/>
          <w:highlight w:val="none"/>
          <w:lang w:val="en-US" w:eastAsia="zh-CN"/>
        </w:rPr>
        <w:t>有资质的单位</w:t>
      </w:r>
      <w:r>
        <w:rPr>
          <w:rFonts w:hint="default" w:ascii="Times New Roman" w:hAnsi="Times New Roman" w:eastAsia="宋体" w:cs="Times New Roman"/>
          <w:color w:val="auto"/>
          <w:sz w:val="24"/>
          <w:szCs w:val="24"/>
          <w:highlight w:val="none"/>
        </w:rPr>
        <w:t>妥善处理处置</w:t>
      </w:r>
      <w:r>
        <w:rPr>
          <w:rFonts w:hint="eastAsia" w:cs="Times New Roman"/>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w:t>（</w:t>
      </w:r>
      <w:r>
        <w:rPr>
          <w:rFonts w:hint="default" w:ascii="Times New Roman" w:hAnsi="Times New Roman" w:eastAsia="Times New Roman" w:cs="Times New Roman"/>
          <w:color w:val="auto"/>
          <w:sz w:val="24"/>
          <w:highlight w:val="none"/>
        </w:rPr>
        <w:t>5</w:t>
      </w:r>
      <w:r>
        <w:rPr>
          <w:rFonts w:hint="default" w:ascii="Times New Roman" w:hAnsi="Times New Roman" w:eastAsia="宋体" w:cs="Times New Roman"/>
          <w:color w:val="auto"/>
          <w:sz w:val="24"/>
          <w:highlight w:val="none"/>
        </w:rPr>
        <w:t>）生活垃圾</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Times New Roman" w:hAnsi="Times New Roman" w:eastAsia="宋体" w:cs="Times New Roman"/>
          <w:color w:val="auto"/>
          <w:sz w:val="24"/>
          <w:highlight w:val="none"/>
        </w:rPr>
      </w:pPr>
      <w:r>
        <w:rPr>
          <w:rFonts w:hint="default" w:ascii="Times New Roman" w:hAnsi="Times New Roman" w:cs="Times New Roman"/>
          <w:color w:val="auto"/>
          <w:sz w:val="24"/>
          <w:highlight w:val="none"/>
          <w:lang w:eastAsia="zh-CN"/>
        </w:rPr>
        <w:t>本</w:t>
      </w:r>
      <w:r>
        <w:rPr>
          <w:rFonts w:hint="eastAsia" w:cs="Times New Roman"/>
          <w:color w:val="auto"/>
          <w:sz w:val="24"/>
          <w:highlight w:val="none"/>
          <w:lang w:val="en-US" w:eastAsia="zh-CN"/>
        </w:rPr>
        <w:t>项目的</w:t>
      </w:r>
      <w:r>
        <w:rPr>
          <w:rFonts w:hint="default" w:ascii="Times New Roman" w:hAnsi="Times New Roman" w:eastAsia="宋体" w:cs="Times New Roman"/>
          <w:color w:val="auto"/>
          <w:sz w:val="24"/>
          <w:highlight w:val="none"/>
        </w:rPr>
        <w:t>生活垃圾，由当地环卫部门统一卫生处置。</w:t>
      </w:r>
    </w:p>
    <w:p>
      <w:pPr>
        <w:rPr>
          <w:rFonts w:hint="eastAsia" w:ascii="Times New Roman" w:hAnsi="Times New Roman" w:cs="Times New Roman"/>
          <w:color w:val="auto"/>
          <w:highlight w:val="red"/>
          <w:lang w:val="en-US" w:eastAsia="zh-CN"/>
        </w:rPr>
      </w:pPr>
      <w:bookmarkStart w:id="149" w:name="_Toc28722"/>
      <w:r>
        <w:rPr>
          <w:rFonts w:hint="eastAsia" w:ascii="Times New Roman" w:hAnsi="Times New Roman" w:cs="Times New Roman"/>
          <w:color w:val="auto"/>
          <w:highlight w:val="red"/>
          <w:lang w:val="en-US" w:eastAsia="zh-CN"/>
        </w:rPr>
        <w:br w:type="page"/>
      </w:r>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eastAsia" w:ascii="Times New Roman" w:hAnsi="Times New Roman" w:cs="Times New Roman"/>
          <w:color w:val="auto"/>
          <w:highlight w:val="none"/>
          <w:lang w:val="en-US" w:eastAsia="zh-CN"/>
        </w:rPr>
      </w:pPr>
      <w:bookmarkStart w:id="150" w:name="_Toc1434"/>
      <w:r>
        <w:rPr>
          <w:rFonts w:hint="eastAsia" w:cs="Times New Roman"/>
          <w:color w:val="auto"/>
          <w:highlight w:val="none"/>
          <w:lang w:val="en-US" w:eastAsia="zh-CN"/>
        </w:rPr>
        <w:t>11</w:t>
      </w:r>
      <w:r>
        <w:rPr>
          <w:rFonts w:hint="eastAsia" w:ascii="Times New Roman" w:hAnsi="Times New Roman" w:cs="Times New Roman"/>
          <w:color w:val="auto"/>
          <w:highlight w:val="none"/>
          <w:lang w:val="en-US" w:eastAsia="zh-CN"/>
        </w:rPr>
        <w:t>.5环评批复落实情况</w:t>
      </w:r>
      <w:bookmarkEnd w:id="149"/>
      <w:bookmarkEnd w:id="150"/>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宋体" w:hAnsi="宋体" w:eastAsia="宋体"/>
          <w:color w:val="auto"/>
          <w:sz w:val="24"/>
          <w:szCs w:val="24"/>
          <w:highlight w:val="none"/>
        </w:rPr>
      </w:pPr>
      <w:r>
        <w:rPr>
          <w:rFonts w:hint="default" w:ascii="宋体" w:hAnsi="宋体" w:eastAsia="宋体"/>
          <w:color w:val="auto"/>
          <w:sz w:val="24"/>
          <w:szCs w:val="24"/>
          <w:highlight w:val="none"/>
        </w:rPr>
        <w:t>验收监测期间，对本项目落实环评批复要求情况进行了检查，详见表</w:t>
      </w:r>
      <w:r>
        <w:rPr>
          <w:rFonts w:hint="default" w:ascii="Times New Roman" w:hAnsi="Times New Roman" w:eastAsia="Times New Roman"/>
          <w:color w:val="auto"/>
          <w:sz w:val="24"/>
          <w:szCs w:val="24"/>
          <w:highlight w:val="none"/>
        </w:rPr>
        <w:t>9-</w:t>
      </w:r>
      <w:r>
        <w:rPr>
          <w:rFonts w:hint="eastAsia" w:eastAsia="宋体"/>
          <w:color w:val="auto"/>
          <w:sz w:val="24"/>
          <w:szCs w:val="24"/>
          <w:highlight w:val="none"/>
          <w:lang w:val="en-US" w:eastAsia="zh-CN"/>
        </w:rPr>
        <w:t>2</w:t>
      </w:r>
      <w:r>
        <w:rPr>
          <w:rFonts w:hint="default" w:ascii="宋体" w:hAnsi="宋体" w:eastAsia="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Lines="0" w:afterLines="0" w:line="360" w:lineRule="auto"/>
        <w:jc w:val="center"/>
        <w:textAlignment w:val="auto"/>
        <w:rPr>
          <w:rFonts w:hint="eastAsia" w:ascii="Times New Roman" w:hAnsi="Times New Roman" w:cs="Times New Roman"/>
          <w:b/>
          <w:color w:val="auto"/>
          <w:szCs w:val="21"/>
          <w:highlight w:val="none"/>
          <w:lang w:val="en-US" w:eastAsia="zh-CN"/>
        </w:rPr>
      </w:pPr>
      <w:r>
        <w:rPr>
          <w:rFonts w:hint="eastAsia" w:ascii="Times New Roman" w:hAnsi="Times New Roman" w:cs="Times New Roman"/>
          <w:b/>
          <w:color w:val="auto"/>
          <w:szCs w:val="21"/>
          <w:highlight w:val="none"/>
          <w:lang w:val="en-US" w:eastAsia="zh-CN"/>
        </w:rPr>
        <w:t>表9-</w:t>
      </w:r>
      <w:r>
        <w:rPr>
          <w:rFonts w:hint="eastAsia" w:cs="Times New Roman"/>
          <w:b/>
          <w:color w:val="auto"/>
          <w:szCs w:val="21"/>
          <w:highlight w:val="none"/>
          <w:lang w:val="en-US" w:eastAsia="zh-CN"/>
        </w:rPr>
        <w:t>2</w:t>
      </w:r>
      <w:r>
        <w:rPr>
          <w:rFonts w:hint="default" w:ascii="Times New Roman" w:hAnsi="Times New Roman" w:cs="Times New Roman"/>
          <w:b/>
          <w:color w:val="auto"/>
          <w:szCs w:val="21"/>
          <w:highlight w:val="none"/>
          <w:lang w:val="en-US" w:eastAsia="zh-CN"/>
        </w:rPr>
        <w:t>环评批复要求落实情</w:t>
      </w:r>
      <w:r>
        <w:rPr>
          <w:rFonts w:hint="eastAsia" w:ascii="Times New Roman" w:hAnsi="Times New Roman" w:cs="Times New Roman"/>
          <w:b/>
          <w:color w:val="auto"/>
          <w:szCs w:val="21"/>
          <w:highlight w:val="none"/>
          <w:lang w:val="en-US" w:eastAsia="zh-CN"/>
        </w:rPr>
        <w:t>况对照表</w:t>
      </w:r>
    </w:p>
    <w:tbl>
      <w:tblPr>
        <w:tblStyle w:val="23"/>
        <w:tblW w:w="8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2"/>
        <w:gridCol w:w="668"/>
        <w:gridCol w:w="3516"/>
        <w:gridCol w:w="40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类别</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批复要求</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实际落实情况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8" w:hRule="atLeast"/>
        </w:trPr>
        <w:tc>
          <w:tcPr>
            <w:tcW w:w="392"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大气污染</w:t>
            </w: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SO</w:t>
            </w:r>
            <w:r>
              <w:rPr>
                <w:rFonts w:hint="default" w:ascii="Times New Roman" w:hAnsi="Times New Roman" w:eastAsia="宋体" w:cs="Times New Roman"/>
                <w:sz w:val="21"/>
                <w:szCs w:val="21"/>
                <w:vertAlign w:val="subscript"/>
              </w:rPr>
              <w:t>2</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湿式石灰石-石膏法，不设烟气旁路</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sz w:val="21"/>
                <w:szCs w:val="21"/>
              </w:rPr>
              <w:t>采用石灰石-石膏湿法烟气脱硫工艺，设置5层喷淋层，配5台浆液循环泵，</w:t>
            </w:r>
            <w:r>
              <w:rPr>
                <w:rFonts w:hint="eastAsia"/>
                <w:sz w:val="21"/>
                <w:szCs w:val="21"/>
                <w:lang w:val="en-US" w:eastAsia="zh-CN"/>
              </w:rPr>
              <w:t>3</w:t>
            </w:r>
            <w:r>
              <w:rPr>
                <w:sz w:val="21"/>
                <w:szCs w:val="21"/>
              </w:rPr>
              <w:t>台氧化风机；不设烟气旁路，不加装GGH</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NO</w:t>
            </w:r>
            <w:r>
              <w:rPr>
                <w:rFonts w:hint="default" w:ascii="Times New Roman" w:hAnsi="Times New Roman" w:eastAsia="宋体" w:cs="Times New Roman"/>
                <w:sz w:val="21"/>
                <w:szCs w:val="21"/>
                <w:vertAlign w:val="subscript"/>
              </w:rPr>
              <w:t>x</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采用低氮燃烧技术，建设SCR烟气脱硝系统，还原剂选用液氨</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eastAsia"/>
                <w:sz w:val="21"/>
                <w:szCs w:val="21"/>
                <w:lang w:val="en-US" w:eastAsia="zh-CN"/>
              </w:rPr>
              <w:t>全负荷低氧</w:t>
            </w:r>
            <w:r>
              <w:rPr>
                <w:sz w:val="21"/>
                <w:szCs w:val="21"/>
              </w:rPr>
              <w:t>低氮燃烧</w:t>
            </w:r>
            <w:r>
              <w:rPr>
                <w:rFonts w:hint="eastAsia"/>
                <w:sz w:val="21"/>
                <w:szCs w:val="21"/>
                <w:lang w:val="en-US" w:eastAsia="zh-CN"/>
              </w:rPr>
              <w:t>技术+</w:t>
            </w:r>
            <w:r>
              <w:rPr>
                <w:sz w:val="21"/>
                <w:szCs w:val="21"/>
              </w:rPr>
              <w:t>SCR脱硝工艺，脱硝还原剂为氨</w:t>
            </w:r>
            <w:r>
              <w:rPr>
                <w:rFonts w:hint="eastAsia"/>
                <w:sz w:val="21"/>
                <w:szCs w:val="21"/>
                <w:lang w:eastAsia="zh-CN"/>
              </w:rPr>
              <w:t>（</w:t>
            </w:r>
            <w:r>
              <w:rPr>
                <w:rFonts w:hint="eastAsia"/>
                <w:sz w:val="21"/>
                <w:szCs w:val="21"/>
                <w:lang w:val="en-US" w:eastAsia="zh-CN"/>
              </w:rPr>
              <w:t>尿素热解产生</w:t>
            </w:r>
            <w:r>
              <w:rPr>
                <w:rFonts w:hint="eastAsia"/>
                <w:sz w:val="21"/>
                <w:szCs w:val="21"/>
                <w:lang w:eastAsia="zh-CN"/>
              </w:rPr>
              <w:t>）</w:t>
            </w:r>
            <w:r>
              <w:rPr>
                <w:rFonts w:hint="eastAsia"/>
                <w:sz w:val="21"/>
                <w:szCs w:val="21"/>
                <w:lang w:val="en-US" w:eastAsia="zh-CN"/>
              </w:rPr>
              <w:t>，项目不设液氨储罐</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烟尘</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除尘采用双室五电场静电除尘器，脱硫塔后预留湿式电除尘位置</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eastAsia"/>
                <w:sz w:val="21"/>
                <w:szCs w:val="21"/>
                <w:lang w:val="en-US" w:eastAsia="zh-CN"/>
              </w:rPr>
              <w:t>采用</w:t>
            </w:r>
            <w:r>
              <w:rPr>
                <w:sz w:val="21"/>
                <w:szCs w:val="21"/>
              </w:rPr>
              <w:t>2套</w:t>
            </w:r>
            <w:r>
              <w:rPr>
                <w:rFonts w:hint="eastAsia"/>
                <w:sz w:val="21"/>
                <w:szCs w:val="21"/>
                <w:lang w:eastAsia="zh-CN"/>
              </w:rPr>
              <w:t>四室五电场</w:t>
            </w:r>
            <w:r>
              <w:rPr>
                <w:sz w:val="21"/>
                <w:szCs w:val="21"/>
              </w:rPr>
              <w:t>静电除尘器，五电场全部采用高频电源。</w:t>
            </w:r>
            <w:r>
              <w:rPr>
                <w:rFonts w:eastAsia="宋体"/>
                <w:sz w:val="21"/>
                <w:szCs w:val="21"/>
              </w:rPr>
              <w:t>高效石灰石</w:t>
            </w:r>
            <w:r>
              <w:rPr>
                <w:rFonts w:hint="eastAsia" w:eastAsia="宋体"/>
                <w:sz w:val="21"/>
                <w:szCs w:val="21"/>
                <w:lang w:val="en-US" w:eastAsia="zh-CN"/>
              </w:rPr>
              <w:t>-</w:t>
            </w:r>
            <w:r>
              <w:rPr>
                <w:rFonts w:eastAsia="宋体"/>
                <w:sz w:val="21"/>
                <w:szCs w:val="21"/>
              </w:rPr>
              <w:t>石膏湿法烟气脱硫三层屋脊式</w:t>
            </w:r>
            <w:r>
              <w:rPr>
                <w:rFonts w:hint="eastAsia" w:eastAsia="宋体"/>
                <w:sz w:val="21"/>
                <w:szCs w:val="21"/>
                <w:lang w:val="en-US" w:eastAsia="zh-CN"/>
              </w:rPr>
              <w:t>+一层管式</w:t>
            </w:r>
            <w:r>
              <w:rPr>
                <w:rFonts w:eastAsia="宋体"/>
                <w:sz w:val="21"/>
                <w:szCs w:val="21"/>
              </w:rPr>
              <w:t>的高效除雾器。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烟囱</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烟塔合一，烟气处理达标后经</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座</w:t>
            </w:r>
            <w:r>
              <w:rPr>
                <w:rFonts w:hint="default" w:ascii="Times New Roman" w:hAnsi="Times New Roman" w:eastAsia="宋体" w:cs="Times New Roman"/>
                <w:sz w:val="21"/>
                <w:szCs w:val="21"/>
                <w:lang w:val="en-US" w:eastAsia="zh-CN"/>
              </w:rPr>
              <w:t>210</w:t>
            </w:r>
            <w:r>
              <w:rPr>
                <w:rFonts w:hint="default" w:ascii="Times New Roman" w:hAnsi="Times New Roman" w:eastAsia="宋体" w:cs="Times New Roman"/>
                <w:sz w:val="21"/>
                <w:szCs w:val="21"/>
              </w:rPr>
              <w:t>米高冷却塔排放</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sz w:val="21"/>
                <w:szCs w:val="21"/>
                <w:lang w:eastAsia="zh-CN"/>
              </w:rPr>
            </w:pPr>
            <w:r>
              <w:rPr>
                <w:rFonts w:hint="default" w:ascii="Times New Roman" w:hAnsi="Times New Roman" w:eastAsia="宋体" w:cs="Times New Roman"/>
                <w:sz w:val="21"/>
                <w:szCs w:val="21"/>
              </w:rPr>
              <w:t>烟塔合一，烟气处理达标后经</w:t>
            </w: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座</w:t>
            </w:r>
            <w:r>
              <w:rPr>
                <w:rFonts w:hint="eastAsia" w:cs="Times New Roman"/>
                <w:sz w:val="21"/>
                <w:szCs w:val="21"/>
                <w:lang w:val="en-US" w:eastAsia="zh-CN"/>
              </w:rPr>
              <w:t>高</w:t>
            </w:r>
            <w:r>
              <w:rPr>
                <w:rFonts w:hint="default" w:ascii="Times New Roman" w:hAnsi="Times New Roman" w:eastAsia="宋体" w:cs="Times New Roman"/>
                <w:sz w:val="21"/>
                <w:szCs w:val="21"/>
                <w:lang w:val="en-US" w:eastAsia="zh-CN"/>
              </w:rPr>
              <w:t>210</w:t>
            </w:r>
            <w:r>
              <w:rPr>
                <w:rFonts w:hint="eastAsia" w:cs="Times New Roman"/>
                <w:sz w:val="21"/>
                <w:szCs w:val="21"/>
                <w:lang w:val="en-US" w:eastAsia="zh-CN"/>
              </w:rPr>
              <w:t>m</w:t>
            </w:r>
            <w:r>
              <w:rPr>
                <w:rFonts w:hint="eastAsia" w:cs="Times New Roman"/>
                <w:sz w:val="21"/>
                <w:szCs w:val="21"/>
                <w:lang w:eastAsia="zh-CN"/>
              </w:rPr>
              <w:t>，</w:t>
            </w:r>
            <w:r>
              <w:rPr>
                <w:rFonts w:hint="eastAsia" w:cs="Times New Roman"/>
                <w:sz w:val="21"/>
                <w:szCs w:val="21"/>
                <w:lang w:val="en-US" w:eastAsia="zh-CN"/>
              </w:rPr>
              <w:t>出口内径为97.1m的</w:t>
            </w:r>
            <w:r>
              <w:rPr>
                <w:rFonts w:hint="default" w:ascii="Times New Roman" w:hAnsi="Times New Roman" w:eastAsia="宋体" w:cs="Times New Roman"/>
                <w:sz w:val="21"/>
                <w:szCs w:val="21"/>
              </w:rPr>
              <w:t>冷却塔排放</w:t>
            </w:r>
            <w:r>
              <w:rPr>
                <w:rFonts w:hint="eastAsia" w:cs="Times New Roman"/>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val="en-US" w:eastAsia="zh-CN"/>
              </w:rPr>
              <w:t>烟气</w:t>
            </w:r>
            <w:r>
              <w:rPr>
                <w:rFonts w:hint="default" w:ascii="Times New Roman" w:hAnsi="Times New Roman" w:eastAsia="宋体" w:cs="Times New Roman"/>
                <w:sz w:val="21"/>
                <w:szCs w:val="21"/>
              </w:rPr>
              <w:t>排放标准</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2"/>
                <w:sz w:val="21"/>
                <w:szCs w:val="21"/>
                <w:lang w:val="en-US" w:eastAsia="zh-CN" w:bidi="ar-SA"/>
              </w:rPr>
              <w:t>烟气污染物排放执行《火电厂大气污染物排放标准》</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GB13223-2011</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燃气轮机组排放限值及《全面实施燃煤电厂超低排放和节能改造工作方案》（环发C2015J164号）相关限值要求，即烟尘、二氧化硫、氮氧化物分别不高于10mg/m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、35mg/m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、50mg/m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sz w:val="21"/>
                <w:szCs w:val="21"/>
              </w:rPr>
              <w:t>。</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根据验收检测结果可知</w:t>
            </w:r>
            <w:r>
              <w:rPr>
                <w:rFonts w:hint="default" w:ascii="Times New Roman" w:hAnsi="Times New Roman" w:eastAsia="宋体" w:cs="Times New Roman"/>
                <w:kern w:val="2"/>
                <w:sz w:val="21"/>
                <w:szCs w:val="21"/>
                <w:lang w:val="en-US" w:eastAsia="zh-CN" w:bidi="ar-SA"/>
              </w:rPr>
              <w:t>烟气污染物排放</w:t>
            </w:r>
            <w:r>
              <w:rPr>
                <w:rFonts w:hint="eastAsia" w:ascii="Times New Roman" w:hAnsi="Times New Roman" w:cs="Times New Roman"/>
                <w:kern w:val="2"/>
                <w:sz w:val="21"/>
                <w:szCs w:val="21"/>
                <w:lang w:val="en-US" w:eastAsia="zh-CN" w:bidi="ar-SA"/>
              </w:rPr>
              <w:t>满足</w:t>
            </w:r>
            <w:r>
              <w:rPr>
                <w:rFonts w:hint="default" w:ascii="Times New Roman" w:hAnsi="Times New Roman" w:eastAsia="宋体" w:cs="Times New Roman"/>
                <w:kern w:val="2"/>
                <w:sz w:val="21"/>
                <w:szCs w:val="21"/>
                <w:lang w:val="en-US" w:eastAsia="zh-CN" w:bidi="ar-SA"/>
              </w:rPr>
              <w:t>《火电厂大气污染物排放标准》</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GB13223-2011</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燃气轮机组排放限值及《全面实施燃煤电厂超低排放和节能改造工作方案》（环发C2015J164号）相关限值要求，即烟尘、二氧化硫、氮氧化物分别不高于10mg/m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、35mg/m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kern w:val="2"/>
                <w:sz w:val="21"/>
                <w:szCs w:val="21"/>
                <w:lang w:val="en-US" w:eastAsia="zh-CN" w:bidi="ar-SA"/>
              </w:rPr>
              <w:t>、50mg/m</w:t>
            </w:r>
            <w:r>
              <w:rPr>
                <w:rFonts w:hint="default" w:ascii="Times New Roman" w:hAnsi="Times New Roman" w:eastAsia="宋体" w:cs="Times New Roman"/>
                <w:kern w:val="2"/>
                <w:sz w:val="21"/>
                <w:szCs w:val="21"/>
                <w:vertAlign w:val="superscript"/>
                <w:lang w:val="en-US" w:eastAsia="zh-CN" w:bidi="ar-SA"/>
              </w:rPr>
              <w:t>3</w:t>
            </w:r>
            <w:r>
              <w:rPr>
                <w:rFonts w:hint="default" w:ascii="Times New Roman" w:hAnsi="Times New Roman" w:eastAsia="宋体" w:cs="Times New Roman"/>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eastAsia" w:eastAsia="宋体" w:cs="Times New Roman"/>
                <w:sz w:val="21"/>
                <w:szCs w:val="21"/>
                <w:lang w:val="en-US" w:eastAsia="zh-CN"/>
              </w:rPr>
              <w:t>扬尘</w:t>
            </w:r>
          </w:p>
        </w:tc>
        <w:tc>
          <w:tcPr>
            <w:tcW w:w="351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原辅料储运、破碎工序的扬尘控制措施，减少各类无组织排放。</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本期工程新建煤场采用</w:t>
            </w:r>
            <w:r>
              <w:rPr>
                <w:rFonts w:hint="eastAsia" w:cs="Times New Roman"/>
                <w:kern w:val="2"/>
                <w:sz w:val="21"/>
                <w:szCs w:val="21"/>
                <w:lang w:val="en-US" w:eastAsia="zh-CN" w:bidi="ar-SA"/>
              </w:rPr>
              <w:t>干煤棚</w:t>
            </w:r>
            <w:r>
              <w:rPr>
                <w:rFonts w:hint="default" w:ascii="Times New Roman" w:hAnsi="Times New Roman" w:eastAsia="宋体" w:cs="Times New Roman"/>
                <w:kern w:val="2"/>
                <w:sz w:val="21"/>
                <w:szCs w:val="21"/>
                <w:lang w:val="en-US" w:eastAsia="zh-CN" w:bidi="ar-SA"/>
              </w:rPr>
              <w:t>，两端设置防风抑尘网，采用全封闭输煤栈桥，各转运站、碎煤机室、煤仓、石灰石粉仓、灰仓、渣仓等起尘点均设除尘设备，煤场和输煤栈桥设置全自动喷洒水降尘设施。</w:t>
            </w:r>
          </w:p>
        </w:tc>
        <w:tc>
          <w:tcPr>
            <w:tcW w:w="4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eastAsia="宋体"/>
                <w:sz w:val="21"/>
                <w:szCs w:val="21"/>
              </w:rPr>
              <w:t>设封闭式条形煤场，上部设置干煤棚，两端设防风抑尘网</w:t>
            </w:r>
            <w:r>
              <w:rPr>
                <w:rFonts w:hint="eastAsia"/>
                <w:sz w:val="21"/>
                <w:szCs w:val="21"/>
                <w:lang w:eastAsia="zh-CN"/>
              </w:rPr>
              <w:t>；</w:t>
            </w:r>
            <w:r>
              <w:rPr>
                <w:rFonts w:hint="eastAsia"/>
                <w:sz w:val="21"/>
                <w:szCs w:val="21"/>
                <w:lang w:val="en-US" w:eastAsia="zh-CN"/>
              </w:rPr>
              <w:t>煤场内部</w:t>
            </w:r>
            <w:r>
              <w:rPr>
                <w:rFonts w:eastAsia="宋体"/>
                <w:sz w:val="21"/>
                <w:szCs w:val="21"/>
              </w:rPr>
              <w:t>设喷水装置；</w:t>
            </w:r>
            <w:r>
              <w:rPr>
                <w:rFonts w:hint="default" w:ascii="Times New Roman" w:hAnsi="Times New Roman" w:eastAsia="宋体" w:cs="Times New Roman"/>
                <w:kern w:val="2"/>
                <w:sz w:val="21"/>
                <w:szCs w:val="21"/>
                <w:lang w:val="en-US" w:eastAsia="zh-CN" w:bidi="ar-SA"/>
              </w:rPr>
              <w:t>采用全封闭输煤栈桥，各转运站、碎煤机室、煤仓、石灰石粉仓、灰仓、渣仓等</w:t>
            </w:r>
            <w:r>
              <w:rPr>
                <w:rFonts w:hint="eastAsia"/>
                <w:sz w:val="21"/>
                <w:szCs w:val="21"/>
                <w:lang w:val="en-US" w:eastAsia="zh-CN"/>
              </w:rPr>
              <w:t>均设置1台脉冲布袋除尘器。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eastAsia="宋体" w:cs="Times New Roman"/>
                <w:sz w:val="21"/>
                <w:szCs w:val="21"/>
                <w:lang w:val="en-US" w:eastAsia="zh-CN"/>
              </w:rPr>
              <w:t>一期煤场改造</w:t>
            </w:r>
          </w:p>
        </w:tc>
        <w:tc>
          <w:tcPr>
            <w:tcW w:w="351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一期煤场按照二期煤场的污染防治要求同步进行改造。</w:t>
            </w:r>
          </w:p>
        </w:tc>
        <w:tc>
          <w:tcPr>
            <w:tcW w:w="4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eastAsia" w:ascii="Times New Roman" w:hAnsi="Times New Roman" w:cs="Times New Roman"/>
                <w:kern w:val="2"/>
                <w:sz w:val="21"/>
                <w:szCs w:val="21"/>
                <w:lang w:val="en-US" w:eastAsia="zh-CN" w:bidi="ar-SA"/>
              </w:rPr>
              <w:t>一期煤场已根据环评要求完成“</w:t>
            </w:r>
            <w:r>
              <w:rPr>
                <w:rFonts w:eastAsia="宋体"/>
                <w:sz w:val="21"/>
                <w:szCs w:val="21"/>
              </w:rPr>
              <w:t>上部设置干煤棚，两端设防风抑尘网</w:t>
            </w:r>
            <w:r>
              <w:rPr>
                <w:rFonts w:hint="eastAsia" w:ascii="Times New Roman" w:hAnsi="Times New Roman" w:cs="Times New Roman"/>
                <w:kern w:val="2"/>
                <w:sz w:val="21"/>
                <w:szCs w:val="21"/>
                <w:lang w:val="en-US" w:eastAsia="zh-CN" w:bidi="ar-SA"/>
              </w:rPr>
              <w:t>”的改造工作。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392"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p>
        </w:tc>
        <w:tc>
          <w:tcPr>
            <w:tcW w:w="66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宋体" w:cs="Times New Roman"/>
                <w:sz w:val="21"/>
                <w:szCs w:val="21"/>
                <w:lang w:val="en-US" w:eastAsia="zh-CN"/>
              </w:rPr>
            </w:pPr>
            <w:r>
              <w:rPr>
                <w:rFonts w:hint="eastAsia" w:eastAsia="宋体" w:cs="Times New Roman"/>
                <w:sz w:val="21"/>
                <w:szCs w:val="21"/>
                <w:lang w:val="en-US" w:eastAsia="zh-CN"/>
              </w:rPr>
              <w:t>防护距离</w:t>
            </w:r>
          </w:p>
        </w:tc>
        <w:tc>
          <w:tcPr>
            <w:tcW w:w="351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排烟冷却塔外设置450米的环境防护距离，防护距离内不得规划建设环境敏感点。</w:t>
            </w:r>
          </w:p>
        </w:tc>
        <w:tc>
          <w:tcPr>
            <w:tcW w:w="4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排烟冷却塔外设置450米的环境防护距离，防护距离内</w:t>
            </w:r>
            <w:r>
              <w:rPr>
                <w:rFonts w:hint="eastAsia" w:cs="Times New Roman"/>
                <w:kern w:val="2"/>
                <w:sz w:val="21"/>
                <w:szCs w:val="21"/>
                <w:lang w:val="en-US" w:eastAsia="zh-CN" w:bidi="ar-SA"/>
              </w:rPr>
              <w:t>未</w:t>
            </w:r>
            <w:r>
              <w:rPr>
                <w:rFonts w:hint="default" w:ascii="Times New Roman" w:hAnsi="Times New Roman" w:eastAsia="宋体" w:cs="Times New Roman"/>
                <w:kern w:val="2"/>
                <w:sz w:val="21"/>
                <w:szCs w:val="21"/>
                <w:lang w:val="en-US" w:eastAsia="zh-CN" w:bidi="ar-SA"/>
              </w:rPr>
              <w:t>规划建设环境敏感点。</w:t>
            </w:r>
            <w:r>
              <w:rPr>
                <w:rFonts w:hint="eastAsia" w:cs="Times New Roman"/>
                <w:kern w:val="2"/>
                <w:sz w:val="21"/>
                <w:szCs w:val="21"/>
                <w:lang w:val="en-US" w:eastAsia="zh-CN" w:bidi="ar-SA"/>
              </w:rPr>
              <w:t>原有自然村落（平山村）已完成拆迁。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7" w:hRule="atLeast"/>
        </w:trPr>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水污染</w:t>
            </w:r>
          </w:p>
        </w:tc>
        <w:tc>
          <w:tcPr>
            <w:tcW w:w="351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严格落实水污染防治措施。优先取用淮北市经济开发区污水处理厂中水，不足部分取用地表水。按照“清污分流、币污分流、一水多用“原则，完善厂区排水系统，提高水重复利用率。根据不同水质进行分类处理并回用，厂区各类生产废水及生活污水经处理后全部回用。设置足够容量的事故水池，确保各种工况下废污水不外排。</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sz w:val="21"/>
                <w:szCs w:val="21"/>
              </w:rPr>
            </w:pPr>
          </w:p>
        </w:tc>
        <w:tc>
          <w:tcPr>
            <w:tcW w:w="4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eastAsia"/>
                <w:sz w:val="21"/>
                <w:szCs w:val="21"/>
                <w:lang w:val="en-US" w:eastAsia="zh-CN"/>
              </w:rPr>
            </w:pPr>
            <w:r>
              <w:rPr>
                <w:rFonts w:hint="eastAsia"/>
                <w:sz w:val="21"/>
                <w:szCs w:val="21"/>
                <w:lang w:val="en-US" w:eastAsia="zh-CN"/>
              </w:rPr>
              <w:t>生活污水处理依托一期污水处理厂；本期项目生活污水通过自流或提升方式排入一期生活污水处理厂处理，处理后废水回用于场内绿化。</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eastAsia" w:ascii="Times New Roman" w:hAnsi="Times New Roman"/>
                <w:sz w:val="21"/>
                <w:szCs w:val="21"/>
                <w:lang w:val="en-US" w:eastAsia="zh-CN"/>
              </w:rPr>
            </w:pPr>
            <w:r>
              <w:rPr>
                <w:rFonts w:hint="eastAsia"/>
                <w:sz w:val="21"/>
                <w:szCs w:val="21"/>
                <w:lang w:val="en-US" w:eastAsia="zh-CN"/>
              </w:rPr>
              <w:t>脱硫废水</w:t>
            </w:r>
            <w:r>
              <w:rPr>
                <w:rFonts w:hint="eastAsia" w:ascii="Times New Roman" w:hAnsi="Times New Roman"/>
                <w:sz w:val="21"/>
                <w:szCs w:val="21"/>
                <w:lang w:val="en-US" w:eastAsia="zh-CN"/>
              </w:rPr>
              <w:t>在脱硫综合楼西侧建设一套脱硫废水处理系统，处理能力1×30m</w:t>
            </w:r>
            <w:r>
              <w:rPr>
                <w:rFonts w:hint="eastAsia" w:ascii="Times New Roman" w:hAnsi="Times New Roman"/>
                <w:sz w:val="21"/>
                <w:szCs w:val="21"/>
                <w:vertAlign w:val="superscript"/>
                <w:lang w:val="en-US" w:eastAsia="zh-CN"/>
              </w:rPr>
              <w:t>3</w:t>
            </w:r>
            <w:r>
              <w:rPr>
                <w:rFonts w:hint="eastAsia" w:ascii="Times New Roman" w:hAnsi="Times New Roman"/>
                <w:sz w:val="21"/>
                <w:szCs w:val="21"/>
                <w:lang w:val="en-US" w:eastAsia="zh-CN"/>
              </w:rPr>
              <w:t>/h，工艺采用“中和、絮凝、沉淀”等处理后，废水排入含煤废水回用水池回用，污泥经脱水后送至厂外处置。</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eastAsia"/>
                <w:sz w:val="21"/>
                <w:szCs w:val="21"/>
                <w:lang w:val="en-US" w:eastAsia="zh-CN"/>
              </w:rPr>
            </w:pPr>
            <w:r>
              <w:rPr>
                <w:rFonts w:hint="eastAsia"/>
                <w:sz w:val="21"/>
                <w:szCs w:val="21"/>
                <w:lang w:val="en-US" w:eastAsia="zh-CN"/>
              </w:rPr>
              <w:t>结合实际情况，</w:t>
            </w:r>
            <w:r>
              <w:rPr>
                <w:rFonts w:eastAsia="宋体"/>
                <w:sz w:val="21"/>
                <w:szCs w:val="21"/>
              </w:rPr>
              <w:t>本期工程在新建煤场的</w:t>
            </w:r>
            <w:r>
              <w:rPr>
                <w:rFonts w:hint="eastAsia"/>
                <w:sz w:val="21"/>
                <w:szCs w:val="21"/>
                <w:lang w:val="en-US" w:eastAsia="zh-CN"/>
              </w:rPr>
              <w:t>西侧</w:t>
            </w:r>
            <w:r>
              <w:rPr>
                <w:rFonts w:eastAsia="宋体"/>
                <w:sz w:val="21"/>
                <w:szCs w:val="21"/>
              </w:rPr>
              <w:t>设置</w:t>
            </w:r>
            <w:r>
              <w:rPr>
                <w:rFonts w:hint="eastAsia"/>
                <w:sz w:val="21"/>
                <w:szCs w:val="21"/>
                <w:lang w:val="en-US" w:eastAsia="zh-CN"/>
              </w:rPr>
              <w:t>1</w:t>
            </w:r>
            <w:r>
              <w:rPr>
                <w:rFonts w:eastAsia="宋体"/>
                <w:sz w:val="21"/>
                <w:szCs w:val="21"/>
              </w:rPr>
              <w:t>个煤泥沉淀池，</w:t>
            </w:r>
            <w:r>
              <w:rPr>
                <w:rFonts w:hint="eastAsia"/>
                <w:sz w:val="21"/>
                <w:szCs w:val="21"/>
                <w:lang w:val="en-US" w:eastAsia="zh-CN"/>
              </w:rPr>
              <w:t>考虑一期工程</w:t>
            </w:r>
            <w:r>
              <w:rPr>
                <w:rFonts w:eastAsia="宋体"/>
                <w:sz w:val="21"/>
                <w:szCs w:val="21"/>
              </w:rPr>
              <w:t>含煤废水处理</w:t>
            </w:r>
            <w:r>
              <w:rPr>
                <w:rFonts w:hint="eastAsia"/>
                <w:sz w:val="21"/>
                <w:szCs w:val="21"/>
                <w:lang w:val="en-US" w:eastAsia="zh-CN"/>
              </w:rPr>
              <w:t>设备处理能力，本期不新建</w:t>
            </w:r>
            <w:r>
              <w:rPr>
                <w:rFonts w:eastAsia="宋体"/>
                <w:sz w:val="21"/>
                <w:szCs w:val="21"/>
              </w:rPr>
              <w:t>含煤废水处理设备</w:t>
            </w:r>
            <w:r>
              <w:rPr>
                <w:rFonts w:hint="eastAsia"/>
                <w:sz w:val="21"/>
                <w:szCs w:val="21"/>
                <w:lang w:eastAsia="zh-CN"/>
              </w:rPr>
              <w:t>，</w:t>
            </w:r>
            <w:r>
              <w:rPr>
                <w:rFonts w:hint="eastAsia"/>
                <w:sz w:val="21"/>
                <w:szCs w:val="21"/>
                <w:lang w:val="en-US" w:eastAsia="zh-CN"/>
              </w:rPr>
              <w:t>依托一期</w:t>
            </w:r>
            <w:r>
              <w:rPr>
                <w:rFonts w:eastAsia="宋体"/>
                <w:sz w:val="21"/>
                <w:szCs w:val="21"/>
              </w:rPr>
              <w:t>含煤废水处理</w:t>
            </w:r>
            <w:r>
              <w:rPr>
                <w:rFonts w:hint="eastAsia"/>
                <w:sz w:val="21"/>
                <w:szCs w:val="21"/>
                <w:lang w:val="en-US" w:eastAsia="zh-CN"/>
              </w:rPr>
              <w:t>系统，净化后废水用于煤场喷淋。</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ascii="Times New Roman" w:hAnsi="Times New Roman" w:eastAsia="宋体"/>
                <w:kern w:val="2"/>
                <w:sz w:val="21"/>
                <w:szCs w:val="21"/>
                <w:lang w:val="en-US" w:eastAsia="zh-CN" w:bidi="ar-SA"/>
              </w:rPr>
            </w:pPr>
            <w:r>
              <w:rPr>
                <w:rFonts w:ascii="Times New Roman" w:hAnsi="Times New Roman" w:eastAsia="宋体"/>
                <w:kern w:val="2"/>
                <w:sz w:val="21"/>
                <w:szCs w:val="21"/>
                <w:lang w:val="en-US" w:eastAsia="zh-CN" w:bidi="ar-SA"/>
              </w:rPr>
              <w:t>厂内设置</w:t>
            </w:r>
            <w:r>
              <w:rPr>
                <w:rFonts w:hint="eastAsia" w:ascii="Times New Roman" w:hAnsi="Times New Roman" w:eastAsia="宋体"/>
                <w:kern w:val="2"/>
                <w:sz w:val="21"/>
                <w:szCs w:val="21"/>
                <w:lang w:val="en-US" w:eastAsia="zh-CN" w:bidi="ar-SA"/>
              </w:rPr>
              <w:t>1座</w:t>
            </w:r>
            <w:r>
              <w:rPr>
                <w:rFonts w:hint="eastAsia"/>
                <w:kern w:val="2"/>
                <w:sz w:val="21"/>
                <w:szCs w:val="21"/>
                <w:lang w:val="en-US" w:eastAsia="zh-CN" w:bidi="ar-SA"/>
              </w:rPr>
              <w:t>2</w:t>
            </w:r>
            <w:r>
              <w:rPr>
                <w:rFonts w:hint="eastAsia" w:ascii="Times New Roman" w:hAnsi="Times New Roman" w:eastAsia="宋体"/>
                <w:kern w:val="2"/>
                <w:sz w:val="21"/>
                <w:szCs w:val="21"/>
                <w:lang w:val="en-US" w:eastAsia="zh-CN" w:bidi="ar-SA"/>
              </w:rPr>
              <w:t>000</w:t>
            </w:r>
            <w:r>
              <w:rPr>
                <w:rFonts w:ascii="Times New Roman" w:hAnsi="Times New Roman" w:eastAsia="宋体"/>
                <w:kern w:val="2"/>
                <w:sz w:val="21"/>
                <w:szCs w:val="21"/>
                <w:lang w:val="en-US" w:eastAsia="zh-CN" w:bidi="ar-SA"/>
              </w:rPr>
              <w:t>m</w:t>
            </w:r>
            <w:r>
              <w:rPr>
                <w:rFonts w:ascii="Times New Roman" w:hAnsi="Times New Roman" w:eastAsia="宋体"/>
                <w:kern w:val="2"/>
                <w:sz w:val="21"/>
                <w:szCs w:val="21"/>
                <w:vertAlign w:val="superscript"/>
                <w:lang w:val="en-US" w:eastAsia="zh-CN" w:bidi="ar-SA"/>
              </w:rPr>
              <w:t>3</w:t>
            </w:r>
            <w:r>
              <w:rPr>
                <w:rFonts w:ascii="Times New Roman" w:hAnsi="Times New Roman" w:eastAsia="宋体"/>
                <w:kern w:val="2"/>
                <w:sz w:val="21"/>
                <w:szCs w:val="21"/>
                <w:lang w:val="en-US" w:eastAsia="zh-CN" w:bidi="ar-SA"/>
              </w:rPr>
              <w:t>废水贮存池</w:t>
            </w:r>
            <w:r>
              <w:rPr>
                <w:rFonts w:hint="eastAsia" w:ascii="Times New Roman" w:hAnsi="Times New Roman" w:eastAsia="宋体"/>
                <w:kern w:val="2"/>
                <w:sz w:val="21"/>
                <w:szCs w:val="21"/>
                <w:lang w:val="en-US" w:eastAsia="zh-CN" w:bidi="ar-SA"/>
              </w:rPr>
              <w:t>，</w:t>
            </w:r>
            <w:r>
              <w:rPr>
                <w:rFonts w:ascii="Times New Roman" w:hAnsi="Times New Roman" w:eastAsia="宋体"/>
                <w:kern w:val="2"/>
                <w:sz w:val="21"/>
                <w:szCs w:val="21"/>
                <w:lang w:val="en-US" w:eastAsia="zh-CN" w:bidi="ar-SA"/>
              </w:rPr>
              <w:t>工业废水</w:t>
            </w:r>
            <w:r>
              <w:rPr>
                <w:rFonts w:hint="eastAsia" w:ascii="Times New Roman" w:hAnsi="Times New Roman" w:eastAsia="宋体"/>
                <w:kern w:val="2"/>
                <w:sz w:val="21"/>
                <w:szCs w:val="21"/>
                <w:lang w:val="en-US" w:eastAsia="zh-CN" w:bidi="ar-SA"/>
              </w:rPr>
              <w:t>依托平山电厂一期项目工业废水处理系统，</w:t>
            </w:r>
            <w:r>
              <w:rPr>
                <w:rFonts w:ascii="Times New Roman" w:hAnsi="Times New Roman" w:eastAsia="宋体"/>
                <w:kern w:val="2"/>
                <w:sz w:val="21"/>
                <w:szCs w:val="21"/>
                <w:lang w:val="en-US" w:eastAsia="zh-CN" w:bidi="ar-SA"/>
              </w:rPr>
              <w:t>废水经处理后全部回用，不外排。</w:t>
            </w:r>
          </w:p>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kern w:val="2"/>
                <w:sz w:val="21"/>
                <w:szCs w:val="21"/>
                <w:lang w:val="en-US" w:eastAsia="zh-CN" w:bidi="ar-SA"/>
              </w:rPr>
            </w:pPr>
            <w:r>
              <w:rPr>
                <w:rFonts w:hint="eastAsia"/>
                <w:sz w:val="21"/>
                <w:szCs w:val="21"/>
                <w:lang w:val="en-US" w:eastAsia="zh-CN"/>
              </w:rPr>
              <w:t>原水处理系统</w:t>
            </w:r>
            <w:r>
              <w:rPr>
                <w:rFonts w:eastAsia="宋体"/>
                <w:sz w:val="21"/>
                <w:szCs w:val="21"/>
              </w:rPr>
              <w:t>设置一套设置石灰混凝澄清处理系统</w:t>
            </w:r>
            <w:r>
              <w:rPr>
                <w:rFonts w:hint="eastAsia"/>
                <w:sz w:val="21"/>
                <w:szCs w:val="21"/>
                <w:lang w:val="en-US" w:eastAsia="zh-CN"/>
              </w:rPr>
              <w:t>。经软化后的冷却塔排水再回用于循环冷却系统补水。电厂产生的冷却塔排水可全部回用。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 w:hRule="atLeast"/>
        </w:trPr>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地下水</w:t>
            </w:r>
          </w:p>
        </w:tc>
        <w:tc>
          <w:tcPr>
            <w:tcW w:w="3516"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left="0" w:leftChars="0" w:right="0" w:rightChars="0" w:firstLine="0" w:firstLineChars="0"/>
              <w:jc w:val="both"/>
              <w:textAlignment w:val="auto"/>
              <w:outlineLvl w:val="9"/>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按照“分区防渗“原则及《报告书》中提出的方案，分别对不同区域采取相应防渗处理措施，防渗系数应达到相关要求。合理布设地下水监测点位，并定期开展水质监测，发现污染时应立即采取措施阻断污染源，防止污染扩延并清理污染。</w:t>
            </w:r>
          </w:p>
        </w:tc>
        <w:tc>
          <w:tcPr>
            <w:tcW w:w="4055" w:type="dxa"/>
            <w:noWrap w:val="0"/>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eastAsia="zh-CN"/>
              </w:rPr>
            </w:pPr>
            <w:r>
              <w:rPr>
                <w:rFonts w:ascii="Times New Roman" w:hAnsi="Times New Roman"/>
                <w:sz w:val="21"/>
                <w:szCs w:val="21"/>
              </w:rPr>
              <w:t>危险废物暂存库</w:t>
            </w:r>
            <w:r>
              <w:rPr>
                <w:rFonts w:hint="eastAsia" w:ascii="Times New Roman" w:hAnsi="Times New Roman"/>
                <w:sz w:val="21"/>
                <w:szCs w:val="21"/>
                <w:lang w:eastAsia="zh-CN"/>
              </w:rPr>
              <w:t>、</w:t>
            </w:r>
            <w:r>
              <w:rPr>
                <w:rFonts w:ascii="Times New Roman" w:hAnsi="Times New Roman"/>
                <w:sz w:val="21"/>
                <w:szCs w:val="21"/>
              </w:rPr>
              <w:t>煤场</w:t>
            </w:r>
            <w:r>
              <w:rPr>
                <w:rFonts w:hint="eastAsia" w:ascii="Times New Roman" w:hAnsi="Times New Roman"/>
                <w:sz w:val="21"/>
                <w:szCs w:val="21"/>
                <w:lang w:eastAsia="zh-CN"/>
              </w:rPr>
              <w:t>：</w:t>
            </w:r>
            <w:r>
              <w:rPr>
                <w:rFonts w:ascii="Times New Roman" w:hAnsi="Times New Roman"/>
                <w:sz w:val="21"/>
                <w:szCs w:val="21"/>
              </w:rPr>
              <w:t>采用压实粘土+防渗膜进行防渗，压实粘土厚度</w:t>
            </w:r>
            <w:r>
              <w:rPr>
                <w:rFonts w:hint="eastAsia" w:ascii="Times New Roman" w:hAnsi="Times New Roman"/>
                <w:sz w:val="21"/>
                <w:szCs w:val="21"/>
                <w:lang w:val="en-US" w:eastAsia="zh-CN"/>
              </w:rPr>
              <w:t>1m</w:t>
            </w:r>
            <w:r>
              <w:rPr>
                <w:rFonts w:ascii="Times New Roman" w:hAnsi="Times New Roman"/>
                <w:sz w:val="21"/>
                <w:szCs w:val="21"/>
              </w:rPr>
              <w:t>，HDPE</w:t>
            </w:r>
            <w:r>
              <w:rPr>
                <w:rFonts w:hint="eastAsia" w:ascii="Times New Roman" w:hAnsi="Times New Roman"/>
                <w:sz w:val="21"/>
                <w:szCs w:val="21"/>
                <w:lang w:val="en-US" w:eastAsia="zh-CN"/>
              </w:rPr>
              <w:t>厚1.5mm</w:t>
            </w:r>
            <w:r>
              <w:rPr>
                <w:rFonts w:hint="eastAsia" w:ascii="Times New Roman" w:hAnsi="Times New Roman"/>
                <w:sz w:val="21"/>
                <w:szCs w:val="21"/>
                <w:lang w:eastAsia="zh-CN"/>
              </w:rPr>
              <w:t>，</w:t>
            </w:r>
            <w:r>
              <w:rPr>
                <w:rFonts w:ascii="Times New Roman" w:hAnsi="Times New Roman"/>
                <w:sz w:val="21"/>
                <w:szCs w:val="21"/>
              </w:rPr>
              <w:t>渗透系数K≤1.0×10-</w:t>
            </w:r>
            <w:r>
              <w:rPr>
                <w:rFonts w:hint="eastAsia" w:ascii="Times New Roman" w:hAnsi="Times New Roman"/>
                <w:sz w:val="21"/>
                <w:szCs w:val="21"/>
                <w:vertAlign w:val="superscript"/>
              </w:rPr>
              <w:t>10</w:t>
            </w:r>
            <w:r>
              <w:rPr>
                <w:rFonts w:ascii="Times New Roman" w:hAnsi="Times New Roman"/>
                <w:sz w:val="21"/>
                <w:szCs w:val="21"/>
              </w:rPr>
              <w:t>cm/s</w:t>
            </w:r>
            <w:r>
              <w:rPr>
                <w:rFonts w:hint="eastAsia" w:ascii="Times New Roman" w:hAnsi="Times New Roman"/>
                <w:sz w:val="21"/>
                <w:szCs w:val="21"/>
                <w:lang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val="en-US" w:eastAsia="zh-CN"/>
              </w:rPr>
            </w:pPr>
            <w:r>
              <w:rPr>
                <w:rFonts w:ascii="Times New Roman" w:hAnsi="Times New Roman"/>
                <w:sz w:val="21"/>
                <w:szCs w:val="21"/>
              </w:rPr>
              <w:t>机组排水槽</w:t>
            </w:r>
            <w:r>
              <w:rPr>
                <w:rFonts w:hint="eastAsia" w:ascii="Times New Roman" w:hAnsi="Times New Roman"/>
                <w:sz w:val="21"/>
                <w:szCs w:val="21"/>
                <w:lang w:val="en-US" w:eastAsia="zh-CN"/>
              </w:rPr>
              <w:t>及废水贮存池</w:t>
            </w:r>
            <w:r>
              <w:rPr>
                <w:rFonts w:hint="eastAsia" w:ascii="Times New Roman" w:hAnsi="Times New Roman"/>
                <w:sz w:val="21"/>
                <w:szCs w:val="21"/>
                <w:lang w:eastAsia="zh-CN"/>
              </w:rPr>
              <w:t>、</w:t>
            </w:r>
            <w:r>
              <w:rPr>
                <w:rFonts w:ascii="Times New Roman" w:hAnsi="Times New Roman"/>
                <w:sz w:val="21"/>
                <w:szCs w:val="21"/>
              </w:rPr>
              <w:t>事故油池</w:t>
            </w:r>
            <w:r>
              <w:rPr>
                <w:rFonts w:hint="eastAsia" w:ascii="Times New Roman" w:hAnsi="Times New Roman"/>
                <w:sz w:val="21"/>
                <w:szCs w:val="21"/>
                <w:lang w:eastAsia="zh-CN"/>
              </w:rPr>
              <w:t>、</w:t>
            </w:r>
            <w:r>
              <w:rPr>
                <w:rFonts w:ascii="Times New Roman" w:hAnsi="Times New Roman"/>
                <w:sz w:val="21"/>
                <w:szCs w:val="21"/>
              </w:rPr>
              <w:t>煤泥沉淀池</w:t>
            </w:r>
            <w:r>
              <w:rPr>
                <w:rFonts w:hint="eastAsia" w:ascii="Times New Roman" w:hAnsi="Times New Roman"/>
                <w:sz w:val="21"/>
                <w:szCs w:val="21"/>
                <w:lang w:eastAsia="zh-CN"/>
              </w:rPr>
              <w:t>：</w:t>
            </w:r>
            <w:r>
              <w:rPr>
                <w:rFonts w:hint="eastAsia" w:ascii="Times New Roman" w:hAnsi="Times New Roman"/>
                <w:sz w:val="21"/>
                <w:szCs w:val="21"/>
                <w:lang w:val="en-US" w:eastAsia="zh-CN"/>
              </w:rPr>
              <w:t>采用池体地板及</w:t>
            </w:r>
            <w:r>
              <w:rPr>
                <w:rFonts w:hint="eastAsia" w:ascii="Times New Roman" w:hAnsi="Times New Roman"/>
                <w:sz w:val="21"/>
                <w:szCs w:val="21"/>
              </w:rPr>
              <w:t>壁厚500mm</w:t>
            </w:r>
            <w:r>
              <w:rPr>
                <w:rFonts w:hint="eastAsia" w:ascii="Times New Roman" w:hAnsi="Times New Roman"/>
                <w:sz w:val="21"/>
                <w:szCs w:val="21"/>
                <w:lang w:eastAsia="zh-CN"/>
              </w:rPr>
              <w:t>，</w:t>
            </w:r>
            <w:r>
              <w:rPr>
                <w:rFonts w:ascii="Times New Roman" w:hAnsi="Times New Roman"/>
                <w:sz w:val="21"/>
                <w:szCs w:val="21"/>
              </w:rPr>
              <w:t>抗渗等级不低于P6</w:t>
            </w:r>
            <w:r>
              <w:rPr>
                <w:rFonts w:hint="eastAsia" w:ascii="Times New Roman" w:hAnsi="Times New Roman"/>
                <w:sz w:val="21"/>
                <w:szCs w:val="21"/>
                <w:lang w:val="en-US" w:eastAsia="zh-CN"/>
              </w:rPr>
              <w:t>抗渗混凝土进行防渗；</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eastAsia="zh-CN"/>
              </w:rPr>
            </w:pPr>
            <w:r>
              <w:rPr>
                <w:rFonts w:ascii="Times New Roman" w:hAnsi="Times New Roman"/>
                <w:sz w:val="21"/>
                <w:szCs w:val="21"/>
              </w:rPr>
              <w:t>石灰石浆液制备</w:t>
            </w:r>
            <w:r>
              <w:rPr>
                <w:rFonts w:hint="eastAsia" w:ascii="Times New Roman" w:hAnsi="Times New Roman"/>
                <w:sz w:val="21"/>
                <w:szCs w:val="21"/>
                <w:lang w:eastAsia="zh-CN"/>
              </w:rPr>
              <w:t>、</w:t>
            </w:r>
            <w:r>
              <w:rPr>
                <w:rFonts w:ascii="Times New Roman" w:hAnsi="Times New Roman"/>
                <w:sz w:val="21"/>
                <w:szCs w:val="21"/>
              </w:rPr>
              <w:t>石膏脱水车间</w:t>
            </w:r>
            <w:r>
              <w:rPr>
                <w:rFonts w:hint="eastAsia" w:ascii="Times New Roman" w:hAnsi="Times New Roman"/>
                <w:sz w:val="21"/>
                <w:szCs w:val="21"/>
                <w:lang w:val="en-US" w:eastAsia="zh-CN"/>
              </w:rPr>
              <w:t>采用：</w:t>
            </w:r>
            <w:r>
              <w:rPr>
                <w:rFonts w:ascii="Times New Roman" w:hAnsi="Times New Roman"/>
                <w:sz w:val="21"/>
                <w:szCs w:val="21"/>
              </w:rPr>
              <w:t>（1）吸收塔和设备基础采用抗渗钢筋混凝防渗：（2）排水沟和排水基坑采用抗渗混凝土+防腐涂料防渗；（3）脱硫吸收塔及浆液泵房周边区域地面铺设</w:t>
            </w:r>
            <w:r>
              <w:rPr>
                <w:rFonts w:hint="eastAsia" w:ascii="Times New Roman" w:hAnsi="Times New Roman"/>
                <w:sz w:val="21"/>
                <w:szCs w:val="21"/>
                <w:lang w:val="en-US" w:eastAsia="zh-CN"/>
              </w:rPr>
              <w:t>1.5mm</w:t>
            </w:r>
            <w:r>
              <w:rPr>
                <w:rFonts w:ascii="Times New Roman" w:hAnsi="Times New Roman"/>
                <w:sz w:val="21"/>
                <w:szCs w:val="21"/>
              </w:rPr>
              <w:t>HDPE膜+抗渗混凝土防渗</w:t>
            </w:r>
            <w:r>
              <w:rPr>
                <w:rFonts w:hint="eastAsia" w:ascii="Times New Roman" w:hAnsi="Times New Roman"/>
                <w:sz w:val="21"/>
                <w:szCs w:val="21"/>
                <w:lang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eastAsia="宋体"/>
                <w:sz w:val="21"/>
                <w:szCs w:val="21"/>
                <w:lang w:val="en-US" w:eastAsia="zh-CN"/>
              </w:rPr>
            </w:pPr>
            <w:r>
              <w:rPr>
                <w:rFonts w:ascii="Times New Roman" w:hAnsi="Times New Roman"/>
                <w:sz w:val="21"/>
                <w:szCs w:val="21"/>
              </w:rPr>
              <w:t>灰库</w:t>
            </w:r>
            <w:r>
              <w:rPr>
                <w:rFonts w:hint="eastAsia" w:ascii="Times New Roman" w:hAnsi="Times New Roman"/>
                <w:sz w:val="21"/>
                <w:szCs w:val="21"/>
                <w:lang w:eastAsia="zh-CN"/>
              </w:rPr>
              <w:t>、</w:t>
            </w:r>
            <w:r>
              <w:rPr>
                <w:rFonts w:ascii="Times New Roman" w:hAnsi="Times New Roman"/>
                <w:sz w:val="21"/>
                <w:szCs w:val="21"/>
              </w:rPr>
              <w:t>原水石灰处理系统</w:t>
            </w:r>
            <w:r>
              <w:rPr>
                <w:rFonts w:hint="eastAsia" w:ascii="Times New Roman" w:hAnsi="Times New Roman"/>
                <w:sz w:val="21"/>
                <w:szCs w:val="21"/>
                <w:lang w:val="en-US" w:eastAsia="zh-CN"/>
              </w:rPr>
              <w:t>周边区域、</w:t>
            </w:r>
            <w:r>
              <w:rPr>
                <w:rFonts w:ascii="Times New Roman" w:hAnsi="Times New Roman"/>
                <w:sz w:val="21"/>
                <w:szCs w:val="21"/>
              </w:rPr>
              <w:t>渣仓</w:t>
            </w:r>
            <w:r>
              <w:rPr>
                <w:rFonts w:hint="eastAsia" w:ascii="Times New Roman" w:hAnsi="Times New Roman"/>
                <w:sz w:val="21"/>
                <w:szCs w:val="21"/>
                <w:lang w:val="en-US" w:eastAsia="zh-CN"/>
              </w:rPr>
              <w:t>周边区域、</w:t>
            </w:r>
            <w:r>
              <w:rPr>
                <w:rFonts w:hint="eastAsia" w:ascii="Times New Roman" w:hAnsi="Times New Roman"/>
                <w:sz w:val="21"/>
                <w:szCs w:val="21"/>
              </w:rPr>
              <w:t>脱硫废水处理区域</w:t>
            </w:r>
            <w:r>
              <w:rPr>
                <w:rFonts w:hint="eastAsia" w:ascii="Times New Roman" w:hAnsi="Times New Roman"/>
                <w:sz w:val="21"/>
                <w:szCs w:val="21"/>
                <w:lang w:eastAsia="zh-CN"/>
              </w:rPr>
              <w:t>：</w:t>
            </w:r>
            <w:r>
              <w:rPr>
                <w:rFonts w:ascii="Times New Roman" w:hAnsi="Times New Roman"/>
                <w:sz w:val="21"/>
                <w:szCs w:val="21"/>
              </w:rPr>
              <w:t>地面硬化</w:t>
            </w:r>
            <w:r>
              <w:rPr>
                <w:rFonts w:hint="eastAsia" w:ascii="Times New Roman" w:hAnsi="Times New Roman"/>
                <w:sz w:val="21"/>
                <w:szCs w:val="21"/>
              </w:rPr>
              <w:t>，地坪下</w:t>
            </w:r>
            <w:r>
              <w:rPr>
                <w:rFonts w:ascii="Times New Roman" w:hAnsi="Times New Roman"/>
                <w:sz w:val="21"/>
                <w:szCs w:val="21"/>
              </w:rPr>
              <w:t>采用压实粘土+防渗膜进行防渗，压实粘土厚度500mm，</w:t>
            </w:r>
            <w:r>
              <w:rPr>
                <w:rFonts w:hint="eastAsia" w:ascii="Times New Roman" w:hAnsi="Times New Roman"/>
                <w:sz w:val="21"/>
                <w:szCs w:val="21"/>
                <w:lang w:val="en-US" w:eastAsia="zh-CN"/>
              </w:rPr>
              <w:t>1mm厚</w:t>
            </w:r>
            <w:r>
              <w:rPr>
                <w:rFonts w:ascii="Times New Roman" w:hAnsi="Times New Roman"/>
                <w:sz w:val="21"/>
                <w:szCs w:val="21"/>
              </w:rPr>
              <w:t>HDPE膜</w:t>
            </w:r>
            <w:r>
              <w:rPr>
                <w:rFonts w:hint="eastAsia" w:ascii="Times New Roman" w:hAnsi="Times New Roman"/>
                <w:sz w:val="21"/>
                <w:szCs w:val="21"/>
                <w:lang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cs="Times New Roman"/>
                <w:sz w:val="21"/>
                <w:szCs w:val="21"/>
                <w:lang w:val="en-US" w:eastAsia="zh-CN"/>
              </w:rPr>
            </w:pPr>
            <w:r>
              <w:rPr>
                <w:rFonts w:hint="eastAsia" w:ascii="Times New Roman" w:hAnsi="Times New Roman"/>
                <w:sz w:val="21"/>
                <w:szCs w:val="21"/>
              </w:rPr>
              <w:t>渣水处理设施</w:t>
            </w:r>
            <w:r>
              <w:rPr>
                <w:rFonts w:hint="eastAsia" w:ascii="Times New Roman" w:hAnsi="Times New Roman"/>
                <w:sz w:val="21"/>
                <w:szCs w:val="21"/>
                <w:lang w:eastAsia="zh-CN"/>
              </w:rPr>
              <w:t>：</w:t>
            </w:r>
            <w:r>
              <w:rPr>
                <w:rFonts w:hint="eastAsia" w:ascii="Times New Roman" w:hAnsi="Times New Roman"/>
                <w:sz w:val="21"/>
                <w:szCs w:val="21"/>
                <w:lang w:val="en-US" w:eastAsia="zh-CN"/>
              </w:rPr>
              <w:t>设备基础采用</w:t>
            </w:r>
            <w:r>
              <w:rPr>
                <w:rFonts w:hint="eastAsia" w:ascii="Times New Roman" w:hAnsi="Times New Roman"/>
                <w:sz w:val="21"/>
                <w:szCs w:val="21"/>
              </w:rPr>
              <w:t>P6钢筋混凝</w:t>
            </w:r>
            <w:r>
              <w:rPr>
                <w:rFonts w:hint="eastAsia" w:ascii="Times New Roman" w:hAnsi="Times New Roman" w:cs="Times New Roman"/>
                <w:sz w:val="21"/>
                <w:szCs w:val="21"/>
                <w:lang w:val="en-US" w:eastAsia="zh-CN"/>
              </w:rPr>
              <w:t>土防渗。</w:t>
            </w:r>
          </w:p>
          <w:p>
            <w:pPr>
              <w:pStyle w:val="8"/>
              <w:keepNext w:val="0"/>
              <w:keepLines w:val="0"/>
              <w:pageBreakBefore w:val="0"/>
              <w:widowControl w:val="0"/>
              <w:numPr>
                <w:ilvl w:val="0"/>
                <w:numId w:val="0"/>
              </w:numPr>
              <w:kinsoku/>
              <w:wordWrap/>
              <w:overflowPunct/>
              <w:topLinePunct w:val="0"/>
              <w:autoSpaceDE/>
              <w:autoSpaceDN/>
              <w:bidi w:val="0"/>
              <w:adjustRightInd/>
              <w:snapToGrid/>
              <w:spacing w:after="0" w:line="240" w:lineRule="auto"/>
              <w:ind w:firstLine="0" w:firstLineChars="0"/>
              <w:textAlignment w:val="auto"/>
              <w:rPr>
                <w:rFonts w:hint="eastAsia" w:ascii="Times New Roman" w:hAnsi="Times New Roman"/>
                <w:sz w:val="21"/>
                <w:szCs w:val="21"/>
                <w:lang w:val="en-US" w:eastAsia="zh-CN"/>
              </w:rPr>
            </w:pPr>
            <w:r>
              <w:rPr>
                <w:rFonts w:hint="eastAsia" w:ascii="Times New Roman" w:hAnsi="Times New Roman" w:cs="Times New Roman"/>
                <w:sz w:val="21"/>
                <w:szCs w:val="21"/>
                <w:lang w:val="en-US" w:eastAsia="zh-CN"/>
              </w:rPr>
              <w:t>新建地下水监测井3口。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sz w:val="21"/>
                <w:szCs w:val="21"/>
              </w:rPr>
            </w:pPr>
            <w:r>
              <w:rPr>
                <w:rFonts w:hint="default" w:ascii="Times New Roman" w:hAnsi="Times New Roman" w:eastAsia="宋体" w:cs="Times New Roman"/>
                <w:kern w:val="2"/>
                <w:sz w:val="21"/>
                <w:szCs w:val="21"/>
                <w:lang w:val="en-US" w:eastAsia="zh-CN" w:bidi="ar-SA"/>
              </w:rPr>
              <w:t>强化噪声污染防治。优先选用低噪声、振动小设备，优化厂区平面布置，合理布设高噪声设备。采取减振、吸声、隔声等措施，厂界噪声执行《工业企业厂界环境噪声排放标准》</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GB12348-2008</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3类区标准。施工期噪声执行《建筑施工场界环境噪声排放标准》</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GB12523-2011</w:t>
            </w:r>
            <w:r>
              <w:rPr>
                <w:rFonts w:hint="eastAsia" w:cs="Times New Roman"/>
                <w:kern w:val="2"/>
                <w:sz w:val="21"/>
                <w:szCs w:val="21"/>
                <w:lang w:val="en-US" w:eastAsia="zh-CN" w:bidi="ar-SA"/>
              </w:rPr>
              <w:t>）</w:t>
            </w:r>
            <w:r>
              <w:rPr>
                <w:rFonts w:hint="default" w:ascii="Times New Roman" w:hAnsi="Times New Roman" w:eastAsia="宋体" w:cs="Times New Roman"/>
                <w:kern w:val="2"/>
                <w:sz w:val="21"/>
                <w:szCs w:val="21"/>
                <w:lang w:val="en-US" w:eastAsia="zh-CN" w:bidi="ar-SA"/>
              </w:rPr>
              <w:t>有关规定。</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sz w:val="21"/>
                <w:szCs w:val="21"/>
              </w:rPr>
            </w:pPr>
            <w:r>
              <w:rPr>
                <w:rFonts w:hint="default"/>
                <w:sz w:val="21"/>
                <w:szCs w:val="21"/>
              </w:rPr>
              <w:t>主机房部分区域安装隔振器；汽机房外壁保温降噪棉安装；输煤栈桥、转运站外壁降噪棉安装。气化风机、空压机设置空压机房；工业废水罗茨风机设风机小室，采用柔性接口；设氧化风机房，氧化风机设降噪材料。</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sz w:val="21"/>
                <w:szCs w:val="21"/>
              </w:rPr>
              <w:t>在冷却塔周围靠近厂界一侧设置高</w:t>
            </w:r>
            <w:r>
              <w:rPr>
                <w:rFonts w:hint="eastAsia"/>
                <w:sz w:val="21"/>
                <w:szCs w:val="21"/>
                <w:lang w:val="en-US" w:eastAsia="zh-CN"/>
              </w:rPr>
              <w:t>8.5</w:t>
            </w:r>
            <w:r>
              <w:rPr>
                <w:rFonts w:hint="default"/>
                <w:sz w:val="21"/>
                <w:szCs w:val="21"/>
              </w:rPr>
              <w:t>m，长度约为</w:t>
            </w:r>
            <w:r>
              <w:rPr>
                <w:rFonts w:hint="eastAsia"/>
                <w:sz w:val="21"/>
                <w:szCs w:val="21"/>
                <w:lang w:val="en-US" w:eastAsia="zh-CN"/>
              </w:rPr>
              <w:t>162.4</w:t>
            </w:r>
            <w:r>
              <w:rPr>
                <w:rFonts w:hint="default"/>
                <w:sz w:val="21"/>
                <w:szCs w:val="21"/>
              </w:rPr>
              <w:t>m的隔声屏障</w:t>
            </w:r>
            <w:r>
              <w:rPr>
                <w:rFonts w:hint="eastAsia"/>
                <w:sz w:val="21"/>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固体废物</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严格落实固体废物分类处置和综合利用措施。采用灰渣分除，灰渣全部综合利用。本期工程不建设永久灰场，临时事故灰场依托一期工程建设的水冲</w:t>
            </w:r>
            <w:r>
              <w:rPr>
                <w:rFonts w:hint="eastAsia" w:ascii="Times New Roman" w:hAnsi="Times New Roman" w:cs="Times New Roman"/>
                <w:kern w:val="2"/>
                <w:sz w:val="21"/>
                <w:szCs w:val="21"/>
                <w:lang w:val="en-US" w:eastAsia="zh-CN" w:bidi="ar-SA"/>
              </w:rPr>
              <w:t>干</w:t>
            </w:r>
            <w:r>
              <w:rPr>
                <w:rFonts w:hint="default" w:ascii="Times New Roman" w:hAnsi="Times New Roman" w:eastAsia="宋体" w:cs="Times New Roman"/>
                <w:kern w:val="2"/>
                <w:sz w:val="21"/>
                <w:szCs w:val="21"/>
                <w:lang w:val="en-US" w:eastAsia="zh-CN" w:bidi="ar-SA"/>
              </w:rPr>
              <w:t>灰场。严格控制运输过程扬尘污染。脱硝系统产生的废催化剂等危险废物，应按危险废物管理要求收集、储存、运输和处置。</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lang w:val="en-US" w:eastAsia="zh-CN"/>
              </w:rPr>
            </w:pPr>
            <w:r>
              <w:rPr>
                <w:rFonts w:hint="default" w:ascii="Times New Roman" w:hAnsi="Times New Roman" w:eastAsia="宋体" w:cs="Times New Roman"/>
                <w:kern w:val="2"/>
                <w:sz w:val="21"/>
                <w:szCs w:val="21"/>
                <w:lang w:val="en-US" w:eastAsia="zh-CN" w:bidi="ar-SA"/>
              </w:rPr>
              <w:t>严格落实固体废物分类处置和综合利用措施。采用灰渣分除，灰渣全部综合利用。本期工程不建设永久灰场，临时事故灰场依托一期工程建设的水冲干灰场。严格控制运输过程扬尘污染。</w:t>
            </w:r>
            <w:r>
              <w:rPr>
                <w:rFonts w:hint="default" w:ascii="Times New Roman" w:hAnsi="Times New Roman" w:eastAsia="宋体" w:cs="Times New Roman"/>
                <w:sz w:val="21"/>
                <w:szCs w:val="21"/>
                <w:lang w:val="en-US" w:eastAsia="zh-CN"/>
              </w:rPr>
              <w:t>项目在脱硫废水处置设施西侧设置1座200m</w:t>
            </w:r>
            <w:r>
              <w:rPr>
                <w:rFonts w:hint="default" w:ascii="Times New Roman" w:hAnsi="Times New Roman" w:eastAsia="宋体" w:cs="Times New Roman"/>
                <w:sz w:val="21"/>
                <w:szCs w:val="21"/>
                <w:vertAlign w:val="superscript"/>
                <w:lang w:val="en-US" w:eastAsia="zh-CN"/>
              </w:rPr>
              <w:t>2</w:t>
            </w:r>
            <w:r>
              <w:rPr>
                <w:rFonts w:hint="default" w:ascii="Times New Roman" w:hAnsi="Times New Roman" w:eastAsia="宋体" w:cs="Times New Roman"/>
                <w:sz w:val="21"/>
                <w:szCs w:val="21"/>
                <w:lang w:val="en-US" w:eastAsia="zh-CN"/>
              </w:rPr>
              <w:t>危废暂存间</w:t>
            </w:r>
            <w:r>
              <w:rPr>
                <w:rFonts w:hint="eastAsia" w:ascii="Times New Roman" w:hAnsi="Times New Roman" w:cs="Times New Roman"/>
                <w:sz w:val="21"/>
                <w:szCs w:val="21"/>
                <w:lang w:val="en-US" w:eastAsia="zh-CN"/>
              </w:rPr>
              <w:t>，项目脱硝催化剂更换时不在场内暂存，由处置单位直接转运</w:t>
            </w:r>
            <w:r>
              <w:rPr>
                <w:rFonts w:hint="default"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环境风险事故防范措施</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强化环境风险防范和应急措施。制定完备的环风险应急预案，做好与当地政府及相关部门应急预案的衔接，并报当地环保部门备案。加强运行管理，保障污染治理设施正常运行；全面落实环境风险事故防范措施，特别是液氨储运、使用环节的安全管理。储罐区均应设置围堰，确保事故状态下废液、废水全部收集至事故池不外排。按照环境应急预案要求配备事故应急设施、物资和器材，定期进行应急培训和演练，有效防荒和应对环境风险。</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sz w:val="21"/>
                <w:szCs w:val="21"/>
                <w:lang w:val="en-US" w:eastAsia="zh-CN"/>
              </w:rPr>
            </w:pPr>
            <w:r>
              <w:rPr>
                <w:rFonts w:hint="eastAsia"/>
                <w:sz w:val="21"/>
                <w:szCs w:val="21"/>
                <w:lang w:val="en-US" w:eastAsia="zh-CN"/>
              </w:rPr>
              <w:t>项目，脱硝还原剂氨由尿素热解产生，减少厂区风险源。</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sz w:val="21"/>
                <w:szCs w:val="21"/>
                <w:lang w:val="en-US" w:eastAsia="zh-CN"/>
              </w:rPr>
            </w:pPr>
            <w:r>
              <w:rPr>
                <w:rFonts w:hint="default"/>
                <w:sz w:val="21"/>
                <w:szCs w:val="21"/>
                <w:lang w:val="en-US" w:eastAsia="zh-CN"/>
              </w:rPr>
              <w:t>平山</w:t>
            </w:r>
            <w:r>
              <w:rPr>
                <w:rFonts w:hint="default"/>
                <w:sz w:val="21"/>
                <w:szCs w:val="21"/>
              </w:rPr>
              <w:t>电厂</w:t>
            </w:r>
            <w:r>
              <w:rPr>
                <w:rFonts w:hint="eastAsia"/>
                <w:sz w:val="21"/>
                <w:szCs w:val="21"/>
                <w:lang w:val="en-US" w:eastAsia="zh-CN"/>
              </w:rPr>
              <w:t>二期</w:t>
            </w:r>
            <w:r>
              <w:rPr>
                <w:rFonts w:hint="default"/>
                <w:sz w:val="21"/>
                <w:szCs w:val="21"/>
              </w:rPr>
              <w:t>编制《</w:t>
            </w:r>
            <w:r>
              <w:rPr>
                <w:rFonts w:hint="default"/>
                <w:sz w:val="21"/>
                <w:szCs w:val="21"/>
                <w:lang w:eastAsia="zh-CN"/>
              </w:rPr>
              <w:t>淮北申皖发电有限公司</w:t>
            </w:r>
            <w:r>
              <w:rPr>
                <w:rFonts w:hint="default"/>
                <w:sz w:val="21"/>
                <w:szCs w:val="21"/>
              </w:rPr>
              <w:t>突发环境事件应急预案》和《</w:t>
            </w:r>
            <w:r>
              <w:rPr>
                <w:rFonts w:hint="default"/>
                <w:sz w:val="21"/>
                <w:szCs w:val="21"/>
                <w:lang w:eastAsia="zh-CN"/>
              </w:rPr>
              <w:t>淮北申皖发电有限公司</w:t>
            </w:r>
            <w:r>
              <w:rPr>
                <w:rFonts w:hint="default"/>
                <w:sz w:val="21"/>
                <w:szCs w:val="21"/>
              </w:rPr>
              <w:t>突发环境事件专项预案》。</w:t>
            </w:r>
            <w:r>
              <w:rPr>
                <w:rFonts w:hint="eastAsia"/>
                <w:sz w:val="21"/>
                <w:szCs w:val="21"/>
                <w:lang w:val="en-US" w:eastAsia="zh-CN"/>
              </w:rPr>
              <w:t>专项预案针对</w:t>
            </w:r>
            <w:r>
              <w:rPr>
                <w:sz w:val="21"/>
                <w:szCs w:val="21"/>
              </w:rPr>
              <w:t>油罐区、供氢站</w:t>
            </w:r>
            <w:r>
              <w:rPr>
                <w:rFonts w:hint="eastAsia"/>
                <w:sz w:val="21"/>
                <w:szCs w:val="21"/>
                <w:lang w:eastAsia="zh-CN"/>
              </w:rPr>
              <w:t>、</w:t>
            </w:r>
            <w:r>
              <w:rPr>
                <w:rFonts w:hint="eastAsia"/>
                <w:sz w:val="21"/>
                <w:szCs w:val="21"/>
                <w:lang w:val="en-US" w:eastAsia="zh-CN"/>
              </w:rPr>
              <w:t>灰场等区域编制了专项应急预案。备案编号：340640-2022-07-M。</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污染源</w:t>
            </w:r>
          </w:p>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管理</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进一步强化污染源管理工作。加强日常运行及维护管理，确保各类污染物稳定达标排放。按照国家和地方有关规定，建设规笼的污染物排放口和固体废物堆放场，并设立标志牌。废气排放简应合理设置采样口，设置烟气排放连续自动监测系统，与环保部门联网，公开大气污染物排放情况，接受公众监督。</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sz w:val="21"/>
                <w:szCs w:val="21"/>
                <w:highlight w:val="none"/>
                <w:lang w:val="en-US" w:eastAsia="zh-CN"/>
              </w:rPr>
            </w:pPr>
            <w:r>
              <w:rPr>
                <w:rFonts w:hint="eastAsia"/>
                <w:sz w:val="21"/>
                <w:szCs w:val="21"/>
                <w:highlight w:val="none"/>
                <w:lang w:val="en-US" w:eastAsia="zh-CN"/>
              </w:rPr>
              <w:t>项目在脱硫废水处置设施西侧设置1座200m</w:t>
            </w:r>
            <w:r>
              <w:rPr>
                <w:rFonts w:hint="eastAsia"/>
                <w:sz w:val="21"/>
                <w:szCs w:val="21"/>
                <w:highlight w:val="none"/>
                <w:vertAlign w:val="superscript"/>
                <w:lang w:val="en-US" w:eastAsia="zh-CN"/>
              </w:rPr>
              <w:t>2</w:t>
            </w:r>
            <w:r>
              <w:rPr>
                <w:rFonts w:hint="eastAsia"/>
                <w:sz w:val="21"/>
                <w:szCs w:val="21"/>
                <w:highlight w:val="none"/>
                <w:lang w:val="en-US" w:eastAsia="zh-CN"/>
              </w:rPr>
              <w:t>危废暂存间（考虑项目脱硝催化剂更换时不在场内暂存，由处置单位直接转运，项目调整危废暂存间面积，暂存间满足日常生产中产生的危废储存）</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sz w:val="21"/>
                <w:szCs w:val="21"/>
                <w:lang w:val="en-US" w:eastAsia="zh-CN"/>
              </w:rPr>
            </w:pPr>
            <w:r>
              <w:rPr>
                <w:rFonts w:hint="eastAsia"/>
                <w:sz w:val="21"/>
                <w:szCs w:val="21"/>
                <w:lang w:val="en-US" w:eastAsia="zh-CN"/>
              </w:rPr>
              <w:t>项目废水“零排放”，不设置废水排口。</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eastAsia"/>
                <w:sz w:val="21"/>
                <w:szCs w:val="21"/>
                <w:lang w:val="en-US" w:eastAsia="zh-CN"/>
              </w:rPr>
              <w:t>项目烟气排口根据规范要求设置了烟气在线监测系统及人工取样口等；并在排放口附近设置了环保标志牌。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施工期环境管理</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强化施工期环境管理。合理安排施工时间，优化施工工艺，尽量减少临时占地，严格控制施工场地、施工机械和车辆运输扬尘及噪声等环境影响，减少地表裸露面，全面落实《大气污染防治行动计划》相关要求，严格控制不利环境影响，防止施工造成环境污染或生态破坏。</w:t>
            </w:r>
          </w:p>
        </w:tc>
        <w:tc>
          <w:tcPr>
            <w:tcW w:w="4055"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eastAsia" w:ascii="Times New Roman" w:hAnsi="Times New Roman" w:eastAsia="宋体" w:cs="Times New Roman"/>
                <w:kern w:val="2"/>
                <w:sz w:val="21"/>
                <w:szCs w:val="21"/>
                <w:lang w:val="en-US" w:eastAsia="zh-CN" w:bidi="ar-SA"/>
              </w:rPr>
            </w:pPr>
            <w:r>
              <w:rPr>
                <w:rFonts w:hint="eastAsia" w:ascii="Times New Roman" w:hAnsi="Times New Roman" w:eastAsia="宋体" w:cs="Times New Roman"/>
                <w:kern w:val="2"/>
                <w:sz w:val="21"/>
                <w:szCs w:val="21"/>
                <w:lang w:val="en-US" w:eastAsia="zh-CN" w:bidi="ar-SA"/>
              </w:rPr>
              <w:t>淮北申能发电有限公司及时成立了申能平山电厂二期环境保护领导小组，由总经理任组长，各相关部门负责人为小组成员，全面负责申能平山电厂二期的环保管理工作。</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eastAsia="宋体"/>
                <w:lang w:val="en-US" w:eastAsia="zh-CN"/>
              </w:rPr>
            </w:pPr>
            <w:r>
              <w:rPr>
                <w:rFonts w:hint="default" w:ascii="Times New Roman" w:hAnsi="Times New Roman" w:eastAsia="宋体" w:cs="Times New Roman"/>
                <w:kern w:val="2"/>
                <w:sz w:val="21"/>
                <w:szCs w:val="21"/>
                <w:lang w:val="en-US" w:eastAsia="zh-CN" w:bidi="ar-SA"/>
              </w:rPr>
              <w:t>项目建</w:t>
            </w:r>
            <w:r>
              <w:rPr>
                <w:rFonts w:hint="eastAsia" w:ascii="Times New Roman" w:hAnsi="Times New Roman" w:eastAsia="宋体" w:cs="Times New Roman"/>
                <w:kern w:val="2"/>
                <w:sz w:val="21"/>
                <w:szCs w:val="21"/>
                <w:lang w:val="en-US" w:eastAsia="zh-CN" w:bidi="ar-SA"/>
              </w:rPr>
              <w:t>设</w:t>
            </w:r>
            <w:r>
              <w:rPr>
                <w:rFonts w:hint="default" w:ascii="Times New Roman" w:hAnsi="Times New Roman" w:eastAsia="宋体" w:cs="Times New Roman"/>
                <w:kern w:val="2"/>
                <w:sz w:val="21"/>
                <w:szCs w:val="21"/>
                <w:lang w:val="en-US" w:eastAsia="zh-CN" w:bidi="ar-SA"/>
              </w:rPr>
              <w:t>过程中，施工现场</w:t>
            </w:r>
            <w:r>
              <w:rPr>
                <w:rFonts w:hint="eastAsia" w:ascii="Times New Roman" w:hAnsi="Times New Roman" w:eastAsia="宋体" w:cs="Times New Roman"/>
                <w:kern w:val="2"/>
                <w:sz w:val="21"/>
                <w:szCs w:val="21"/>
                <w:lang w:val="en-US" w:eastAsia="zh-CN" w:bidi="ar-SA"/>
              </w:rPr>
              <w:t>严格执行“六个百分百”</w:t>
            </w:r>
            <w:r>
              <w:rPr>
                <w:rFonts w:hint="default" w:ascii="Times New Roman" w:hAnsi="Times New Roman" w:eastAsia="宋体" w:cs="Times New Roman"/>
                <w:kern w:val="2"/>
                <w:sz w:val="21"/>
                <w:szCs w:val="21"/>
                <w:lang w:val="en-US" w:eastAsia="zh-CN" w:bidi="ar-SA"/>
              </w:rPr>
              <w:t>；施工人员生活污水</w:t>
            </w:r>
            <w:r>
              <w:rPr>
                <w:rFonts w:hint="eastAsia" w:ascii="Times New Roman" w:hAnsi="Times New Roman" w:eastAsia="宋体" w:cs="Times New Roman"/>
                <w:kern w:val="2"/>
                <w:sz w:val="21"/>
                <w:szCs w:val="21"/>
                <w:lang w:val="en-US" w:eastAsia="zh-CN" w:bidi="ar-SA"/>
              </w:rPr>
              <w:t>排至一期项目污水处理站</w:t>
            </w:r>
            <w:r>
              <w:rPr>
                <w:rFonts w:hint="default" w:ascii="Times New Roman" w:hAnsi="Times New Roman" w:eastAsia="宋体" w:cs="Times New Roman"/>
                <w:kern w:val="2"/>
                <w:sz w:val="21"/>
                <w:szCs w:val="21"/>
                <w:lang w:val="en-US" w:eastAsia="zh-CN" w:bidi="ar-SA"/>
              </w:rPr>
              <w:t>，施工废水经沉淀后用于道路抑尘，不外排；合理安排施工作业时间，避免高噪设备在夜间施工；施工现场建筑垃圾及时清理，分类回收，施工人员生活垃圾委托烈山区开发区环卫部门处理；</w:t>
            </w:r>
            <w:r>
              <w:rPr>
                <w:rFonts w:hint="eastAsia" w:ascii="Times New Roman" w:hAnsi="Times New Roman" w:eastAsia="宋体" w:cs="Times New Roman"/>
                <w:kern w:val="2"/>
                <w:sz w:val="21"/>
                <w:szCs w:val="21"/>
                <w:lang w:val="en-US" w:eastAsia="zh-CN" w:bidi="ar-SA"/>
              </w:rPr>
              <w:t>施工期产生的危险废物委托具相关资质的单位处置；</w:t>
            </w:r>
            <w:r>
              <w:rPr>
                <w:rFonts w:hint="default" w:ascii="Times New Roman" w:hAnsi="Times New Roman" w:eastAsia="宋体" w:cs="Times New Roman"/>
                <w:kern w:val="2"/>
                <w:sz w:val="21"/>
                <w:szCs w:val="21"/>
                <w:lang w:val="en-US" w:eastAsia="zh-CN" w:bidi="ar-SA"/>
              </w:rPr>
              <w:t>施工期间采取水土保持措施；施工结束后，土方及时回填，平整场地，进行厂区绿化。</w:t>
            </w:r>
            <w:r>
              <w:rPr>
                <w:rFonts w:hint="eastAsia" w:ascii="Times New Roman" w:hAnsi="Times New Roman" w:eastAsia="宋体" w:cs="Times New Roman"/>
                <w:kern w:val="2"/>
                <w:sz w:val="21"/>
                <w:szCs w:val="21"/>
                <w:lang w:val="en-US" w:eastAsia="zh-CN" w:bidi="ar-SA"/>
              </w:rPr>
              <w:t>减少</w:t>
            </w:r>
            <w:r>
              <w:rPr>
                <w:rFonts w:hint="default" w:ascii="Times New Roman" w:hAnsi="Times New Roman" w:eastAsia="宋体" w:cs="Times New Roman"/>
                <w:kern w:val="2"/>
                <w:sz w:val="21"/>
                <w:szCs w:val="21"/>
                <w:lang w:val="en-US" w:eastAsia="zh-CN" w:bidi="ar-SA"/>
              </w:rPr>
              <w:t>施工造成环境污染或生态破坏</w:t>
            </w:r>
            <w:r>
              <w:rPr>
                <w:rFonts w:hint="eastAsia" w:ascii="Times New Roman" w:hAnsi="Times New Roman" w:eastAsia="宋体" w:cs="Times New Roman"/>
                <w:kern w:val="2"/>
                <w:sz w:val="21"/>
                <w:szCs w:val="21"/>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清洁生产</w:t>
            </w:r>
          </w:p>
        </w:tc>
        <w:tc>
          <w:tcPr>
            <w:tcW w:w="351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default" w:ascii="Times New Roman" w:hAnsi="Times New Roman" w:eastAsia="宋体" w:cs="Times New Roman"/>
                <w:kern w:val="2"/>
                <w:sz w:val="21"/>
                <w:szCs w:val="21"/>
                <w:lang w:val="en-US" w:eastAsia="zh-CN" w:bidi="ar-SA"/>
              </w:rPr>
              <w:t>优化生产工艺和环境保护设施的设计、施工，加强生产设施和环保设施等的管理，采取措施进一步提高清洁生产水平，并保持在国内先进及以上水平。主要污染物排放总量按《报告书》所列指标执行，你公司应严格落实各项污染控制措施，确保项目运行后各项主要污染物排放量不超指标要求。</w:t>
            </w:r>
          </w:p>
        </w:tc>
        <w:tc>
          <w:tcPr>
            <w:tcW w:w="4055" w:type="dxa"/>
            <w:noWrap w:val="0"/>
            <w:vAlign w:val="center"/>
          </w:tcPr>
          <w:p>
            <w:pPr>
              <w:pStyle w:val="8"/>
              <w:keepNext w:val="0"/>
              <w:keepLines w:val="0"/>
              <w:pageBreakBefore w:val="0"/>
              <w:widowControl w:val="0"/>
              <w:kinsoku/>
              <w:wordWrap/>
              <w:overflowPunct/>
              <w:topLinePunct w:val="0"/>
              <w:autoSpaceDE/>
              <w:autoSpaceDN/>
              <w:bidi w:val="0"/>
              <w:adjustRightInd/>
              <w:snapToGrid/>
              <w:spacing w:after="0" w:line="240" w:lineRule="auto"/>
              <w:ind w:firstLine="0" w:firstLineChars="0"/>
              <w:textAlignment w:val="auto"/>
              <w:rPr>
                <w:rFonts w:hint="eastAsia"/>
                <w:sz w:val="21"/>
                <w:szCs w:val="21"/>
                <w:lang w:val="en-US" w:eastAsia="zh-CN"/>
              </w:rPr>
            </w:pPr>
            <w:r>
              <w:rPr>
                <w:sz w:val="21"/>
                <w:szCs w:val="21"/>
              </w:rPr>
              <w:t>平山电厂二期工程</w:t>
            </w:r>
            <w:r>
              <w:rPr>
                <w:rFonts w:hint="eastAsia"/>
                <w:sz w:val="21"/>
                <w:szCs w:val="21"/>
                <w:lang w:val="en-US" w:eastAsia="zh-CN"/>
              </w:rPr>
              <w:t>采用</w:t>
            </w:r>
            <w:r>
              <w:rPr>
                <w:sz w:val="21"/>
                <w:szCs w:val="21"/>
              </w:rPr>
              <w:t>单机容量达135万千瓦的新型高效、洁净、低碳燃煤发电技术，采用高低位布置方式的双轴二次中间再热发电机组。机组预期供电煤耗为251g/kW.h，大大提高煤炭资源利用效率，从源头上降低烟气污染和二氧化碳的排放，同时运用最先进的燃煤洁净环保技术，将烟尘、二氧化硫、氮氧化物等排放浓度控制在超低排放水平。</w:t>
            </w:r>
          </w:p>
          <w:p>
            <w:pPr>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rPr>
                <w:rFonts w:hint="default" w:ascii="Times New Roman" w:hAnsi="Times New Roman" w:eastAsia="宋体" w:cs="Times New Roman"/>
                <w:kern w:val="2"/>
                <w:sz w:val="21"/>
                <w:szCs w:val="21"/>
                <w:lang w:val="en-US" w:eastAsia="zh-CN" w:bidi="ar-SA"/>
              </w:rPr>
            </w:pPr>
            <w:r>
              <w:rPr>
                <w:rFonts w:hint="eastAsia" w:ascii="Times New Roman" w:hAnsi="Times New Roman" w:eastAsia="宋体"/>
                <w:kern w:val="2"/>
                <w:sz w:val="21"/>
                <w:szCs w:val="21"/>
                <w:lang w:val="en-US" w:eastAsia="zh-CN" w:bidi="ar-SA"/>
              </w:rPr>
              <w:t>项目委</w:t>
            </w:r>
            <w:r>
              <w:rPr>
                <w:rFonts w:hint="eastAsia" w:ascii="Times New Roman" w:hAnsi="Times New Roman" w:eastAsia="宋体"/>
                <w:color w:val="auto"/>
                <w:kern w:val="2"/>
                <w:sz w:val="21"/>
                <w:szCs w:val="21"/>
                <w:lang w:val="en-US" w:eastAsia="zh-CN" w:bidi="ar-SA"/>
              </w:rPr>
              <w:t>托</w:t>
            </w:r>
            <w:r>
              <w:rPr>
                <w:rFonts w:ascii="Times New Roman" w:hAnsi="Times New Roman" w:eastAsia="宋体"/>
                <w:color w:val="auto"/>
                <w:kern w:val="2"/>
                <w:sz w:val="21"/>
                <w:szCs w:val="21"/>
                <w:lang w:val="en-US" w:eastAsia="zh-CN" w:bidi="ar-SA"/>
              </w:rPr>
              <w:t>上海申欣环保实业有限公司</w:t>
            </w:r>
            <w:r>
              <w:rPr>
                <w:rFonts w:hint="eastAsia" w:ascii="Times New Roman" w:hAnsi="Times New Roman" w:eastAsia="宋体"/>
                <w:color w:val="auto"/>
                <w:kern w:val="2"/>
                <w:sz w:val="21"/>
                <w:szCs w:val="21"/>
                <w:lang w:val="en-US" w:eastAsia="zh-CN" w:bidi="ar-SA"/>
              </w:rPr>
              <w:t>对</w:t>
            </w:r>
            <w:r>
              <w:rPr>
                <w:rFonts w:hint="eastAsia" w:ascii="Times New Roman" w:hAnsi="Times New Roman" w:eastAsia="宋体"/>
                <w:kern w:val="2"/>
                <w:sz w:val="21"/>
                <w:szCs w:val="21"/>
                <w:lang w:val="en-US" w:eastAsia="zh-CN" w:bidi="ar-SA"/>
              </w:rPr>
              <w:t>项目脱硫及脱硝设施进行日常运维工作，严格控制</w:t>
            </w:r>
            <w:r>
              <w:rPr>
                <w:rFonts w:hint="default" w:ascii="Times New Roman" w:hAnsi="Times New Roman" w:eastAsia="宋体"/>
                <w:kern w:val="2"/>
                <w:sz w:val="21"/>
                <w:szCs w:val="21"/>
                <w:lang w:val="en-US" w:eastAsia="zh-CN" w:bidi="ar-SA"/>
              </w:rPr>
              <w:t>各项主要污染物</w:t>
            </w:r>
            <w:r>
              <w:rPr>
                <w:rFonts w:hint="eastAsia" w:ascii="Times New Roman" w:hAnsi="Times New Roman" w:eastAsia="宋体"/>
                <w:kern w:val="2"/>
                <w:sz w:val="21"/>
                <w:szCs w:val="21"/>
                <w:lang w:val="en-US" w:eastAsia="zh-CN" w:bidi="ar-SA"/>
              </w:rPr>
              <w:t>达标排放。</w:t>
            </w:r>
          </w:p>
        </w:tc>
      </w:tr>
    </w:tbl>
    <w:p>
      <w:pPr>
        <w:pStyle w:val="8"/>
        <w:rPr>
          <w:rFonts w:hint="eastAsia"/>
          <w:lang w:val="en-US" w:eastAsia="zh-CN"/>
        </w:rPr>
      </w:pPr>
    </w:p>
    <w:p>
      <w:pPr>
        <w:rPr>
          <w:rFonts w:hint="eastAsia"/>
          <w:color w:val="auto"/>
          <w:highlight w:val="red"/>
          <w:lang w:val="en-US" w:eastAsia="zh-CN"/>
        </w:rPr>
      </w:pPr>
      <w:bookmarkStart w:id="151" w:name="_Toc11944"/>
      <w:bookmarkStart w:id="152" w:name="_Toc3705"/>
      <w:r>
        <w:rPr>
          <w:rFonts w:hint="eastAsia"/>
          <w:color w:val="auto"/>
          <w:highlight w:val="red"/>
          <w:lang w:val="en-US" w:eastAsia="zh-CN"/>
        </w:rPr>
        <w:br w:type="page"/>
      </w:r>
    </w:p>
    <w:p>
      <w:pPr>
        <w:pStyle w:val="3"/>
        <w:rPr>
          <w:rFonts w:hint="eastAsia"/>
          <w:color w:val="auto"/>
          <w:highlight w:val="none"/>
          <w:lang w:val="en-US" w:eastAsia="zh-CN"/>
        </w:rPr>
      </w:pPr>
      <w:bookmarkStart w:id="153" w:name="_Toc23555"/>
      <w:r>
        <w:rPr>
          <w:rFonts w:hint="eastAsia"/>
          <w:color w:val="auto"/>
          <w:highlight w:val="none"/>
          <w:lang w:val="en-US" w:eastAsia="zh-CN"/>
        </w:rPr>
        <w:t>十二、验收监测结论和建议</w:t>
      </w:r>
      <w:bookmarkEnd w:id="151"/>
      <w:bookmarkEnd w:id="152"/>
      <w:bookmarkEnd w:id="153"/>
    </w:p>
    <w:p>
      <w:pPr>
        <w:pStyle w:val="4"/>
        <w:keepNext/>
        <w:keepLines w:val="0"/>
        <w:pageBreakBefore w:val="0"/>
        <w:widowControl w:val="0"/>
        <w:kinsoku/>
        <w:wordWrap/>
        <w:overflowPunct/>
        <w:topLinePunct w:val="0"/>
        <w:autoSpaceDE/>
        <w:autoSpaceDN/>
        <w:bidi w:val="0"/>
        <w:adjustRightInd/>
        <w:snapToGrid/>
        <w:ind w:firstLine="0" w:firstLineChars="0"/>
        <w:textAlignment w:val="auto"/>
        <w:rPr>
          <w:rFonts w:hint="default"/>
          <w:color w:val="auto"/>
          <w:highlight w:val="none"/>
          <w:lang w:val="en-US" w:eastAsia="zh-CN"/>
        </w:rPr>
      </w:pPr>
      <w:bookmarkStart w:id="154" w:name="_Toc195"/>
      <w:bookmarkStart w:id="155" w:name="_Toc9801"/>
      <w:bookmarkStart w:id="156" w:name="_Toc2737"/>
      <w:r>
        <w:rPr>
          <w:rFonts w:hint="eastAsia"/>
          <w:color w:val="auto"/>
          <w:highlight w:val="none"/>
          <w:lang w:val="en-US" w:eastAsia="zh-CN"/>
        </w:rPr>
        <w:t>12.1验收监测结论</w:t>
      </w:r>
      <w:bookmarkEnd w:id="154"/>
      <w:bookmarkEnd w:id="155"/>
      <w:bookmarkEnd w:id="156"/>
    </w:p>
    <w:p>
      <w:pPr>
        <w:pStyle w:val="5"/>
        <w:ind w:left="0" w:leftChars="0" w:firstLine="0" w:firstLineChars="0"/>
        <w:rPr>
          <w:rFonts w:hint="default"/>
          <w:color w:val="auto"/>
          <w:highlight w:val="none"/>
          <w:lang w:val="en-US" w:eastAsia="zh-CN"/>
        </w:rPr>
      </w:pPr>
      <w:bookmarkStart w:id="157" w:name="_Toc21522"/>
      <w:r>
        <w:rPr>
          <w:rFonts w:hint="eastAsia"/>
          <w:color w:val="auto"/>
          <w:highlight w:val="none"/>
          <w:lang w:val="en-US" w:eastAsia="zh-CN"/>
        </w:rPr>
        <w:t>12.1.1生产工况</w:t>
      </w:r>
      <w:bookmarkEnd w:id="157"/>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outlineLvl w:val="9"/>
        <w:rPr>
          <w:rFonts w:hint="eastAsia" w:eastAsia="宋体"/>
          <w:color w:val="auto"/>
          <w:highlight w:val="none"/>
          <w:lang w:val="en-US" w:eastAsia="zh-CN"/>
        </w:rPr>
      </w:pPr>
      <w:r>
        <w:rPr>
          <w:rFonts w:hint="default" w:ascii="Times New Roman" w:hAnsi="Times New Roman" w:cs="Times New Roman"/>
          <w:color w:val="auto"/>
          <w:sz w:val="24"/>
          <w:highlight w:val="none"/>
        </w:rPr>
        <w:t>本次</w:t>
      </w:r>
      <w:r>
        <w:rPr>
          <w:rFonts w:hint="default" w:ascii="Times New Roman" w:hAnsi="Times New Roman" w:cs="Times New Roman"/>
          <w:color w:val="auto"/>
          <w:sz w:val="24"/>
          <w:szCs w:val="24"/>
          <w:highlight w:val="none"/>
          <w:lang w:val="en-US" w:eastAsia="zh-CN"/>
        </w:rPr>
        <w:t>验</w:t>
      </w:r>
      <w:r>
        <w:rPr>
          <w:rFonts w:hint="default" w:ascii="Times New Roman" w:hAnsi="Times New Roman" w:cs="Times New Roman"/>
          <w:color w:val="auto"/>
          <w:sz w:val="24"/>
          <w:highlight w:val="none"/>
          <w:lang w:val="en-US" w:eastAsia="zh-CN"/>
        </w:rPr>
        <w:t>收监测时间</w:t>
      </w:r>
      <w:r>
        <w:rPr>
          <w:rFonts w:hint="eastAsia" w:ascii="Times New Roman" w:hAnsi="Times New Roman" w:cs="Times New Roman"/>
          <w:color w:val="auto"/>
          <w:sz w:val="24"/>
          <w:highlight w:val="none"/>
          <w:lang w:val="en-US" w:eastAsia="zh-CN"/>
        </w:rPr>
        <w:t>分别</w:t>
      </w:r>
      <w:r>
        <w:rPr>
          <w:rFonts w:hint="default" w:ascii="Times New Roman" w:hAnsi="Times New Roman" w:cs="Times New Roman"/>
          <w:color w:val="auto"/>
          <w:sz w:val="24"/>
          <w:highlight w:val="none"/>
          <w:lang w:val="en-US" w:eastAsia="zh-CN"/>
        </w:rPr>
        <w:t>为</w:t>
      </w:r>
      <w:r>
        <w:rPr>
          <w:rFonts w:hint="eastAsia" w:ascii="Times New Roman" w:hAnsi="Times New Roman" w:cs="Times New Roman"/>
          <w:color w:val="auto"/>
          <w:sz w:val="24"/>
          <w:highlight w:val="none"/>
          <w:lang w:val="en-US" w:eastAsia="zh-CN"/>
        </w:rPr>
        <w:t>202</w:t>
      </w:r>
      <w:r>
        <w:rPr>
          <w:rFonts w:hint="eastAsia" w:cs="Times New Roman"/>
          <w:color w:val="auto"/>
          <w:sz w:val="24"/>
          <w:highlight w:val="none"/>
          <w:lang w:val="en-US" w:eastAsia="zh-CN"/>
        </w:rPr>
        <w:t>2</w:t>
      </w:r>
      <w:r>
        <w:rPr>
          <w:rFonts w:hint="default" w:ascii="Times New Roman" w:hAnsi="Times New Roman" w:cs="Times New Roman"/>
          <w:color w:val="auto"/>
          <w:sz w:val="24"/>
          <w:highlight w:val="none"/>
          <w:lang w:val="en-US" w:eastAsia="zh-CN"/>
        </w:rPr>
        <w:t>年</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lang w:val="en-US" w:eastAsia="zh-CN"/>
        </w:rPr>
        <w:t>月</w:t>
      </w:r>
      <w:r>
        <w:rPr>
          <w:rFonts w:hint="eastAsia" w:cs="Times New Roman"/>
          <w:color w:val="auto"/>
          <w:sz w:val="24"/>
          <w:highlight w:val="none"/>
          <w:lang w:val="en-US" w:eastAsia="zh-CN"/>
        </w:rPr>
        <w:t>18</w:t>
      </w:r>
      <w:r>
        <w:rPr>
          <w:rFonts w:hint="default" w:ascii="Times New Roman" w:hAnsi="Times New Roman" w:cs="Times New Roman"/>
          <w:color w:val="auto"/>
          <w:sz w:val="24"/>
          <w:highlight w:val="none"/>
          <w:lang w:val="en-US" w:eastAsia="zh-CN"/>
        </w:rPr>
        <w:t>日-</w:t>
      </w:r>
      <w:r>
        <w:rPr>
          <w:rFonts w:hint="eastAsia" w:cs="Times New Roman"/>
          <w:color w:val="auto"/>
          <w:sz w:val="24"/>
          <w:highlight w:val="none"/>
          <w:lang w:val="en-US" w:eastAsia="zh-CN"/>
        </w:rPr>
        <w:t>8</w:t>
      </w:r>
      <w:r>
        <w:rPr>
          <w:rFonts w:hint="default" w:ascii="Times New Roman" w:hAnsi="Times New Roman" w:cs="Times New Roman"/>
          <w:color w:val="auto"/>
          <w:sz w:val="24"/>
          <w:highlight w:val="none"/>
          <w:lang w:val="en-US" w:eastAsia="zh-CN"/>
        </w:rPr>
        <w:t>月</w:t>
      </w:r>
      <w:r>
        <w:rPr>
          <w:rFonts w:hint="eastAsia" w:cs="Times New Roman"/>
          <w:color w:val="auto"/>
          <w:sz w:val="24"/>
          <w:highlight w:val="none"/>
          <w:lang w:val="en-US" w:eastAsia="zh-CN"/>
        </w:rPr>
        <w:t>19</w:t>
      </w:r>
      <w:r>
        <w:rPr>
          <w:rFonts w:hint="default" w:ascii="Times New Roman" w:hAnsi="Times New Roman" w:cs="Times New Roman"/>
          <w:color w:val="auto"/>
          <w:sz w:val="24"/>
          <w:highlight w:val="none"/>
          <w:lang w:val="en-US" w:eastAsia="zh-CN"/>
        </w:rPr>
        <w:t>日，验收监测期间建设项目实际生产</w:t>
      </w:r>
      <w:r>
        <w:rPr>
          <w:rFonts w:hint="default" w:ascii="Times New Roman" w:hAnsi="Times New Roman" w:cs="Times New Roman"/>
          <w:color w:val="auto"/>
          <w:sz w:val="24"/>
          <w:highlight w:val="none"/>
        </w:rPr>
        <w:t>负荷＞75%，能满足</w:t>
      </w:r>
      <w:r>
        <w:rPr>
          <w:rFonts w:hint="default" w:ascii="Times New Roman" w:hAnsi="Times New Roman" w:cs="Times New Roman"/>
          <w:color w:val="000000"/>
          <w:sz w:val="24"/>
          <w:highlight w:val="none"/>
        </w:rPr>
        <w:t>验收监测期间对生产工况的要求，符合</w:t>
      </w:r>
      <w:r>
        <w:rPr>
          <w:rFonts w:hint="default" w:ascii="Times New Roman" w:hAnsi="Times New Roman" w:cs="Times New Roman"/>
          <w:color w:val="000000"/>
          <w:sz w:val="24"/>
          <w:highlight w:val="none"/>
          <w:lang w:val="en-US" w:eastAsia="zh-CN"/>
        </w:rPr>
        <w:t>竣工环境保护</w:t>
      </w:r>
      <w:r>
        <w:rPr>
          <w:rFonts w:hint="default" w:ascii="Times New Roman" w:hAnsi="Times New Roman" w:cs="Times New Roman"/>
          <w:color w:val="000000"/>
          <w:sz w:val="24"/>
          <w:highlight w:val="none"/>
        </w:rPr>
        <w:t>验收监测技术规范要求</w:t>
      </w:r>
      <w:r>
        <w:rPr>
          <w:rFonts w:hint="eastAsia" w:ascii="Times New Roman" w:hAnsi="Times New Roman" w:cs="Times New Roman"/>
          <w:color w:val="000000"/>
          <w:sz w:val="24"/>
          <w:highlight w:val="none"/>
          <w:lang w:eastAsia="zh-CN"/>
        </w:rPr>
        <w:t>。</w:t>
      </w:r>
    </w:p>
    <w:p>
      <w:pPr>
        <w:pStyle w:val="5"/>
        <w:ind w:left="0" w:leftChars="0" w:firstLine="0" w:firstLineChars="0"/>
        <w:rPr>
          <w:rFonts w:hint="eastAsia"/>
          <w:color w:val="auto"/>
          <w:highlight w:val="none"/>
          <w:lang w:val="en-US" w:eastAsia="zh-CN"/>
        </w:rPr>
      </w:pPr>
      <w:bookmarkStart w:id="158" w:name="_Toc2630"/>
      <w:r>
        <w:rPr>
          <w:rFonts w:hint="eastAsia"/>
          <w:color w:val="auto"/>
          <w:highlight w:val="none"/>
          <w:lang w:val="en-US" w:eastAsia="zh-CN"/>
        </w:rPr>
        <w:t>12.1.2环保设施处理效率监测结果</w:t>
      </w:r>
      <w:bookmarkEnd w:id="158"/>
    </w:p>
    <w:p>
      <w:pPr>
        <w:bidi w:val="0"/>
        <w:rPr>
          <w:rFonts w:hint="default"/>
          <w:highlight w:val="red"/>
          <w:lang w:val="en-US" w:eastAsia="zh-CN"/>
        </w:rPr>
      </w:pPr>
      <w:r>
        <w:rPr>
          <w:rFonts w:hint="eastAsia"/>
          <w:highlight w:val="none"/>
          <w:lang w:val="en-US" w:eastAsia="zh-CN"/>
        </w:rPr>
        <w:t>烟气治理设施处理效率监测结果引用《淮北申能发电有限公司申能安徽平山电厂二期工程项目脱硫、脱硝、除尘设施竣工环境保护验收监测报告》内容，本项目脱硝系统的脱硝效率为82.299%~88.278%，除尘系统的除尘效率为99.940%~99.951%，脱硫系统的脱硫效率为98.774%~99.040%；综合脱硝效率为：88.50%~97.731%；综合脱硫效率为99.202%~99.602%；综合除尘效率为99.980%~99.991%；综合汞及其化合物处理效率为76.2%~77.8%。满足环评要求</w:t>
      </w:r>
      <w:r>
        <w:rPr>
          <w:rFonts w:hint="eastAsia"/>
          <w:highlight w:val="none"/>
          <w:lang w:eastAsia="zh-CN"/>
        </w:rPr>
        <w:t>。</w:t>
      </w:r>
    </w:p>
    <w:p>
      <w:pPr>
        <w:pStyle w:val="5"/>
        <w:bidi w:val="0"/>
        <w:ind w:left="0" w:leftChars="0" w:firstLine="0" w:firstLineChars="0"/>
        <w:rPr>
          <w:rFonts w:hint="eastAsia"/>
          <w:highlight w:val="none"/>
          <w:lang w:val="en-US" w:eastAsia="zh-CN"/>
        </w:rPr>
      </w:pPr>
      <w:bookmarkStart w:id="159" w:name="_Toc2901"/>
      <w:r>
        <w:rPr>
          <w:rFonts w:hint="eastAsia"/>
          <w:highlight w:val="none"/>
          <w:lang w:val="en-US" w:eastAsia="zh-CN"/>
        </w:rPr>
        <w:t>12.1.3污染物监测结果</w:t>
      </w:r>
      <w:bookmarkEnd w:id="159"/>
    </w:p>
    <w:p>
      <w:pPr>
        <w:keepNext w:val="0"/>
        <w:keepLines w:val="0"/>
        <w:pageBreakBefore w:val="0"/>
        <w:widowControl w:val="0"/>
        <w:numPr>
          <w:ilvl w:val="0"/>
          <w:numId w:val="6"/>
        </w:numPr>
        <w:kinsoku/>
        <w:wordWrap/>
        <w:overflowPunct/>
        <w:topLinePunct w:val="0"/>
        <w:autoSpaceDE/>
        <w:autoSpaceDN/>
        <w:bidi w:val="0"/>
        <w:adjustRightInd/>
        <w:snapToGrid/>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验收监测期间，本项目</w:t>
      </w:r>
      <w:r>
        <w:rPr>
          <w:rFonts w:hint="default" w:ascii="Times New Roman" w:hAnsi="Times New Roman" w:eastAsia="宋体" w:cs="Times New Roman"/>
          <w:color w:val="auto"/>
          <w:sz w:val="24"/>
          <w:szCs w:val="24"/>
          <w:highlight w:val="none"/>
          <w:lang w:val="en-US" w:eastAsia="zh-CN"/>
        </w:rPr>
        <w:t>锅炉</w:t>
      </w:r>
      <w:r>
        <w:rPr>
          <w:rFonts w:hint="default" w:ascii="Times New Roman" w:hAnsi="Times New Roman" w:eastAsia="宋体" w:cs="Times New Roman"/>
          <w:color w:val="auto"/>
          <w:sz w:val="24"/>
          <w:szCs w:val="24"/>
          <w:highlight w:val="none"/>
          <w:lang w:eastAsia="zh-CN"/>
        </w:rPr>
        <w:t>烟气</w:t>
      </w:r>
      <w:r>
        <w:rPr>
          <w:rFonts w:hint="default" w:ascii="Times New Roman" w:hAnsi="Times New Roman" w:eastAsia="宋体" w:cs="Times New Roman"/>
          <w:color w:val="auto"/>
          <w:sz w:val="24"/>
          <w:szCs w:val="24"/>
          <w:highlight w:val="none"/>
          <w:lang w:val="en-US" w:eastAsia="zh-CN"/>
        </w:rPr>
        <w:t>外排</w:t>
      </w:r>
      <w:r>
        <w:rPr>
          <w:rFonts w:hint="default" w:ascii="Times New Roman" w:hAnsi="Times New Roman" w:eastAsia="宋体" w:cs="Times New Roman"/>
          <w:color w:val="auto"/>
          <w:sz w:val="24"/>
          <w:szCs w:val="24"/>
          <w:highlight w:val="none"/>
          <w:lang w:eastAsia="zh-CN"/>
        </w:rPr>
        <w:t>中颗粒物最大排放浓度为</w:t>
      </w:r>
      <w:r>
        <w:rPr>
          <w:rFonts w:hint="default" w:ascii="Times New Roman" w:hAnsi="Times New Roman" w:eastAsia="宋体" w:cs="Times New Roman"/>
          <w:color w:val="auto"/>
          <w:sz w:val="24"/>
          <w:szCs w:val="24"/>
          <w:highlight w:val="none"/>
          <w:lang w:val="en-US" w:eastAsia="zh-CN"/>
        </w:rPr>
        <w:t>4.</w:t>
      </w:r>
      <w:r>
        <w:rPr>
          <w:rFonts w:hint="eastAsia" w:cs="Times New Roman"/>
          <w:color w:val="auto"/>
          <w:sz w:val="24"/>
          <w:szCs w:val="24"/>
          <w:highlight w:val="none"/>
          <w:lang w:val="en-US" w:eastAsia="zh-CN"/>
        </w:rPr>
        <w:t>1</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，二氧化硫最大排放浓度为</w:t>
      </w:r>
      <w:r>
        <w:rPr>
          <w:rFonts w:hint="default" w:ascii="Times New Roman" w:hAnsi="Times New Roman" w:eastAsia="宋体" w:cs="Times New Roman"/>
          <w:color w:val="auto"/>
          <w:sz w:val="24"/>
          <w:szCs w:val="24"/>
          <w:highlight w:val="none"/>
          <w:lang w:val="en-US" w:eastAsia="zh-CN"/>
        </w:rPr>
        <w:t>8</w:t>
      </w:r>
      <w:r>
        <w:rPr>
          <w:rFonts w:hint="eastAsia" w:cs="Times New Roman"/>
          <w:color w:val="auto"/>
          <w:sz w:val="24"/>
          <w:szCs w:val="24"/>
          <w:highlight w:val="none"/>
          <w:lang w:val="en-US" w:eastAsia="zh-CN"/>
        </w:rPr>
        <w:t>.4</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，氮氧化物最大排放浓度为</w:t>
      </w:r>
      <w:r>
        <w:rPr>
          <w:rFonts w:hint="eastAsia" w:cs="Times New Roman"/>
          <w:color w:val="auto"/>
          <w:sz w:val="24"/>
          <w:szCs w:val="24"/>
          <w:highlight w:val="none"/>
          <w:lang w:val="en-US" w:eastAsia="zh-CN"/>
        </w:rPr>
        <w:t>41</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，汞及其化合物最大排放浓度为</w:t>
      </w:r>
      <w:r>
        <w:rPr>
          <w:rFonts w:hint="eastAsia" w:cs="Times New Roman"/>
          <w:sz w:val="24"/>
          <w:szCs w:val="24"/>
          <w:highlight w:val="none"/>
          <w:vertAlign w:val="baseline"/>
          <w:lang w:val="en-US" w:eastAsia="zh-CN"/>
        </w:rPr>
        <w:t>6.1</w:t>
      </w:r>
      <w:r>
        <w:rPr>
          <w:rFonts w:hint="default" w:ascii="Times New Roman" w:hAnsi="Times New Roman" w:eastAsia="宋体" w:cs="Times New Roman"/>
          <w:sz w:val="24"/>
          <w:szCs w:val="24"/>
          <w:highlight w:val="none"/>
          <w:vertAlign w:val="baseline"/>
          <w:lang w:val="en-US" w:eastAsia="zh-CN"/>
        </w:rPr>
        <w:t>×10</w:t>
      </w:r>
      <w:r>
        <w:rPr>
          <w:rFonts w:hint="default" w:ascii="Times New Roman" w:hAnsi="Times New Roman" w:eastAsia="宋体" w:cs="Times New Roman"/>
          <w:sz w:val="24"/>
          <w:szCs w:val="24"/>
          <w:highlight w:val="none"/>
          <w:vertAlign w:val="superscript"/>
          <w:lang w:val="en-US" w:eastAsia="zh-CN"/>
        </w:rPr>
        <w:t>-</w:t>
      </w:r>
      <w:r>
        <w:rPr>
          <w:rFonts w:hint="eastAsia" w:cs="Times New Roman"/>
          <w:sz w:val="24"/>
          <w:szCs w:val="24"/>
          <w:highlight w:val="none"/>
          <w:vertAlign w:val="superscript"/>
          <w:lang w:val="en-US" w:eastAsia="zh-CN"/>
        </w:rPr>
        <w:t>5</w:t>
      </w:r>
      <w:r>
        <w:rPr>
          <w:rFonts w:hint="default" w:ascii="Times New Roman" w:hAnsi="Times New Roman" w:eastAsia="宋体" w:cs="Times New Roman"/>
          <w:color w:val="auto"/>
          <w:sz w:val="24"/>
          <w:szCs w:val="24"/>
          <w:highlight w:val="none"/>
          <w:lang w:eastAsia="zh-CN"/>
        </w:rPr>
        <w:t>mg/m</w:t>
      </w:r>
      <w:r>
        <w:rPr>
          <w:rFonts w:hint="default" w:ascii="Times New Roman" w:hAnsi="Times New Roman" w:eastAsia="宋体" w:cs="Times New Roman"/>
          <w:color w:val="auto"/>
          <w:sz w:val="24"/>
          <w:szCs w:val="24"/>
          <w:highlight w:val="none"/>
          <w:vertAlign w:val="superscript"/>
          <w:lang w:eastAsia="zh-CN"/>
        </w:rPr>
        <w:t>3</w:t>
      </w:r>
      <w:r>
        <w:rPr>
          <w:rFonts w:hint="default" w:ascii="Times New Roman" w:hAnsi="Times New Roman" w:eastAsia="宋体" w:cs="Times New Roman"/>
          <w:color w:val="auto"/>
          <w:sz w:val="24"/>
          <w:szCs w:val="24"/>
          <w:highlight w:val="none"/>
          <w:lang w:eastAsia="zh-CN"/>
        </w:rPr>
        <w:t>，均符合《火电厂大气污染物排放标准》（GB13223-2011）表1中相应限值要求</w:t>
      </w:r>
      <w:r>
        <w:rPr>
          <w:rFonts w:hint="default" w:ascii="Times New Roman" w:hAnsi="Times New Roman" w:eastAsia="宋体" w:cs="Times New Roman"/>
          <w:color w:val="auto"/>
          <w:sz w:val="24"/>
          <w:szCs w:val="24"/>
          <w:highlight w:val="none"/>
          <w:lang w:val="en-US" w:eastAsia="zh-CN"/>
        </w:rPr>
        <w:t>和《关于印发《全面实施燃煤电厂超低排放和节能改造工作方案》的通知》（环发[2015]164号）的要求。</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olor w:val="auto"/>
          <w:sz w:val="24"/>
          <w:szCs w:val="24"/>
          <w:highlight w:val="none"/>
          <w:lang w:eastAsia="zh-CN"/>
        </w:rPr>
        <w:t>颗粒物的无组织排放最大监控浓度为0.</w:t>
      </w:r>
      <w:r>
        <w:rPr>
          <w:rFonts w:hint="eastAsia"/>
          <w:color w:val="auto"/>
          <w:sz w:val="24"/>
          <w:szCs w:val="24"/>
          <w:highlight w:val="none"/>
          <w:lang w:val="en-US" w:eastAsia="zh-CN"/>
        </w:rPr>
        <w:t>250</w:t>
      </w:r>
      <w:r>
        <w:rPr>
          <w:rFonts w:hint="eastAsia"/>
          <w:color w:val="auto"/>
          <w:sz w:val="24"/>
          <w:szCs w:val="24"/>
          <w:highlight w:val="none"/>
          <w:lang w:eastAsia="zh-CN"/>
        </w:rPr>
        <w:t>mg/m</w:t>
      </w:r>
      <w:r>
        <w:rPr>
          <w:rFonts w:hint="eastAsia"/>
          <w:color w:val="auto"/>
          <w:sz w:val="24"/>
          <w:szCs w:val="24"/>
          <w:highlight w:val="none"/>
          <w:vertAlign w:val="superscript"/>
          <w:lang w:eastAsia="zh-CN"/>
        </w:rPr>
        <w:t>3</w:t>
      </w:r>
      <w:r>
        <w:rPr>
          <w:rFonts w:hint="eastAsia"/>
          <w:color w:val="auto"/>
          <w:sz w:val="24"/>
          <w:szCs w:val="24"/>
          <w:highlight w:val="none"/>
          <w:lang w:eastAsia="zh-CN"/>
        </w:rPr>
        <w:t>，符合《大气污染物综合排放标准》（GB16297-1996）表2中限值要求。</w:t>
      </w:r>
    </w:p>
    <w:p>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rPr>
        <w:t>本项目年运行时间</w:t>
      </w:r>
      <w:r>
        <w:rPr>
          <w:rFonts w:hint="eastAsia" w:cs="Times New Roman"/>
          <w:color w:val="auto"/>
          <w:sz w:val="24"/>
          <w:szCs w:val="24"/>
          <w:highlight w:val="none"/>
          <w:lang w:val="en-US" w:eastAsia="zh-CN"/>
        </w:rPr>
        <w:t>平均</w:t>
      </w:r>
      <w:r>
        <w:rPr>
          <w:rFonts w:hint="default" w:ascii="Times New Roman" w:hAnsi="Times New Roman" w:eastAsia="宋体" w:cs="Times New Roman"/>
          <w:color w:val="auto"/>
          <w:sz w:val="24"/>
          <w:szCs w:val="24"/>
          <w:highlight w:val="none"/>
        </w:rPr>
        <w:t>为</w:t>
      </w:r>
      <w:r>
        <w:rPr>
          <w:rFonts w:hint="eastAsia" w:cs="Times New Roman"/>
          <w:color w:val="auto"/>
          <w:sz w:val="24"/>
          <w:szCs w:val="24"/>
          <w:highlight w:val="none"/>
          <w:lang w:val="en-US" w:eastAsia="zh-CN"/>
        </w:rPr>
        <w:t>5500</w:t>
      </w:r>
      <w:r>
        <w:rPr>
          <w:rFonts w:hint="default" w:ascii="Times New Roman" w:hAnsi="Times New Roman" w:eastAsia="宋体" w:cs="Times New Roman"/>
          <w:color w:val="auto"/>
          <w:sz w:val="24"/>
          <w:szCs w:val="24"/>
          <w:highlight w:val="none"/>
        </w:rPr>
        <w:t>h，根据验收监测结果计算出二氧化硫、氮氧化物、</w:t>
      </w:r>
      <w:r>
        <w:rPr>
          <w:rFonts w:hint="eastAsia" w:ascii="Times New Roman" w:hAnsi="Times New Roman" w:eastAsia="宋体" w:cs="Times New Roman"/>
          <w:color w:val="auto"/>
          <w:sz w:val="24"/>
          <w:szCs w:val="24"/>
          <w:highlight w:val="none"/>
          <w:lang w:val="en-US" w:eastAsia="zh-CN"/>
        </w:rPr>
        <w:t>烟尘排放量</w:t>
      </w:r>
      <w:r>
        <w:rPr>
          <w:rFonts w:hint="default" w:ascii="Times New Roman" w:hAnsi="Times New Roman" w:eastAsia="宋体" w:cs="Times New Roman"/>
          <w:color w:val="auto"/>
          <w:sz w:val="24"/>
          <w:szCs w:val="24"/>
          <w:highlight w:val="none"/>
        </w:rPr>
        <w:t>满足</w:t>
      </w:r>
      <w:r>
        <w:rPr>
          <w:rFonts w:hint="eastAsia" w:ascii="Times New Roman" w:hAnsi="Times New Roman" w:eastAsia="宋体" w:cs="Times New Roman"/>
          <w:color w:val="auto"/>
          <w:sz w:val="24"/>
          <w:szCs w:val="24"/>
          <w:highlight w:val="none"/>
          <w:lang w:val="en-US" w:eastAsia="zh-CN"/>
        </w:rPr>
        <w:t>本项目总量控制指标</w:t>
      </w:r>
      <w:r>
        <w:rPr>
          <w:rFonts w:hint="default" w:ascii="Times New Roman" w:hAnsi="Times New Roman" w:eastAsia="宋体" w:cs="Times New Roman"/>
          <w:color w:val="auto"/>
          <w:sz w:val="24"/>
          <w:szCs w:val="24"/>
          <w:highlight w:val="none"/>
        </w:rPr>
        <w:t>。</w:t>
      </w:r>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cs="Times New Roman"/>
          <w:color w:val="auto"/>
          <w:sz w:val="24"/>
          <w:szCs w:val="24"/>
          <w:highlight w:val="none"/>
          <w:lang w:val="en-US" w:eastAsia="zh-CN"/>
        </w:rPr>
      </w:pPr>
      <w:r>
        <w:rPr>
          <w:rFonts w:hint="eastAsia" w:cs="Times New Roman"/>
          <w:sz w:val="24"/>
          <w:szCs w:val="24"/>
          <w:highlight w:val="none"/>
          <w:lang w:val="en-US" w:eastAsia="zh-CN"/>
        </w:rPr>
        <w:t>（2）生活污水水质满足</w:t>
      </w:r>
      <w:r>
        <w:rPr>
          <w:rFonts w:hint="eastAsia" w:ascii="宋体" w:hAnsi="宋体" w:eastAsia="宋体" w:cs="宋体"/>
          <w:color w:val="000000"/>
          <w:kern w:val="0"/>
          <w:sz w:val="24"/>
          <w:szCs w:val="24"/>
          <w:lang w:val="en-US" w:eastAsia="zh-CN" w:bidi="ar"/>
        </w:rPr>
        <w:t>《城市污水再生利用城市杂用水水质》</w:t>
      </w:r>
      <w:r>
        <w:rPr>
          <w:rFonts w:hint="default" w:ascii="Times New Roman" w:hAnsi="Times New Roman" w:eastAsia="宋体" w:cs="Times New Roman"/>
          <w:color w:val="000000"/>
          <w:kern w:val="0"/>
          <w:sz w:val="24"/>
          <w:szCs w:val="24"/>
          <w:lang w:val="en-US" w:eastAsia="zh-CN" w:bidi="ar"/>
        </w:rPr>
        <w:t>(GB/T18920</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2002)</w:t>
      </w:r>
      <w:r>
        <w:rPr>
          <w:rFonts w:hint="eastAsia" w:ascii="Times New Roman" w:hAnsi="Times New Roman" w:eastAsia="宋体" w:cs="Times New Roman"/>
          <w:color w:val="000000"/>
          <w:kern w:val="0"/>
          <w:sz w:val="24"/>
          <w:szCs w:val="24"/>
          <w:lang w:val="en-US" w:eastAsia="zh-CN" w:bidi="ar"/>
        </w:rPr>
        <w:t>绿化</w:t>
      </w:r>
      <w:r>
        <w:rPr>
          <w:rFonts w:hint="eastAsia" w:ascii="宋体" w:hAnsi="宋体" w:eastAsia="宋体" w:cs="宋体"/>
          <w:color w:val="000000"/>
          <w:kern w:val="0"/>
          <w:sz w:val="24"/>
          <w:szCs w:val="24"/>
          <w:lang w:val="en-US" w:eastAsia="zh-CN" w:bidi="ar"/>
        </w:rPr>
        <w:t>回用标准。生产污水处理后满足《城市污水再生利用工业用水水质》</w:t>
      </w:r>
      <w:r>
        <w:rPr>
          <w:rFonts w:hint="default" w:ascii="Times New Roman" w:hAnsi="Times New Roman" w:eastAsia="宋体" w:cs="Times New Roman"/>
          <w:color w:val="000000"/>
          <w:kern w:val="0"/>
          <w:sz w:val="24"/>
          <w:szCs w:val="24"/>
          <w:lang w:val="en-US" w:eastAsia="zh-CN" w:bidi="ar"/>
        </w:rPr>
        <w:t>(GB/T19923</w:t>
      </w:r>
      <w:r>
        <w:rPr>
          <w:rFonts w:hint="eastAsia" w:ascii="宋体" w:hAnsi="宋体" w:eastAsia="宋体" w:cs="宋体"/>
          <w:color w:val="000000"/>
          <w:kern w:val="0"/>
          <w:sz w:val="24"/>
          <w:szCs w:val="24"/>
          <w:lang w:val="en-US" w:eastAsia="zh-CN" w:bidi="ar"/>
        </w:rPr>
        <w:t>－</w:t>
      </w:r>
      <w:r>
        <w:rPr>
          <w:rFonts w:hint="default" w:ascii="Times New Roman" w:hAnsi="Times New Roman" w:eastAsia="宋体" w:cs="Times New Roman"/>
          <w:color w:val="000000"/>
          <w:kern w:val="0"/>
          <w:sz w:val="24"/>
          <w:szCs w:val="24"/>
          <w:lang w:val="en-US" w:eastAsia="zh-CN" w:bidi="ar"/>
        </w:rPr>
        <w:t>2005)</w:t>
      </w:r>
      <w:r>
        <w:rPr>
          <w:rFonts w:hint="eastAsia" w:ascii="Times New Roman" w:hAnsi="Times New Roman" w:eastAsia="宋体" w:cs="Times New Roman"/>
          <w:color w:val="000000"/>
          <w:kern w:val="0"/>
          <w:sz w:val="24"/>
          <w:szCs w:val="24"/>
          <w:lang w:val="en-US" w:eastAsia="zh-CN" w:bidi="ar"/>
        </w:rPr>
        <w:t>中水质要求。生活污水及生产污水均不外排，厂区不设置污水排放口</w:t>
      </w:r>
      <w:r>
        <w:rPr>
          <w:rFonts w:hint="eastAsia" w:ascii="Times New Roman" w:hAnsi="Times New Roman" w:cs="Times New Roman"/>
          <w:color w:val="auto"/>
          <w:sz w:val="24"/>
          <w:szCs w:val="24"/>
          <w:highlight w:val="none"/>
          <w:lang w:val="en-US" w:eastAsia="zh-CN"/>
        </w:rPr>
        <w:t>。</w:t>
      </w:r>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（3）</w:t>
      </w:r>
      <w:r>
        <w:rPr>
          <w:rFonts w:hint="eastAsia" w:ascii="Times New Roman" w:hAnsi="Times New Roman" w:cs="Times New Roman"/>
          <w:color w:val="auto"/>
          <w:sz w:val="24"/>
          <w:szCs w:val="24"/>
          <w:highlight w:val="none"/>
          <w:lang w:val="en-US" w:eastAsia="zh-CN"/>
        </w:rPr>
        <w:t>本项目工业企业厂界环境噪声昼间最大值为61dB（A），夜间最大值为50dB（A），满足《工业企业厂界环境噪声排放标准》（GB12348-2008）中3类标准。</w:t>
      </w:r>
    </w:p>
    <w:p>
      <w:pPr>
        <w:pStyle w:val="8"/>
        <w:keepNext w:val="0"/>
        <w:keepLines w:val="0"/>
        <w:pageBreakBefore w:val="0"/>
        <w:widowControl w:val="0"/>
        <w:kinsoku/>
        <w:wordWrap/>
        <w:overflowPunct/>
        <w:topLinePunct w:val="0"/>
        <w:autoSpaceDE/>
        <w:autoSpaceDN/>
        <w:bidi w:val="0"/>
        <w:adjustRightInd/>
        <w:snapToGrid/>
        <w:spacing w:after="0"/>
        <w:textAlignment w:val="auto"/>
        <w:rPr>
          <w:rFonts w:hint="eastAsia" w:ascii="Times New Roman" w:hAnsi="Times New Roman" w:cs="Times New Roman"/>
          <w:color w:val="auto"/>
          <w:sz w:val="24"/>
          <w:szCs w:val="24"/>
          <w:highlight w:val="none"/>
          <w:lang w:val="en-US" w:eastAsia="zh-CN"/>
        </w:rPr>
      </w:pPr>
      <w:r>
        <w:rPr>
          <w:rFonts w:hint="eastAsia" w:cs="Times New Roman"/>
          <w:color w:val="auto"/>
          <w:sz w:val="24"/>
          <w:szCs w:val="24"/>
          <w:highlight w:val="none"/>
          <w:lang w:val="en-US" w:eastAsia="zh-CN"/>
        </w:rPr>
        <w:t>（4）</w:t>
      </w:r>
      <w:r>
        <w:rPr>
          <w:rFonts w:hint="eastAsia" w:ascii="Times New Roman" w:hAnsi="Times New Roman" w:cs="Times New Roman"/>
          <w:color w:val="auto"/>
          <w:sz w:val="24"/>
          <w:szCs w:val="24"/>
          <w:highlight w:val="none"/>
          <w:lang w:val="en-US" w:eastAsia="zh-CN"/>
        </w:rPr>
        <w:t>地下水及土壤</w:t>
      </w:r>
      <w:r>
        <w:rPr>
          <w:rFonts w:hint="eastAsia" w:cs="Times New Roman"/>
          <w:color w:val="auto"/>
          <w:sz w:val="24"/>
          <w:szCs w:val="24"/>
          <w:highlight w:val="none"/>
          <w:lang w:val="en-US" w:eastAsia="zh-CN"/>
        </w:rPr>
        <w:t>监测因子</w:t>
      </w:r>
      <w:r>
        <w:rPr>
          <w:rFonts w:hint="eastAsia" w:ascii="Times New Roman" w:hAnsi="Times New Roman" w:cs="Times New Roman"/>
          <w:color w:val="auto"/>
          <w:sz w:val="24"/>
          <w:szCs w:val="24"/>
          <w:highlight w:val="none"/>
          <w:lang w:val="en-US" w:eastAsia="zh-CN"/>
        </w:rPr>
        <w:t>分别满足</w:t>
      </w:r>
      <w:r>
        <w:rPr>
          <w:rFonts w:hint="default" w:ascii="Times New Roman" w:hAnsi="Times New Roman" w:eastAsia="宋体" w:cs="Times New Roman"/>
          <w:lang w:val="en-US" w:eastAsia="zh-CN"/>
        </w:rPr>
        <w:t>《地下水质量标准》（GB/T14848-2017）的Ⅲ类限值</w:t>
      </w:r>
      <w:r>
        <w:rPr>
          <w:rFonts w:hint="eastAsia" w:ascii="Times New Roman" w:hAnsi="Times New Roman" w:eastAsia="宋体" w:cs="Times New Roman"/>
          <w:lang w:val="en-US" w:eastAsia="zh-CN"/>
        </w:rPr>
        <w:t>和</w:t>
      </w:r>
      <w:r>
        <w:rPr>
          <w:rFonts w:hint="eastAsia"/>
          <w:color w:val="auto"/>
          <w:sz w:val="24"/>
          <w:szCs w:val="24"/>
          <w:highlight w:val="none"/>
          <w:lang w:val="en-US" w:eastAsia="zh-CN"/>
        </w:rPr>
        <w:t>《土壤环境质量建设用地土壤污染风险管控标准（试行）》（GB36600-2018）二类用地筛选要求</w:t>
      </w:r>
      <w:r>
        <w:rPr>
          <w:rFonts w:hint="eastAsia" w:ascii="Times New Roman" w:hAnsi="Times New Roman"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color w:val="auto"/>
          <w:kern w:val="2"/>
          <w:sz w:val="24"/>
          <w:szCs w:val="24"/>
          <w:highlight w:val="none"/>
          <w:lang w:val="en-US" w:eastAsia="zh-CN" w:bidi="ar-SA"/>
        </w:rPr>
        <w:t>（5）项目委托淮北宏欧贸易有限公司处置项目脱硫石膏；委托淮北平哲商贸有限责任公司和淮北中湖商贸有限责任公司处置项目粉煤灰、渣。</w:t>
      </w:r>
      <w:r>
        <w:rPr>
          <w:rFonts w:hint="default" w:ascii="Times New Roman" w:hAnsi="Times New Roman" w:eastAsia="宋体" w:cs="Times New Roman"/>
          <w:color w:val="auto"/>
          <w:kern w:val="2"/>
          <w:sz w:val="24"/>
          <w:szCs w:val="24"/>
          <w:highlight w:val="none"/>
          <w:lang w:val="en-US" w:eastAsia="zh-CN" w:bidi="ar-SA"/>
        </w:rPr>
        <w:t>脱硝催化剂更换周期约为5-6年</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一次产生量约245t/次</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废催化剂作危险废物管理</w:t>
      </w:r>
      <w:r>
        <w:rPr>
          <w:rFonts w:hint="eastAsia" w:ascii="Times New Roman" w:hAnsi="Times New Roman" w:eastAsia="宋体" w:cs="Times New Roman"/>
          <w:color w:val="auto"/>
          <w:kern w:val="2"/>
          <w:sz w:val="24"/>
          <w:szCs w:val="24"/>
          <w:highlight w:val="none"/>
          <w:lang w:val="en-US" w:eastAsia="zh-CN" w:bidi="ar-SA"/>
        </w:rPr>
        <w:t>，</w:t>
      </w:r>
      <w:r>
        <w:rPr>
          <w:rFonts w:hint="default" w:ascii="Times New Roman" w:hAnsi="Times New Roman" w:eastAsia="宋体" w:cs="Times New Roman"/>
          <w:color w:val="auto"/>
          <w:kern w:val="2"/>
          <w:sz w:val="24"/>
          <w:szCs w:val="24"/>
          <w:highlight w:val="none"/>
          <w:lang w:val="en-US" w:eastAsia="zh-CN" w:bidi="ar-SA"/>
        </w:rPr>
        <w:t>厂内不设暂存间。</w:t>
      </w:r>
      <w:r>
        <w:rPr>
          <w:rFonts w:hint="eastAsia" w:ascii="Times New Roman" w:hAnsi="Times New Roman" w:eastAsia="宋体" w:cs="Times New Roman"/>
          <w:color w:val="auto"/>
          <w:kern w:val="2"/>
          <w:sz w:val="24"/>
          <w:szCs w:val="24"/>
          <w:highlight w:val="none"/>
          <w:lang w:val="en-US" w:eastAsia="zh-CN" w:bidi="ar-SA"/>
        </w:rPr>
        <w:t>目前项目暂无废催化剂产生。</w:t>
      </w:r>
    </w:p>
    <w:p>
      <w:pPr>
        <w:pStyle w:val="26"/>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default"/>
          <w:lang w:val="en-US" w:eastAsia="zh-CN"/>
        </w:rPr>
      </w:pPr>
      <w:r>
        <w:rPr>
          <w:rFonts w:hint="eastAsia" w:ascii="Times New Roman" w:hAnsi="Times New Roman" w:cs="Times New Roman"/>
          <w:sz w:val="24"/>
          <w:lang w:eastAsia="zh-CN"/>
        </w:rPr>
        <w:t>（</w:t>
      </w:r>
      <w:r>
        <w:rPr>
          <w:rFonts w:hint="eastAsia" w:ascii="Times New Roman" w:hAnsi="Times New Roman" w:cs="Times New Roman"/>
          <w:sz w:val="24"/>
          <w:lang w:val="en-US" w:eastAsia="zh-CN"/>
        </w:rPr>
        <w:t>6</w:t>
      </w:r>
      <w:r>
        <w:rPr>
          <w:rFonts w:hint="eastAsia" w:ascii="Times New Roman" w:hAnsi="Times New Roman" w:cs="Times New Roman"/>
          <w:sz w:val="24"/>
          <w:lang w:eastAsia="zh-CN"/>
        </w:rPr>
        <w:t>）</w:t>
      </w:r>
      <w:r>
        <w:rPr>
          <w:rFonts w:hint="eastAsia" w:ascii="Times New Roman" w:hAnsi="Times New Roman" w:cs="Times New Roman"/>
          <w:color w:val="auto"/>
          <w:sz w:val="24"/>
          <w:szCs w:val="24"/>
          <w:lang w:val="en-US" w:eastAsia="zh-CN"/>
        </w:rPr>
        <w:t>排烟塔周边450米环境防护距离</w:t>
      </w:r>
      <w:r>
        <w:rPr>
          <w:rFonts w:hint="default" w:ascii="Times New Roman" w:hAnsi="Times New Roman" w:cs="Times New Roman"/>
          <w:color w:val="auto"/>
          <w:sz w:val="24"/>
          <w:szCs w:val="24"/>
          <w:lang w:eastAsia="zh-CN"/>
        </w:rPr>
        <w:t>内无居民居住点、学校、医院等敏感点</w:t>
      </w:r>
      <w:r>
        <w:rPr>
          <w:rFonts w:hint="eastAsia" w:ascii="Times New Roman" w:hAnsi="Times New Roman" w:cs="Times New Roman"/>
          <w:color w:val="auto"/>
          <w:sz w:val="24"/>
          <w:szCs w:val="24"/>
          <w:lang w:eastAsia="zh-CN"/>
        </w:rPr>
        <w:t>。建设</w:t>
      </w:r>
      <w:r>
        <w:rPr>
          <w:rFonts w:hint="default" w:ascii="Times New Roman" w:hAnsi="Times New Roman" w:cs="Times New Roman"/>
          <w:color w:val="auto"/>
          <w:sz w:val="24"/>
          <w:szCs w:val="24"/>
          <w:lang w:eastAsia="zh-CN"/>
        </w:rPr>
        <w:t>项目所在区域无需特殊保护的濒危动植物，厂址区域无国家级、省级和市级重点文物保护单位。</w:t>
      </w:r>
    </w:p>
    <w:p>
      <w:pPr>
        <w:keepNext/>
        <w:keepLines/>
        <w:pageBreakBefore w:val="0"/>
        <w:widowControl w:val="0"/>
        <w:kinsoku/>
        <w:wordWrap/>
        <w:overflowPunct/>
        <w:topLinePunct w:val="0"/>
        <w:autoSpaceDE/>
        <w:autoSpaceDN/>
        <w:bidi w:val="0"/>
        <w:adjustRightInd/>
        <w:snapToGrid/>
        <w:ind w:left="0" w:leftChars="0" w:firstLine="482" w:firstLineChars="200"/>
        <w:textAlignment w:val="auto"/>
        <w:outlineLvl w:val="9"/>
        <w:rPr>
          <w:rFonts w:hint="default" w:ascii="Times New Roman" w:hAnsi="Times New Roman" w:eastAsia="宋体" w:cs="Times New Roman"/>
          <w:b/>
          <w:bCs w:val="0"/>
          <w:sz w:val="24"/>
          <w:szCs w:val="24"/>
          <w:highlight w:val="none"/>
          <w:lang w:val="en-US" w:eastAsia="zh-CN"/>
        </w:rPr>
      </w:pPr>
      <w:bookmarkStart w:id="160" w:name="_Toc19734"/>
      <w:r>
        <w:rPr>
          <w:rFonts w:hint="default" w:ascii="Times New Roman" w:hAnsi="Times New Roman" w:eastAsia="宋体" w:cs="Times New Roman"/>
          <w:b/>
          <w:bCs w:val="0"/>
          <w:sz w:val="24"/>
          <w:szCs w:val="24"/>
        </w:rPr>
        <w:t>项目环境影响报告书及批复文件要求的污染控制措施基本得到了落实，采取的污染防治措施效果良好，各</w:t>
      </w:r>
      <w:r>
        <w:rPr>
          <w:rFonts w:hint="default" w:ascii="Times New Roman" w:hAnsi="Times New Roman" w:eastAsia="宋体" w:cs="Times New Roman"/>
          <w:b/>
          <w:bCs w:val="0"/>
          <w:sz w:val="24"/>
          <w:szCs w:val="24"/>
          <w:lang w:val="en-US" w:eastAsia="zh-CN"/>
        </w:rPr>
        <w:t>类</w:t>
      </w:r>
      <w:r>
        <w:rPr>
          <w:rFonts w:hint="default" w:ascii="Times New Roman" w:hAnsi="Times New Roman" w:eastAsia="宋体" w:cs="Times New Roman"/>
          <w:b/>
          <w:bCs w:val="0"/>
          <w:sz w:val="24"/>
          <w:szCs w:val="24"/>
        </w:rPr>
        <w:t>污染物达标排放</w:t>
      </w:r>
      <w:r>
        <w:rPr>
          <w:rFonts w:hint="default" w:ascii="Times New Roman" w:hAnsi="Times New Roman" w:eastAsia="宋体" w:cs="Times New Roman"/>
          <w:b/>
          <w:bCs w:val="0"/>
          <w:sz w:val="24"/>
          <w:szCs w:val="24"/>
          <w:lang w:eastAsia="zh-CN"/>
        </w:rPr>
        <w:t>，</w:t>
      </w:r>
      <w:r>
        <w:rPr>
          <w:rFonts w:hint="default" w:ascii="Times New Roman" w:hAnsi="Times New Roman" w:eastAsia="宋体" w:cs="Times New Roman"/>
          <w:b/>
          <w:bCs w:val="0"/>
          <w:sz w:val="24"/>
          <w:szCs w:val="24"/>
          <w:lang w:val="en-US" w:eastAsia="zh-CN"/>
        </w:rPr>
        <w:t>符合竣工环境保护验收的要求。</w:t>
      </w:r>
    </w:p>
    <w:bookmarkEnd w:id="160"/>
    <w:p>
      <w:pPr>
        <w:pStyle w:val="5"/>
        <w:bidi w:val="0"/>
        <w:ind w:left="0" w:leftChars="0" w:firstLine="0" w:firstLineChars="0"/>
        <w:outlineLvl w:val="1"/>
        <w:rPr>
          <w:rFonts w:hint="default" w:ascii="Times New Roman" w:hAnsi="Times New Roman" w:eastAsia="宋体" w:cs="Times New Roman"/>
          <w:highlight w:val="none"/>
          <w:lang w:val="en-US" w:eastAsia="zh-CN"/>
        </w:rPr>
      </w:pPr>
      <w:bookmarkStart w:id="161" w:name="_Toc26935"/>
      <w:bookmarkStart w:id="162" w:name="_Toc8775"/>
      <w:bookmarkStart w:id="163" w:name="_Toc16938"/>
      <w:r>
        <w:rPr>
          <w:rFonts w:hint="default" w:ascii="Times New Roman" w:hAnsi="Times New Roman" w:eastAsia="宋体" w:cs="Times New Roman"/>
          <w:highlight w:val="none"/>
          <w:lang w:val="en-US" w:eastAsia="zh-CN"/>
        </w:rPr>
        <w:t>1</w:t>
      </w:r>
      <w:r>
        <w:rPr>
          <w:rFonts w:hint="eastAsia" w:cs="Times New Roman"/>
          <w:highlight w:val="none"/>
          <w:lang w:val="en-US" w:eastAsia="zh-CN"/>
        </w:rPr>
        <w:t>2</w:t>
      </w:r>
      <w:r>
        <w:rPr>
          <w:rFonts w:hint="default" w:ascii="Times New Roman" w:hAnsi="Times New Roman" w:eastAsia="宋体" w:cs="Times New Roman"/>
          <w:highlight w:val="none"/>
          <w:lang w:val="en-US" w:eastAsia="zh-CN"/>
        </w:rPr>
        <w:t>.2建议</w:t>
      </w:r>
      <w:bookmarkEnd w:id="161"/>
      <w:bookmarkEnd w:id="162"/>
      <w:bookmarkEnd w:id="163"/>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left"/>
        <w:textAlignment w:val="auto"/>
        <w:rPr>
          <w:rFonts w:hint="default" w:ascii="宋体" w:hAnsi="宋体" w:eastAsia="宋体"/>
          <w:color w:val="auto"/>
          <w:sz w:val="24"/>
          <w:szCs w:val="24"/>
          <w:highlight w:val="none"/>
        </w:rPr>
      </w:pPr>
      <w:r>
        <w:rPr>
          <w:rFonts w:hint="eastAsia" w:eastAsia="宋体"/>
          <w:color w:val="auto"/>
          <w:sz w:val="24"/>
          <w:szCs w:val="24"/>
          <w:highlight w:val="none"/>
          <w:lang w:val="en-US" w:eastAsia="zh-CN"/>
        </w:rPr>
        <w:t>1</w:t>
      </w:r>
      <w:r>
        <w:rPr>
          <w:rFonts w:hint="default" w:ascii="宋体" w:hAnsi="宋体" w:eastAsia="宋体"/>
          <w:color w:val="auto"/>
          <w:sz w:val="24"/>
          <w:szCs w:val="24"/>
          <w:highlight w:val="none"/>
        </w:rPr>
        <w:t>、加强对脱硫、脱硝、除尘</w:t>
      </w:r>
      <w:r>
        <w:rPr>
          <w:rFonts w:hint="eastAsia" w:ascii="宋体" w:hAnsi="宋体"/>
          <w:color w:val="auto"/>
          <w:sz w:val="24"/>
          <w:szCs w:val="24"/>
          <w:highlight w:val="none"/>
          <w:lang w:val="en-US" w:eastAsia="zh-CN"/>
        </w:rPr>
        <w:t>等</w:t>
      </w:r>
      <w:r>
        <w:rPr>
          <w:rFonts w:hint="default" w:ascii="宋体" w:hAnsi="宋体" w:eastAsia="宋体"/>
          <w:color w:val="auto"/>
          <w:sz w:val="24"/>
          <w:szCs w:val="24"/>
          <w:highlight w:val="none"/>
        </w:rPr>
        <w:t>环保设施的运行、维护和管理，确保各项设施长期稳定运行、各项污染物达标排放。妥善处理处置各种固废，确保灰渣和石膏综合利用。</w:t>
      </w:r>
    </w:p>
    <w:p>
      <w:pPr>
        <w:keepNext w:val="0"/>
        <w:keepLines w:val="0"/>
        <w:pageBreakBefore w:val="0"/>
        <w:widowControl w:val="0"/>
        <w:kinsoku/>
        <w:wordWrap/>
        <w:overflowPunct/>
        <w:topLinePunct w:val="0"/>
        <w:autoSpaceDE/>
        <w:autoSpaceDN/>
        <w:bidi w:val="0"/>
        <w:adjustRightInd/>
        <w:snapToGrid/>
        <w:spacing w:beforeLines="0" w:afterLines="0" w:line="360" w:lineRule="auto"/>
        <w:ind w:firstLine="480" w:firstLineChars="200"/>
        <w:jc w:val="both"/>
        <w:textAlignment w:val="auto"/>
        <w:rPr>
          <w:rFonts w:hint="default" w:ascii="宋体" w:hAnsi="宋体" w:eastAsia="宋体"/>
          <w:color w:val="auto"/>
          <w:sz w:val="24"/>
          <w:szCs w:val="24"/>
          <w:highlight w:val="red"/>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eastAsia" w:eastAsia="宋体"/>
          <w:color w:val="auto"/>
          <w:sz w:val="24"/>
          <w:szCs w:val="24"/>
          <w:highlight w:val="none"/>
          <w:lang w:val="en-US" w:eastAsia="zh-CN"/>
        </w:rPr>
        <w:t>2</w:t>
      </w:r>
      <w:bookmarkStart w:id="164" w:name="_GoBack"/>
      <w:bookmarkEnd w:id="164"/>
      <w:r>
        <w:rPr>
          <w:rFonts w:hint="default" w:ascii="宋体" w:hAnsi="宋体" w:eastAsia="宋体"/>
          <w:color w:val="auto"/>
          <w:sz w:val="24"/>
          <w:szCs w:val="24"/>
          <w:highlight w:val="none"/>
        </w:rPr>
        <w:t>、强化事故风险防范意识，定期开展环境应急预案演练，杜绝环境污染事故的发生。</w:t>
      </w:r>
    </w:p>
    <w:p>
      <w:pPr>
        <w:keepNext w:val="0"/>
        <w:keepLines w:val="0"/>
        <w:pageBreakBefore w:val="0"/>
        <w:widowControl w:val="0"/>
        <w:kinsoku/>
        <w:wordWrap/>
        <w:overflowPunct/>
        <w:topLinePunct w:val="0"/>
        <w:autoSpaceDE/>
        <w:autoSpaceDN/>
        <w:bidi w:val="0"/>
        <w:adjustRightInd/>
        <w:snapToGrid/>
        <w:spacing w:after="0" w:line="360" w:lineRule="auto"/>
        <w:jc w:val="center"/>
        <w:textAlignment w:val="auto"/>
        <w:outlineLvl w:val="9"/>
        <w:rPr>
          <w:rFonts w:hint="default" w:ascii="Times New Roman" w:hAnsi="Times New Roman" w:eastAsia="宋体" w:cs="Times New Roman"/>
          <w:b/>
          <w:sz w:val="28"/>
          <w:szCs w:val="28"/>
          <w:highlight w:val="none"/>
        </w:rPr>
      </w:pPr>
      <w:r>
        <w:rPr>
          <w:rFonts w:hint="eastAsia" w:ascii="宋体" w:hAnsi="宋体" w:eastAsia="宋体" w:cs="宋体"/>
          <w:b/>
          <w:sz w:val="28"/>
          <w:szCs w:val="28"/>
          <w:highlight w:val="none"/>
        </w:rPr>
        <w:t>建设项目工程竣工环境保护“三同时”验收登记表</w:t>
      </w:r>
    </w:p>
    <w:p>
      <w:pPr>
        <w:keepNext w:val="0"/>
        <w:keepLines w:val="0"/>
        <w:pageBreakBefore w:val="0"/>
        <w:widowControl w:val="0"/>
        <w:kinsoku/>
        <w:wordWrap/>
        <w:overflowPunct/>
        <w:topLinePunct w:val="0"/>
        <w:autoSpaceDE/>
        <w:autoSpaceDN/>
        <w:bidi w:val="0"/>
        <w:adjustRightInd/>
        <w:snapToGrid/>
        <w:spacing w:after="0"/>
        <w:textAlignment w:val="auto"/>
        <w:outlineLvl w:val="9"/>
        <w:rPr>
          <w:rFonts w:hint="default" w:ascii="Times New Roman" w:hAnsi="Times New Roman" w:eastAsia="宋体" w:cs="Times New Roman"/>
          <w:sz w:val="24"/>
          <w:szCs w:val="24"/>
          <w:highlight w:val="none"/>
        </w:rPr>
      </w:pPr>
      <w:r>
        <w:rPr>
          <w:rFonts w:hint="default" w:ascii="Times New Roman" w:hAnsi="Times New Roman" w:eastAsia="宋体" w:cs="Times New Roman"/>
          <w:b/>
          <w:bCs/>
          <w:sz w:val="21"/>
          <w:szCs w:val="21"/>
          <w:highlight w:val="none"/>
        </w:rPr>
        <w:t>填表单位（盖章）</w:t>
      </w:r>
      <w:r>
        <w:rPr>
          <w:rFonts w:hint="default" w:ascii="Times New Roman" w:hAnsi="Times New Roman" w:eastAsia="宋体" w:cs="Times New Roman"/>
          <w:b/>
          <w:bCs/>
          <w:kern w:val="2"/>
          <w:sz w:val="21"/>
          <w:szCs w:val="21"/>
          <w:highlight w:val="none"/>
        </w:rPr>
        <w:t>：</w:t>
      </w:r>
      <w:r>
        <w:rPr>
          <w:rFonts w:hint="default" w:ascii="Times New Roman" w:hAnsi="Times New Roman" w:eastAsia="宋体" w:cs="Times New Roman"/>
          <w:b/>
          <w:bCs/>
          <w:sz w:val="21"/>
          <w:szCs w:val="21"/>
          <w:highlight w:val="none"/>
        </w:rPr>
        <w:t>填表人（签字）：项目经办人（签字）：</w:t>
      </w:r>
    </w:p>
    <w:tbl>
      <w:tblPr>
        <w:tblStyle w:val="23"/>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7"/>
        <w:gridCol w:w="346"/>
        <w:gridCol w:w="1037"/>
        <w:gridCol w:w="755"/>
        <w:gridCol w:w="763"/>
        <w:gridCol w:w="1804"/>
        <w:gridCol w:w="1381"/>
        <w:gridCol w:w="1336"/>
        <w:gridCol w:w="494"/>
        <w:gridCol w:w="735"/>
        <w:gridCol w:w="1438"/>
        <w:gridCol w:w="1050"/>
        <w:gridCol w:w="2857"/>
        <w:gridCol w:w="1038"/>
        <w:gridCol w:w="457"/>
        <w:gridCol w:w="813"/>
        <w:gridCol w:w="330"/>
        <w:gridCol w:w="1307"/>
        <w:gridCol w:w="118"/>
        <w:gridCol w:w="772"/>
        <w:gridCol w:w="8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restart"/>
            <w:noWrap w:val="0"/>
            <w:textDirection w:val="tbRlV"/>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建设项目</w:t>
            </w: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项目名称</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lang w:val="en-US" w:eastAsia="zh-CN"/>
              </w:rPr>
              <w:t>淮北申能发电有限公司申能安徽平山电厂二期工程项目</w:t>
            </w:r>
            <w:r>
              <w:rPr>
                <w:rFonts w:hint="default" w:ascii="Times New Roman" w:hAnsi="Times New Roman" w:eastAsia="宋体" w:cs="Times New Roman"/>
                <w:kern w:val="2"/>
                <w:sz w:val="21"/>
                <w:szCs w:val="21"/>
                <w:highlight w:val="none"/>
                <w:lang w:eastAsia="zh-CN"/>
              </w:rPr>
              <w:t>竣工环境保护验收</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项目代码</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lang w:eastAsia="zh-CN"/>
              </w:rPr>
            </w:pPr>
            <w:r>
              <w:rPr>
                <w:rFonts w:hint="default" w:ascii="Times New Roman" w:hAnsi="Times New Roman" w:eastAsia="宋体" w:cs="Times New Roman"/>
                <w:kern w:val="2"/>
                <w:sz w:val="21"/>
                <w:szCs w:val="21"/>
                <w:highlight w:val="none"/>
                <w:lang w:val="en-US" w:eastAsia="zh-CN"/>
              </w:rPr>
              <w:t>/</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b/>
                <w:bCs/>
                <w:kern w:val="2"/>
                <w:sz w:val="21"/>
                <w:szCs w:val="21"/>
                <w:highlight w:val="none"/>
              </w:rPr>
              <w:t>建设地点</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安徽省淮北市烈山区古饶镇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行业类别（分类管理名录）</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eastAsia="zh-CN"/>
              </w:rPr>
            </w:pPr>
            <w:r>
              <w:rPr>
                <w:rFonts w:hint="eastAsia" w:cs="Times New Roman"/>
                <w:color w:val="auto"/>
                <w:kern w:val="2"/>
                <w:sz w:val="21"/>
                <w:szCs w:val="21"/>
                <w:highlight w:val="none"/>
                <w:lang w:eastAsia="zh-CN"/>
              </w:rPr>
              <w:t>火力发电</w:t>
            </w:r>
            <w:r>
              <w:rPr>
                <w:rFonts w:hint="eastAsia" w:ascii="Times New Roman" w:hAnsi="Times New Roman" w:eastAsia="宋体" w:cs="Times New Roman"/>
                <w:color w:val="auto"/>
                <w:kern w:val="2"/>
                <w:sz w:val="21"/>
                <w:szCs w:val="21"/>
                <w:highlight w:val="none"/>
                <w:lang w:eastAsia="zh-CN"/>
              </w:rPr>
              <w:t>[</w:t>
            </w:r>
            <w:r>
              <w:rPr>
                <w:rFonts w:hint="eastAsia" w:cs="Times New Roman"/>
                <w:color w:val="auto"/>
                <w:kern w:val="2"/>
                <w:sz w:val="21"/>
                <w:szCs w:val="21"/>
                <w:highlight w:val="none"/>
                <w:lang w:val="en-US" w:eastAsia="zh-CN"/>
              </w:rPr>
              <w:t>D4411</w:t>
            </w:r>
            <w:r>
              <w:rPr>
                <w:rFonts w:hint="eastAsia" w:ascii="Times New Roman" w:hAnsi="Times New Roman" w:eastAsia="宋体" w:cs="Times New Roman"/>
                <w:color w:val="auto"/>
                <w:kern w:val="2"/>
                <w:sz w:val="21"/>
                <w:szCs w:val="21"/>
                <w:highlight w:val="none"/>
                <w:lang w:eastAsia="zh-CN"/>
              </w:rPr>
              <w:t>]</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建设性质</w:t>
            </w:r>
          </w:p>
        </w:tc>
        <w:tc>
          <w:tcPr>
            <w:tcW w:w="107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eastAsia="zh-CN"/>
              </w:rPr>
              <w:sym w:font="Wingdings" w:char="00A8"/>
            </w:r>
            <w:r>
              <w:rPr>
                <w:rFonts w:hint="eastAsia" w:cs="Times New Roman"/>
                <w:color w:val="auto"/>
                <w:kern w:val="2"/>
                <w:sz w:val="21"/>
                <w:szCs w:val="21"/>
                <w:highlight w:val="none"/>
                <w:lang w:eastAsia="zh-CN"/>
              </w:rPr>
              <w:t>新建</w:t>
            </w:r>
            <w:r>
              <w:rPr>
                <w:rFonts w:hint="eastAsia" w:cs="Times New Roman"/>
                <w:color w:val="auto"/>
                <w:kern w:val="2"/>
                <w:sz w:val="21"/>
                <w:szCs w:val="21"/>
                <w:highlight w:val="none"/>
                <w:lang w:val="en-US" w:eastAsia="zh-CN"/>
              </w:rPr>
              <w:sym w:font="Wingdings" w:char="00FE"/>
            </w:r>
            <w:r>
              <w:rPr>
                <w:rFonts w:hint="eastAsia" w:cs="Times New Roman"/>
                <w:color w:val="auto"/>
                <w:kern w:val="2"/>
                <w:sz w:val="21"/>
                <w:szCs w:val="21"/>
                <w:highlight w:val="none"/>
                <w:lang w:val="en-US" w:eastAsia="zh-CN"/>
              </w:rPr>
              <w:t>改扩建</w:t>
            </w:r>
            <w:r>
              <w:rPr>
                <w:rFonts w:hint="eastAsia" w:cs="Times New Roman"/>
                <w:color w:val="auto"/>
                <w:kern w:val="2"/>
                <w:sz w:val="21"/>
                <w:szCs w:val="21"/>
                <w:highlight w:val="none"/>
                <w:lang w:val="en-US" w:eastAsia="zh-CN"/>
              </w:rPr>
              <w:sym w:font="Wingdings" w:char="00A8"/>
            </w:r>
            <w:r>
              <w:rPr>
                <w:rFonts w:hint="eastAsia" w:cs="Times New Roman"/>
                <w:color w:val="auto"/>
                <w:kern w:val="2"/>
                <w:sz w:val="21"/>
                <w:szCs w:val="21"/>
                <w:highlight w:val="none"/>
                <w:lang w:val="en-US" w:eastAsia="zh-CN"/>
              </w:rPr>
              <w:t>技术改造</w:t>
            </w:r>
          </w:p>
        </w:tc>
        <w:tc>
          <w:tcPr>
            <w:tcW w:w="833" w:type="pct"/>
            <w:gridSpan w:val="5"/>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项目厂区中心纬度（经度）</w:t>
            </w:r>
          </w:p>
        </w:tc>
        <w:tc>
          <w:tcPr>
            <w:tcW w:w="20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设计生产能力</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FF0000"/>
                <w:kern w:val="2"/>
                <w:sz w:val="21"/>
                <w:szCs w:val="21"/>
                <w:highlight w:val="none"/>
              </w:rPr>
            </w:pPr>
            <w:r>
              <w:rPr>
                <w:rFonts w:hint="default" w:ascii="Times New Roman" w:hAnsi="Times New Roman" w:eastAsia="宋体" w:cs="Times New Roman"/>
                <w:color w:val="auto"/>
                <w:kern w:val="2"/>
                <w:sz w:val="21"/>
                <w:szCs w:val="21"/>
                <w:highlight w:val="none"/>
              </w:rPr>
              <w:t>1×1350MW</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实际生产能力</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1×1350MW</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环评单位</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lang w:val="en-US" w:eastAsia="zh-CN"/>
              </w:rPr>
              <w:t>中国电力工程顾问集团华东电力设计院有限公司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环评文件审批机关</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rPr>
            </w:pPr>
            <w:r>
              <w:rPr>
                <w:rFonts w:hint="eastAsia" w:cs="Times New Roman"/>
                <w:kern w:val="2"/>
                <w:sz w:val="21"/>
                <w:szCs w:val="21"/>
                <w:highlight w:val="none"/>
                <w:lang w:val="en-US" w:eastAsia="zh-CN"/>
              </w:rPr>
              <w:t>安徽省环境保护厅</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审批文号</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皖环函[2016]1338号</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环评文件类型</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报告</w:t>
            </w:r>
            <w:r>
              <w:rPr>
                <w:rFonts w:hint="default" w:ascii="Times New Roman" w:hAnsi="Times New Roman" w:eastAsia="宋体" w:cs="Times New Roman"/>
                <w:kern w:val="2"/>
                <w:sz w:val="21"/>
                <w:szCs w:val="21"/>
                <w:highlight w:val="none"/>
                <w:lang w:val="en-US" w:eastAsia="zh-CN"/>
              </w:rPr>
              <w:t>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开工日期</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rPr>
            </w:pPr>
            <w:r>
              <w:rPr>
                <w:rFonts w:hint="default" w:ascii="Times New Roman" w:hAnsi="Times New Roman" w:eastAsia="宋体" w:cs="Times New Roman"/>
                <w:color w:val="auto"/>
                <w:kern w:val="2"/>
                <w:sz w:val="21"/>
                <w:szCs w:val="21"/>
                <w:highlight w:val="none"/>
              </w:rPr>
              <w:t>201</w:t>
            </w:r>
            <w:r>
              <w:rPr>
                <w:rFonts w:hint="eastAsia" w:ascii="Times New Roman" w:hAnsi="Times New Roman" w:eastAsia="宋体" w:cs="Times New Roman"/>
                <w:color w:val="auto"/>
                <w:kern w:val="2"/>
                <w:sz w:val="21"/>
                <w:szCs w:val="21"/>
                <w:highlight w:val="none"/>
                <w:lang w:val="en-US" w:eastAsia="zh-CN"/>
              </w:rPr>
              <w:t>8</w:t>
            </w:r>
            <w:r>
              <w:rPr>
                <w:rFonts w:hint="default" w:ascii="Times New Roman" w:hAnsi="Times New Roman" w:eastAsia="宋体" w:cs="Times New Roman"/>
                <w:color w:val="auto"/>
                <w:kern w:val="2"/>
                <w:sz w:val="21"/>
                <w:szCs w:val="21"/>
                <w:highlight w:val="none"/>
              </w:rPr>
              <w:t>/</w:t>
            </w:r>
            <w:r>
              <w:rPr>
                <w:rFonts w:hint="eastAsia" w:cs="Times New Roman"/>
                <w:color w:val="auto"/>
                <w:kern w:val="2"/>
                <w:sz w:val="21"/>
                <w:szCs w:val="21"/>
                <w:highlight w:val="none"/>
                <w:lang w:val="en-US" w:eastAsia="zh-CN"/>
              </w:rPr>
              <w:t>7</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竣工日期</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rPr>
            </w:pPr>
            <w:r>
              <w:rPr>
                <w:rFonts w:hint="default" w:ascii="Times New Roman" w:hAnsi="Times New Roman" w:eastAsia="宋体" w:cs="Times New Roman"/>
                <w:kern w:val="2"/>
                <w:sz w:val="21"/>
                <w:szCs w:val="21"/>
                <w:highlight w:val="none"/>
              </w:rPr>
              <w:t>20</w:t>
            </w:r>
            <w:r>
              <w:rPr>
                <w:rFonts w:hint="eastAsia" w:ascii="Times New Roman" w:hAnsi="Times New Roman" w:eastAsia="宋体" w:cs="Times New Roman"/>
                <w:kern w:val="2"/>
                <w:sz w:val="21"/>
                <w:szCs w:val="21"/>
                <w:highlight w:val="none"/>
                <w:lang w:val="en-US" w:eastAsia="zh-CN"/>
              </w:rPr>
              <w:t>21</w:t>
            </w:r>
            <w:r>
              <w:rPr>
                <w:rFonts w:hint="default" w:ascii="Times New Roman" w:hAnsi="Times New Roman" w:eastAsia="宋体" w:cs="Times New Roman"/>
                <w:kern w:val="2"/>
                <w:sz w:val="21"/>
                <w:szCs w:val="21"/>
                <w:highlight w:val="none"/>
              </w:rPr>
              <w:t>/</w:t>
            </w:r>
            <w:r>
              <w:rPr>
                <w:rFonts w:hint="eastAsia" w:cs="Times New Roman"/>
                <w:kern w:val="2"/>
                <w:sz w:val="21"/>
                <w:szCs w:val="21"/>
                <w:highlight w:val="none"/>
                <w:lang w:val="en-US" w:eastAsia="zh-CN"/>
              </w:rPr>
              <w:t>6</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排污许可证申领时间</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lang w:val="en-US" w:eastAsia="zh-CN"/>
              </w:rPr>
            </w:pPr>
            <w:r>
              <w:rPr>
                <w:rFonts w:hint="eastAsia" w:cs="Times New Roman"/>
                <w:kern w:val="2"/>
                <w:sz w:val="21"/>
                <w:szCs w:val="21"/>
                <w:highlight w:val="none"/>
                <w:lang w:val="en-US" w:eastAsia="zh-CN"/>
              </w:rPr>
              <w:t>2020/11/30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环保设施设计单位</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sz w:val="21"/>
                <w:szCs w:val="21"/>
                <w:highlight w:val="none"/>
                <w:lang w:eastAsia="zh-CN"/>
              </w:rPr>
            </w:pPr>
            <w:r>
              <w:rPr>
                <w:rFonts w:hint="eastAsia" w:ascii="Times New Roman" w:hAnsi="Times New Roman" w:eastAsia="宋体" w:cs="Times New Roman"/>
                <w:sz w:val="21"/>
                <w:szCs w:val="21"/>
                <w:highlight w:val="none"/>
                <w:lang w:eastAsia="zh-CN"/>
              </w:rPr>
              <w:t>华东电力设计院有限公司</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z w:val="21"/>
                <w:szCs w:val="21"/>
                <w:highlight w:val="none"/>
              </w:rPr>
            </w:pPr>
            <w:r>
              <w:rPr>
                <w:rFonts w:hint="default" w:ascii="Times New Roman" w:hAnsi="Times New Roman" w:eastAsia="宋体" w:cs="Times New Roman"/>
                <w:b/>
                <w:bCs/>
                <w:sz w:val="21"/>
                <w:szCs w:val="21"/>
                <w:highlight w:val="none"/>
              </w:rPr>
              <w:t>环保设施施工单位</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rPr>
            </w:pPr>
            <w:r>
              <w:rPr>
                <w:rFonts w:hint="eastAsia" w:ascii="Times New Roman" w:hAnsi="Times New Roman" w:eastAsia="宋体" w:cs="Times New Roman"/>
                <w:kern w:val="2"/>
                <w:sz w:val="21"/>
                <w:szCs w:val="21"/>
                <w:highlight w:val="none"/>
                <w:lang w:val="en-US" w:eastAsia="zh-CN"/>
              </w:rPr>
              <w:t>中国能源建设集团安徽电力建设第二工程公司</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本工程排污许可证编号</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91340600MA2NHLCXY001P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验收单位</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rPr>
              <w:t>淮北申能发电有限公司</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环保设施监测单位</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kern w:val="2"/>
                <w:sz w:val="21"/>
                <w:szCs w:val="21"/>
                <w:highlight w:val="none"/>
              </w:rPr>
            </w:pPr>
            <w:r>
              <w:rPr>
                <w:rFonts w:hint="default" w:ascii="Times New Roman" w:hAnsi="Times New Roman" w:eastAsia="宋体" w:cs="Times New Roman"/>
                <w:kern w:val="2"/>
                <w:sz w:val="21"/>
                <w:szCs w:val="21"/>
                <w:highlight w:val="none"/>
              </w:rPr>
              <w:t>安徽工和环境监测有限责任公司</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验收监测时工况</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kern w:val="2"/>
                <w:sz w:val="21"/>
                <w:szCs w:val="21"/>
                <w:highlight w:val="none"/>
                <w:lang w:val="en-US" w:eastAsia="zh-CN"/>
              </w:rPr>
            </w:pPr>
            <w:r>
              <w:rPr>
                <w:rFonts w:hint="eastAsia" w:cs="Times New Roman"/>
                <w:kern w:val="2"/>
                <w:sz w:val="21"/>
                <w:szCs w:val="21"/>
                <w:highlight w:val="none"/>
                <w:lang w:val="en-US" w:eastAsia="zh-CN"/>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投资总概算（万元）</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522052</w:t>
            </w:r>
          </w:p>
        </w:tc>
        <w:tc>
          <w:tcPr>
            <w:tcW w:w="615" w:type="pct"/>
            <w:gridSpan w:val="2"/>
            <w:noWrap w:val="0"/>
            <w:vAlign w:val="center"/>
          </w:tcPr>
          <w:p>
            <w:pPr>
              <w:keepNext w:val="0"/>
              <w:keepLines w:val="0"/>
              <w:pageBreakBefore w:val="0"/>
              <w:widowControl w:val="0"/>
              <w:tabs>
                <w:tab w:val="left" w:pos="690"/>
              </w:tabs>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环保投资总概算（万元）</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58561</w:t>
            </w:r>
          </w:p>
        </w:tc>
        <w:tc>
          <w:tcPr>
            <w:tcW w:w="372" w:type="pct"/>
            <w:gridSpan w:val="2"/>
            <w:noWrap w:val="0"/>
            <w:vAlign w:val="center"/>
          </w:tcPr>
          <w:p>
            <w:pPr>
              <w:keepNext w:val="0"/>
              <w:keepLines w:val="0"/>
              <w:pageBreakBefore w:val="0"/>
              <w:widowControl w:val="0"/>
              <w:tabs>
                <w:tab w:val="left" w:pos="690"/>
              </w:tabs>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所占比例（%）</w:t>
            </w:r>
          </w:p>
        </w:tc>
        <w:tc>
          <w:tcPr>
            <w:tcW w:w="1034" w:type="pct"/>
            <w:gridSpan w:val="6"/>
            <w:noWrap w:val="0"/>
            <w:vAlign w:val="center"/>
          </w:tcPr>
          <w:p>
            <w:pPr>
              <w:keepNext w:val="0"/>
              <w:keepLines w:val="0"/>
              <w:pageBreakBefore w:val="0"/>
              <w:widowControl w:val="0"/>
              <w:tabs>
                <w:tab w:val="left" w:pos="690"/>
              </w:tabs>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b w:val="0"/>
                <w:bCs w:val="0"/>
                <w:color w:val="auto"/>
                <w:sz w:val="21"/>
                <w:szCs w:val="21"/>
                <w:highlight w:val="no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实际总投资</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533149</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pPr>
            <w:r>
              <w:rPr>
                <w:rFonts w:hint="default" w:ascii="Times New Roman" w:hAnsi="Times New Roman" w:eastAsia="宋体" w:cs="Times New Roman"/>
                <w:b/>
                <w:bCs/>
                <w:color w:val="000000" w:themeColor="text1"/>
                <w:kern w:val="2"/>
                <w:sz w:val="21"/>
                <w:szCs w:val="21"/>
                <w:highlight w:val="none"/>
                <w14:textFill>
                  <w14:solidFill>
                    <w14:schemeClr w14:val="tx1"/>
                  </w14:solidFill>
                </w14:textFill>
              </w:rPr>
              <w:t>实际环保投资（万元）</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000000" w:themeColor="text1"/>
                <w:kern w:val="2"/>
                <w:sz w:val="2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kern w:val="2"/>
                <w:sz w:val="21"/>
                <w:szCs w:val="21"/>
                <w:highlight w:val="none"/>
                <w:lang w:val="en-US" w:eastAsia="zh-CN"/>
                <w14:textFill>
                  <w14:solidFill>
                    <w14:schemeClr w14:val="tx1"/>
                  </w14:solidFill>
                </w14:textFill>
              </w:rPr>
              <w:t>63979</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所占比例（%）</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b w:val="0"/>
                <w:bCs w:val="0"/>
                <w:color w:val="auto"/>
                <w:sz w:val="21"/>
                <w:szCs w:val="21"/>
                <w:highlight w:val="none"/>
                <w:lang w:val="en-US" w:eastAsia="zh-CN"/>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废水治理（万元）</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1833</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
                <w:bCs/>
                <w:color w:val="auto"/>
                <w:kern w:val="2"/>
                <w:sz w:val="21"/>
                <w:szCs w:val="21"/>
                <w:highlight w:val="none"/>
              </w:rPr>
              <w:t>废气治理（万元）</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49440</w:t>
            </w:r>
          </w:p>
        </w:tc>
        <w:tc>
          <w:tcPr>
            <w:tcW w:w="454"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
                <w:bCs/>
                <w:color w:val="auto"/>
                <w:kern w:val="2"/>
                <w:sz w:val="21"/>
                <w:szCs w:val="21"/>
                <w:highlight w:val="none"/>
              </w:rPr>
              <w:t>噪声治理（万元）</w:t>
            </w:r>
          </w:p>
        </w:tc>
        <w:tc>
          <w:tcPr>
            <w:tcW w:w="183"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4595</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固体废物治理（万元）</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3540</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绿化及生态（万元）</w:t>
            </w:r>
          </w:p>
        </w:tc>
        <w:tc>
          <w:tcPr>
            <w:tcW w:w="28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240</w:t>
            </w:r>
          </w:p>
        </w:tc>
        <w:tc>
          <w:tcPr>
            <w:tcW w:w="35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其他（万元）</w:t>
            </w:r>
          </w:p>
        </w:tc>
        <w:tc>
          <w:tcPr>
            <w:tcW w:w="393"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3331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196"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p>
        </w:tc>
        <w:tc>
          <w:tcPr>
            <w:tcW w:w="494"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kern w:val="2"/>
                <w:sz w:val="21"/>
                <w:szCs w:val="21"/>
                <w:highlight w:val="none"/>
              </w:rPr>
            </w:pPr>
            <w:r>
              <w:rPr>
                <w:rFonts w:hint="default" w:ascii="Times New Roman" w:hAnsi="Times New Roman" w:eastAsia="宋体" w:cs="Times New Roman"/>
                <w:b/>
                <w:bCs/>
                <w:kern w:val="2"/>
                <w:sz w:val="21"/>
                <w:szCs w:val="21"/>
                <w:highlight w:val="none"/>
              </w:rPr>
              <w:t>新增废水处理设施能力</w:t>
            </w:r>
          </w:p>
        </w:tc>
        <w:tc>
          <w:tcPr>
            <w:tcW w:w="1583"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eastAsia="zh-CN"/>
              </w:rPr>
            </w:pPr>
            <w:r>
              <w:rPr>
                <w:rFonts w:hint="eastAsia" w:cs="Times New Roman"/>
                <w:color w:val="auto"/>
                <w:kern w:val="2"/>
                <w:sz w:val="21"/>
                <w:szCs w:val="21"/>
                <w:highlight w:val="none"/>
                <w:lang w:val="en-US" w:eastAsia="zh-CN"/>
              </w:rPr>
              <w:t>/</w:t>
            </w:r>
          </w:p>
        </w:tc>
        <w:tc>
          <w:tcPr>
            <w:tcW w:w="615"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新增废气处理设施能力</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脱硝效率&gt;85%，综合除尘效率&gt;99.97</w:t>
            </w:r>
            <w:r>
              <w:rPr>
                <w:rFonts w:hint="eastAsia" w:cs="Times New Roman"/>
                <w:color w:val="auto"/>
                <w:kern w:val="2"/>
                <w:sz w:val="21"/>
                <w:szCs w:val="21"/>
                <w:highlight w:val="none"/>
                <w:lang w:val="en-US" w:eastAsia="zh-CN"/>
              </w:rPr>
              <w:t>75</w:t>
            </w:r>
            <w:r>
              <w:rPr>
                <w:rFonts w:hint="default" w:ascii="Times New Roman" w:hAnsi="Times New Roman" w:eastAsia="宋体" w:cs="Times New Roman"/>
                <w:color w:val="auto"/>
                <w:kern w:val="2"/>
                <w:sz w:val="21"/>
                <w:szCs w:val="21"/>
                <w:highlight w:val="none"/>
              </w:rPr>
              <w:t>%，脱硫效率&gt;98</w:t>
            </w:r>
            <w:r>
              <w:rPr>
                <w:rFonts w:hint="eastAsia" w:cs="Times New Roman"/>
                <w:color w:val="auto"/>
                <w:kern w:val="2"/>
                <w:sz w:val="21"/>
                <w:szCs w:val="21"/>
                <w:highlight w:val="none"/>
                <w:lang w:val="en-US" w:eastAsia="zh-CN"/>
              </w:rPr>
              <w:t>.3</w:t>
            </w:r>
            <w:r>
              <w:rPr>
                <w:rFonts w:hint="default" w:ascii="Times New Roman" w:hAnsi="Times New Roman" w:eastAsia="宋体" w:cs="Times New Roman"/>
                <w:color w:val="auto"/>
                <w:kern w:val="2"/>
                <w:sz w:val="21"/>
                <w:szCs w:val="21"/>
                <w:highlight w:val="none"/>
              </w:rPr>
              <w:t>%</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年平均工作时</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5500</w:t>
            </w:r>
            <w:r>
              <w:rPr>
                <w:rFonts w:hint="default" w:ascii="Times New Roman" w:hAnsi="Times New Roman" w:eastAsia="宋体" w:cs="Times New Roman"/>
                <w:color w:val="auto"/>
                <w:kern w:val="2"/>
                <w:sz w:val="21"/>
                <w:szCs w:val="21"/>
                <w:highlight w:val="none"/>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691" w:type="pct"/>
            <w:gridSpan w:val="4"/>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运营单位</w:t>
            </w:r>
          </w:p>
        </w:tc>
        <w:tc>
          <w:tcPr>
            <w:tcW w:w="1276" w:type="pct"/>
            <w:gridSpan w:val="4"/>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eastAsia="zh-CN"/>
              </w:rPr>
            </w:pPr>
            <w:r>
              <w:rPr>
                <w:rFonts w:hint="default" w:ascii="Times New Roman" w:hAnsi="Times New Roman" w:eastAsia="宋体" w:cs="Times New Roman"/>
                <w:color w:val="auto"/>
                <w:kern w:val="2"/>
                <w:sz w:val="21"/>
                <w:szCs w:val="21"/>
                <w:highlight w:val="none"/>
                <w:lang w:val="en-US" w:eastAsia="zh-CN"/>
              </w:rPr>
              <w:t>淮北申能发电有限公司</w:t>
            </w:r>
          </w:p>
        </w:tc>
        <w:tc>
          <w:tcPr>
            <w:tcW w:w="922" w:type="pct"/>
            <w:gridSpan w:val="4"/>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
                <w:bCs/>
                <w:color w:val="auto"/>
                <w:kern w:val="2"/>
                <w:sz w:val="21"/>
                <w:szCs w:val="21"/>
                <w:highlight w:val="none"/>
              </w:rPr>
              <w:t>运营单位社会统一信用代码（或组织机构代码）</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91340600MA2NH5LCXY</w:t>
            </w:r>
          </w:p>
        </w:tc>
        <w:tc>
          <w:tcPr>
            <w:tcW w:w="372"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验收时间</w:t>
            </w:r>
          </w:p>
        </w:tc>
        <w:tc>
          <w:tcPr>
            <w:tcW w:w="1034" w:type="pct"/>
            <w:gridSpan w:val="6"/>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202</w:t>
            </w:r>
            <w:r>
              <w:rPr>
                <w:rFonts w:hint="eastAsia" w:cs="Times New Roman"/>
                <w:color w:val="auto"/>
                <w:kern w:val="2"/>
                <w:sz w:val="21"/>
                <w:szCs w:val="21"/>
                <w:highlight w:val="none"/>
                <w:lang w:val="en-US" w:eastAsia="zh-CN"/>
              </w:rPr>
              <w:t>2</w:t>
            </w:r>
            <w:r>
              <w:rPr>
                <w:rFonts w:hint="eastAsia" w:ascii="Times New Roman" w:hAnsi="Times New Roman" w:eastAsia="宋体" w:cs="Times New Roman"/>
                <w:color w:val="auto"/>
                <w:kern w:val="2"/>
                <w:sz w:val="21"/>
                <w:szCs w:val="21"/>
                <w:highlight w:val="none"/>
                <w:lang w:val="en-US" w:eastAsia="zh-CN"/>
              </w:rPr>
              <w:t>/</w:t>
            </w:r>
            <w:r>
              <w:rPr>
                <w:rFonts w:hint="eastAsia" w:cs="Times New Roman"/>
                <w:color w:val="auto"/>
                <w:kern w:val="2"/>
                <w:sz w:val="21"/>
                <w:szCs w:val="21"/>
                <w:highlight w:val="none"/>
                <w:lang w:val="en-US" w:eastAsia="zh-CN"/>
              </w:rPr>
              <w:t>8</w:t>
            </w:r>
            <w:r>
              <w:rPr>
                <w:rFonts w:hint="eastAsia" w:ascii="Times New Roman" w:hAnsi="Times New Roman" w:eastAsia="宋体" w:cs="Times New Roman"/>
                <w:color w:val="auto"/>
                <w:kern w:val="2"/>
                <w:sz w:val="21"/>
                <w:szCs w:val="21"/>
                <w:highlight w:val="none"/>
                <w:lang w:val="en-US" w:eastAsia="zh-CN"/>
              </w:rPr>
              <w:t>/</w:t>
            </w:r>
            <w:r>
              <w:rPr>
                <w:rFonts w:hint="eastAsia" w:cs="Times New Roman"/>
                <w:color w:val="auto"/>
                <w:kern w:val="2"/>
                <w:sz w:val="21"/>
                <w:szCs w:val="21"/>
                <w:highlight w:val="none"/>
                <w:lang w:val="en-US" w:eastAsia="zh-CN"/>
              </w:rPr>
              <w:t>18</w:t>
            </w:r>
            <w:r>
              <w:rPr>
                <w:rFonts w:hint="eastAsia" w:ascii="Times New Roman" w:hAnsi="Times New Roman" w:eastAsia="宋体" w:cs="Times New Roman"/>
                <w:color w:val="auto"/>
                <w:kern w:val="2"/>
                <w:sz w:val="21"/>
                <w:szCs w:val="21"/>
                <w:highlight w:val="none"/>
                <w:lang w:val="en-US" w:eastAsia="zh-CN"/>
              </w:rPr>
              <w:t>~</w:t>
            </w:r>
            <w:r>
              <w:rPr>
                <w:rFonts w:hint="eastAsia" w:cs="Times New Roman"/>
                <w:color w:val="auto"/>
                <w:kern w:val="2"/>
                <w:sz w:val="21"/>
                <w:szCs w:val="21"/>
                <w:highlight w:val="none"/>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spacing w:val="20"/>
                <w:kern w:val="2"/>
                <w:sz w:val="21"/>
                <w:szCs w:val="21"/>
                <w:highlight w:val="none"/>
              </w:rPr>
            </w:pPr>
            <w:r>
              <w:rPr>
                <w:rFonts w:hint="default" w:ascii="Times New Roman" w:hAnsi="Times New Roman" w:eastAsia="宋体" w:cs="Times New Roman"/>
                <w:b/>
                <w:bCs/>
                <w:spacing w:val="20"/>
                <w:kern w:val="2"/>
                <w:sz w:val="21"/>
                <w:szCs w:val="21"/>
                <w:highlight w:val="none"/>
              </w:rPr>
              <w:t>污染物排放达标与总量控制（工业建设项目详填）</w:t>
            </w: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污染物</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原有排放量（1）</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本期工程实际排放浓度（2）</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本期工程允许排放浓度（3）</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本期工程产生量（4）</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本期工程自身削减（5）</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本期工程实际排放量（6）</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本期工程核定排放总量（7）</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本期工程</w:t>
            </w:r>
            <w:r>
              <w:rPr>
                <w:rFonts w:hint="eastAsia" w:ascii="宋体" w:hAnsi="宋体" w:eastAsia="宋体" w:cs="宋体"/>
                <w:color w:val="auto"/>
                <w:kern w:val="2"/>
                <w:sz w:val="21"/>
                <w:szCs w:val="21"/>
                <w:highlight w:val="none"/>
              </w:rPr>
              <w:t>“以新带老”</w:t>
            </w:r>
            <w:r>
              <w:rPr>
                <w:rFonts w:hint="default" w:ascii="Times New Roman" w:hAnsi="Times New Roman" w:eastAsia="宋体" w:cs="Times New Roman"/>
                <w:color w:val="auto"/>
                <w:kern w:val="2"/>
                <w:sz w:val="21"/>
                <w:szCs w:val="21"/>
                <w:highlight w:val="none"/>
              </w:rPr>
              <w:t>削减量（8）</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全厂实际排放总量（9）</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全厂核定排放总量（10）</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区域平衡替代削减量（11）</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color w:val="auto"/>
                <w:kern w:val="2"/>
                <w:sz w:val="21"/>
                <w:szCs w:val="21"/>
                <w:highlight w:val="none"/>
              </w:rPr>
              <w:t>排放增减量（12）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default" w:ascii="Times New Roman" w:hAnsi="Times New Roman" w:eastAsia="宋体" w:cs="Times New Roman"/>
                <w:b/>
                <w:bCs/>
                <w:color w:val="auto"/>
                <w:kern w:val="2"/>
                <w:sz w:val="21"/>
                <w:szCs w:val="21"/>
                <w:highlight w:val="none"/>
              </w:rPr>
              <w:t>废</w:t>
            </w:r>
            <w:r>
              <w:rPr>
                <w:rFonts w:hint="eastAsia" w:cs="Times New Roman"/>
                <w:b/>
                <w:bCs/>
                <w:color w:val="auto"/>
                <w:kern w:val="2"/>
                <w:sz w:val="21"/>
                <w:szCs w:val="21"/>
                <w:highlight w:val="none"/>
                <w:lang w:eastAsia="zh-CN"/>
              </w:rPr>
              <w:t>气</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颗粒物</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3.2~4.8</w:t>
            </w:r>
            <w:r>
              <w:rPr>
                <w:rFonts w:hint="eastAsia" w:cs="Times New Roman"/>
                <w:color w:val="auto"/>
                <w:kern w:val="2"/>
                <w:sz w:val="21"/>
                <w:szCs w:val="21"/>
                <w:highlight w:val="none"/>
                <w:lang w:val="en-US" w:eastAsia="zh-CN"/>
              </w:rPr>
              <w:t>mg/m</w:t>
            </w:r>
            <w:r>
              <w:rPr>
                <w:rFonts w:hint="eastAsia" w:cs="Times New Roman"/>
                <w:color w:val="auto"/>
                <w:kern w:val="2"/>
                <w:sz w:val="21"/>
                <w:szCs w:val="21"/>
                <w:highlight w:val="none"/>
                <w:vertAlign w:val="superscript"/>
                <w:lang w:val="en-US" w:eastAsia="zh-CN"/>
              </w:rPr>
              <w:t>3</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10</w:t>
            </w:r>
            <w:r>
              <w:rPr>
                <w:rFonts w:hint="eastAsia" w:cs="Times New Roman"/>
                <w:color w:val="auto"/>
                <w:kern w:val="2"/>
                <w:sz w:val="21"/>
                <w:szCs w:val="21"/>
                <w:highlight w:val="none"/>
                <w:lang w:val="en-US" w:eastAsia="zh-CN"/>
              </w:rPr>
              <w:t>mg/m</w:t>
            </w:r>
            <w:r>
              <w:rPr>
                <w:rFonts w:hint="eastAsia" w:cs="Times New Roman"/>
                <w:color w:val="auto"/>
                <w:kern w:val="2"/>
                <w:sz w:val="21"/>
                <w:szCs w:val="21"/>
                <w:highlight w:val="none"/>
                <w:vertAlign w:val="superscript"/>
                <w:lang w:val="en-US" w:eastAsia="zh-CN"/>
              </w:rPr>
              <w:t>3</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69.0</w:t>
            </w:r>
            <w:r>
              <w:rPr>
                <w:rFonts w:hint="eastAsia" w:cs="Times New Roman"/>
                <w:sz w:val="21"/>
                <w:szCs w:val="21"/>
                <w:highlight w:val="none"/>
                <w:vertAlign w:val="baseline"/>
                <w:lang w:val="en-US" w:eastAsia="zh-CN"/>
              </w:rPr>
              <w:t>t/a</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172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rPr>
              <w:t>69.0</w:t>
            </w:r>
            <w:r>
              <w:rPr>
                <w:rFonts w:hint="eastAsia" w:cs="Times New Roman"/>
                <w:sz w:val="21"/>
                <w:szCs w:val="21"/>
                <w:highlight w:val="none"/>
                <w:vertAlign w:val="baseli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二氧化硫</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6~8</w:t>
            </w:r>
            <w:r>
              <w:rPr>
                <w:rFonts w:hint="eastAsia" w:cs="Times New Roman"/>
                <w:color w:val="auto"/>
                <w:kern w:val="2"/>
                <w:sz w:val="21"/>
                <w:szCs w:val="21"/>
                <w:highlight w:val="none"/>
                <w:lang w:val="en-US" w:eastAsia="zh-CN"/>
              </w:rPr>
              <w:t>mg/m</w:t>
            </w:r>
            <w:r>
              <w:rPr>
                <w:rFonts w:hint="eastAsia" w:cs="Times New Roman"/>
                <w:color w:val="auto"/>
                <w:kern w:val="2"/>
                <w:sz w:val="21"/>
                <w:szCs w:val="21"/>
                <w:highlight w:val="none"/>
                <w:vertAlign w:val="superscript"/>
                <w:lang w:val="en-US" w:eastAsia="zh-CN"/>
              </w:rPr>
              <w:t>3</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30</w:t>
            </w:r>
            <w:r>
              <w:rPr>
                <w:rFonts w:hint="eastAsia" w:cs="Times New Roman"/>
                <w:color w:val="auto"/>
                <w:kern w:val="2"/>
                <w:sz w:val="21"/>
                <w:szCs w:val="21"/>
                <w:highlight w:val="none"/>
                <w:lang w:val="en-US" w:eastAsia="zh-CN"/>
              </w:rPr>
              <w:t>mg/m</w:t>
            </w:r>
            <w:r>
              <w:rPr>
                <w:rFonts w:hint="eastAsia" w:cs="Times New Roman"/>
                <w:color w:val="auto"/>
                <w:kern w:val="2"/>
                <w:sz w:val="21"/>
                <w:szCs w:val="21"/>
                <w:highlight w:val="none"/>
                <w:vertAlign w:val="superscript"/>
                <w:lang w:val="en-US" w:eastAsia="zh-CN"/>
              </w:rPr>
              <w:t>3</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sz w:val="21"/>
                <w:szCs w:val="21"/>
                <w:highlight w:val="none"/>
                <w:vertAlign w:val="baseline"/>
                <w:lang w:val="en-US" w:eastAsia="zh-CN"/>
              </w:rPr>
              <w:t>118</w:t>
            </w:r>
            <w:r>
              <w:rPr>
                <w:rFonts w:hint="eastAsia" w:cs="Times New Roman"/>
                <w:sz w:val="21"/>
                <w:szCs w:val="21"/>
                <w:highlight w:val="none"/>
                <w:vertAlign w:val="baseline"/>
                <w:lang w:val="en-US" w:eastAsia="zh-CN"/>
              </w:rPr>
              <w:t>t/a</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172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r>
              <w:rPr>
                <w:rFonts w:hint="default" w:ascii="Times New Roman" w:hAnsi="Times New Roman" w:eastAsia="宋体" w:cs="Times New Roman"/>
                <w:sz w:val="21"/>
                <w:szCs w:val="21"/>
                <w:highlight w:val="none"/>
                <w:vertAlign w:val="baseline"/>
                <w:lang w:val="en-US" w:eastAsia="zh-CN"/>
              </w:rPr>
              <w:t>118</w:t>
            </w:r>
            <w:r>
              <w:rPr>
                <w:rFonts w:hint="eastAsia" w:cs="Times New Roman"/>
                <w:sz w:val="21"/>
                <w:szCs w:val="21"/>
                <w:highlight w:val="none"/>
                <w:vertAlign w:val="baseli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二氧化氮</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4~22mg/m</w:t>
            </w:r>
            <w:r>
              <w:rPr>
                <w:rFonts w:hint="eastAsia" w:cs="Times New Roman"/>
                <w:color w:val="auto"/>
                <w:kern w:val="2"/>
                <w:sz w:val="21"/>
                <w:szCs w:val="21"/>
                <w:highlight w:val="none"/>
                <w:vertAlign w:val="superscript"/>
                <w:lang w:val="en-US" w:eastAsia="zh-CN"/>
              </w:rPr>
              <w:t>3</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50mg/m</w:t>
            </w:r>
            <w:r>
              <w:rPr>
                <w:rFonts w:hint="eastAsia" w:cs="Times New Roman"/>
                <w:color w:val="auto"/>
                <w:kern w:val="2"/>
                <w:sz w:val="21"/>
                <w:szCs w:val="21"/>
                <w:highlight w:val="none"/>
                <w:vertAlign w:val="superscript"/>
                <w:lang w:val="en-US" w:eastAsia="zh-CN"/>
              </w:rPr>
              <w:t>3</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ascii="Times New Roman" w:hAnsi="Times New Roman" w:eastAsia="宋体" w:cs="Times New Roman"/>
                <w:color w:val="auto"/>
                <w:kern w:val="2"/>
                <w:sz w:val="21"/>
                <w:szCs w:val="21"/>
                <w:highlight w:val="none"/>
                <w:lang w:val="en-US" w:eastAsia="zh-CN"/>
              </w:rPr>
              <w:t>276</w:t>
            </w:r>
            <w:r>
              <w:rPr>
                <w:rFonts w:hint="eastAsia" w:cs="Times New Roman"/>
                <w:sz w:val="21"/>
                <w:szCs w:val="21"/>
                <w:highlight w:val="none"/>
                <w:vertAlign w:val="baseline"/>
                <w:lang w:val="en-US" w:eastAsia="zh-CN"/>
              </w:rPr>
              <w:t>t/a</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1723" w:type="dxa"/>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r>
              <w:rPr>
                <w:rFonts w:hint="eastAsia" w:ascii="Times New Roman" w:hAnsi="Times New Roman" w:eastAsia="宋体" w:cs="Times New Roman"/>
                <w:color w:val="auto"/>
                <w:kern w:val="2"/>
                <w:sz w:val="21"/>
                <w:szCs w:val="21"/>
                <w:highlight w:val="none"/>
                <w:lang w:val="en-US" w:eastAsia="zh-CN"/>
              </w:rPr>
              <w:t>276</w:t>
            </w:r>
            <w:r>
              <w:rPr>
                <w:rFonts w:hint="eastAsia" w:cs="Times New Roman"/>
                <w:sz w:val="21"/>
                <w:szCs w:val="21"/>
                <w:highlight w:val="none"/>
                <w:vertAlign w:val="baseline"/>
                <w:lang w:val="en-US" w:eastAsia="zh-CN"/>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汞及其化合物</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vertAlign w:val="baseline"/>
                <w:lang w:val="en-US" w:eastAsia="zh-CN"/>
              </w:rPr>
            </w:pPr>
            <w:r>
              <w:rPr>
                <w:rFonts w:hint="eastAsia"/>
                <w:color w:val="auto"/>
                <w:sz w:val="24"/>
                <w:szCs w:val="24"/>
                <w:highlight w:val="none"/>
                <w:lang w:val="en-US" w:eastAsia="zh-CN"/>
              </w:rPr>
              <w:t>3.35×10</w:t>
            </w:r>
            <w:r>
              <w:rPr>
                <w:rFonts w:hint="eastAsia"/>
                <w:color w:val="auto"/>
                <w:sz w:val="24"/>
                <w:szCs w:val="24"/>
                <w:highlight w:val="none"/>
                <w:vertAlign w:val="superscript"/>
                <w:lang w:val="en-US" w:eastAsia="zh-CN"/>
              </w:rPr>
              <w:t>-3</w:t>
            </w:r>
            <w:r>
              <w:rPr>
                <w:rFonts w:hint="eastAsia" w:cs="Times New Roman"/>
                <w:color w:val="auto"/>
                <w:kern w:val="2"/>
                <w:sz w:val="21"/>
                <w:szCs w:val="21"/>
                <w:highlight w:val="none"/>
                <w:lang w:val="en-US" w:eastAsia="zh-CN"/>
              </w:rPr>
              <w:t>mg/m</w:t>
            </w:r>
            <w:r>
              <w:rPr>
                <w:rFonts w:hint="eastAsia" w:cs="Times New Roman"/>
                <w:color w:val="auto"/>
                <w:kern w:val="2"/>
                <w:sz w:val="21"/>
                <w:szCs w:val="21"/>
                <w:highlight w:val="none"/>
                <w:vertAlign w:val="superscript"/>
                <w:lang w:val="en-US" w:eastAsia="zh-CN"/>
              </w:rPr>
              <w:t>3</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0.03mg/m</w:t>
            </w:r>
            <w:r>
              <w:rPr>
                <w:rFonts w:hint="eastAsia" w:cs="Times New Roman"/>
                <w:color w:val="auto"/>
                <w:kern w:val="2"/>
                <w:sz w:val="21"/>
                <w:szCs w:val="21"/>
                <w:highlight w:val="none"/>
                <w:vertAlign w:val="superscript"/>
                <w:lang w:val="en-US" w:eastAsia="zh-CN"/>
              </w:rPr>
              <w:t>3</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406"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eastAsia" w:ascii="Times New Roman" w:hAnsi="Times New Roman" w:eastAsia="宋体" w:cs="Times New Roman"/>
                <w:b/>
                <w:bCs/>
                <w:color w:val="auto"/>
                <w:kern w:val="2"/>
                <w:sz w:val="21"/>
                <w:szCs w:val="21"/>
                <w:highlight w:val="none"/>
                <w:lang w:eastAsia="zh-CN"/>
              </w:rPr>
            </w:pPr>
            <w:r>
              <w:rPr>
                <w:rFonts w:hint="eastAsia" w:cs="Times New Roman"/>
                <w:b/>
                <w:bCs/>
                <w:color w:val="auto"/>
                <w:kern w:val="2"/>
                <w:sz w:val="21"/>
                <w:szCs w:val="21"/>
                <w:highlight w:val="none"/>
                <w:lang w:eastAsia="zh-CN"/>
              </w:rPr>
              <w:t>工业固体废物</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25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r>
              <w:rPr>
                <w:rFonts w:hint="default" w:ascii="Times New Roman" w:hAnsi="Times New Roman" w:eastAsia="宋体" w:cs="Times New Roman"/>
                <w:b/>
                <w:bCs/>
                <w:color w:val="auto"/>
                <w:kern w:val="2"/>
                <w:sz w:val="21"/>
                <w:szCs w:val="21"/>
                <w:highlight w:val="none"/>
              </w:rPr>
              <w:t>项目有关的其他特征污染物</w:t>
            </w:r>
          </w:p>
        </w:tc>
        <w:tc>
          <w:tcPr>
            <w:tcW w:w="14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b/>
                <w:bCs/>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25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14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b/>
                <w:bCs/>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eastAsia"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84" w:type="pct"/>
            <w:gridSpan w:val="2"/>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25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0" w:firstLineChars="0"/>
              <w:jc w:val="center"/>
              <w:textAlignment w:val="auto"/>
              <w:rPr>
                <w:rFonts w:hint="default" w:ascii="Times New Roman" w:hAnsi="Times New Roman" w:eastAsia="宋体" w:cs="Times New Roman"/>
                <w:b/>
                <w:bCs/>
                <w:color w:val="auto"/>
                <w:kern w:val="2"/>
                <w:sz w:val="21"/>
                <w:szCs w:val="21"/>
                <w:highlight w:val="none"/>
              </w:rPr>
            </w:pPr>
          </w:p>
        </w:tc>
        <w:tc>
          <w:tcPr>
            <w:tcW w:w="149"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b/>
                <w:bCs/>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19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1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41"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3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355"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260"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lang w:val="en-US" w:eastAsia="zh-CN"/>
              </w:rPr>
            </w:pPr>
            <w:r>
              <w:rPr>
                <w:rFonts w:hint="eastAsia" w:cs="Times New Roman"/>
                <w:color w:val="auto"/>
                <w:kern w:val="2"/>
                <w:sz w:val="21"/>
                <w:szCs w:val="21"/>
                <w:highlight w:val="none"/>
                <w:lang w:val="en-US" w:eastAsia="zh-CN"/>
              </w:rPr>
              <w:t>/</w:t>
            </w:r>
          </w:p>
        </w:tc>
        <w:tc>
          <w:tcPr>
            <w:tcW w:w="702"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257" w:type="pct"/>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31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07" w:type="pct"/>
            <w:gridSpan w:val="2"/>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c>
          <w:tcPr>
            <w:tcW w:w="425" w:type="pct"/>
            <w:gridSpan w:val="3"/>
            <w:noWrap w:val="0"/>
            <w:vAlign w:val="center"/>
          </w:tcPr>
          <w:p>
            <w:pPr>
              <w:keepNext w:val="0"/>
              <w:keepLines w:val="0"/>
              <w:pageBreakBefore w:val="0"/>
              <w:widowControl w:val="0"/>
              <w:kinsoku/>
              <w:wordWrap/>
              <w:overflowPunct/>
              <w:topLinePunct w:val="0"/>
              <w:autoSpaceDE/>
              <w:autoSpaceDN/>
              <w:bidi w:val="0"/>
              <w:adjustRightInd/>
              <w:snapToGrid/>
              <w:spacing w:after="0" w:line="240" w:lineRule="auto"/>
              <w:ind w:firstLine="420" w:firstLineChars="200"/>
              <w:jc w:val="center"/>
              <w:textAlignment w:val="auto"/>
              <w:rPr>
                <w:rFonts w:hint="default" w:ascii="Times New Roman" w:hAnsi="Times New Roman" w:eastAsia="宋体" w:cs="Times New Roman"/>
                <w:color w:val="auto"/>
                <w:kern w:val="2"/>
                <w:sz w:val="21"/>
                <w:szCs w:val="21"/>
                <w:highlight w:val="none"/>
              </w:rPr>
            </w:pPr>
            <w:r>
              <w:rPr>
                <w:rFonts w:hint="eastAsia" w:cs="Times New Roman"/>
                <w:color w:val="auto"/>
                <w:kern w:val="2"/>
                <w:sz w:val="21"/>
                <w:szCs w:val="21"/>
                <w:highlight w:val="none"/>
                <w:lang w:val="en-US" w:eastAsia="zh-CN"/>
              </w:rPr>
              <w:t>/</w:t>
            </w:r>
          </w:p>
        </w:tc>
      </w:tr>
    </w:tbl>
    <w:p>
      <w:pPr>
        <w:pStyle w:val="8"/>
        <w:rPr>
          <w:rFonts w:hint="eastAsia"/>
          <w:highlight w:val="red"/>
          <w:lang w:val="en-US" w:eastAsia="zh-CN"/>
        </w:rPr>
      </w:pPr>
      <w:r>
        <w:rPr>
          <w:rFonts w:hint="default" w:ascii="Times New Roman" w:hAnsi="Times New Roman" w:eastAsia="宋体" w:cs="Times New Roman"/>
          <w:color w:val="auto"/>
          <w:sz w:val="21"/>
          <w:szCs w:val="21"/>
          <w:highlight w:val="none"/>
        </w:rPr>
        <w:t>注：1、</w:t>
      </w:r>
      <w:r>
        <w:rPr>
          <w:rFonts w:hint="default" w:ascii="Times New Roman" w:hAnsi="Times New Roman" w:eastAsia="宋体" w:cs="Times New Roman"/>
          <w:color w:val="auto"/>
          <w:spacing w:val="-4"/>
          <w:sz w:val="21"/>
          <w:szCs w:val="21"/>
          <w:highlight w:val="none"/>
        </w:rPr>
        <w:t>排放增减量：（+）表示增加，（-）表示减少。2、（12）=（6）-（8）-（11），（9）=（4）-（5）-（8）-（11）+（1）。3、计量单位：废水排放量——万吨/年；废气排放量——万标立方米/年；工业固体废</w:t>
      </w:r>
      <w:r>
        <w:rPr>
          <w:rFonts w:hint="default" w:ascii="Times New Roman" w:hAnsi="Times New Roman" w:eastAsia="宋体" w:cs="Times New Roman"/>
          <w:spacing w:val="-4"/>
          <w:sz w:val="21"/>
          <w:szCs w:val="21"/>
          <w:highlight w:val="none"/>
        </w:rPr>
        <w:t>物排放量——万吨/年；水污染物排放浓度——毫克/升</w:t>
      </w:r>
      <w:r>
        <w:rPr>
          <w:rFonts w:hint="default" w:ascii="Times New Roman" w:hAnsi="Times New Roman" w:eastAsia="宋体" w:cs="Times New Roman"/>
          <w:spacing w:val="-4"/>
          <w:sz w:val="21"/>
          <w:szCs w:val="21"/>
          <w:highlight w:val="none"/>
          <w:lang w:eastAsia="zh-CN"/>
        </w:rPr>
        <w:t>；</w:t>
      </w:r>
      <w:r>
        <w:rPr>
          <w:rFonts w:hint="default" w:ascii="Times New Roman" w:hAnsi="Times New Roman" w:eastAsia="宋体" w:cs="Times New Roman"/>
          <w:spacing w:val="-4"/>
          <w:sz w:val="21"/>
          <w:szCs w:val="21"/>
          <w:highlight w:val="none"/>
        </w:rPr>
        <w:t>大气污染物排放浓度——毫克/立方米；水污染物排放量——吨/年；大气污染物排放量——吨/年</w:t>
      </w:r>
      <w:r>
        <w:rPr>
          <w:rFonts w:hint="default" w:ascii="Times New Roman" w:hAnsi="Times New Roman" w:eastAsia="宋体" w:cs="Times New Roman"/>
          <w:spacing w:val="-4"/>
          <w:sz w:val="21"/>
          <w:szCs w:val="21"/>
          <w:highlight w:val="none"/>
          <w:lang w:eastAsia="zh-CN"/>
        </w:rPr>
        <w:t>。</w:t>
      </w:r>
    </w:p>
    <w:sectPr>
      <w:pgSz w:w="23811" w:h="16838" w:orient="landscape"/>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Microsoft JhengHei UI"/>
    <w:panose1 w:val="02010601000101010101"/>
    <w:charset w:val="88"/>
    <w:family w:val="roman"/>
    <w:pitch w:val="default"/>
    <w:sig w:usb0="00000000" w:usb1="00000000" w:usb2="00000016" w:usb3="00000000" w:csb0="00100001" w:csb1="00000000"/>
  </w:font>
  <w:font w:name="Tahoma">
    <w:panose1 w:val="020B0604030504040204"/>
    <w:charset w:val="00"/>
    <w:family w:val="auto"/>
    <w:pitch w:val="default"/>
    <w:sig w:usb0="E1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 w:name="Microsoft JhengHei UI">
    <w:panose1 w:val="020B0604030504040204"/>
    <w:charset w:val="88"/>
    <w:family w:val="auto"/>
    <w:pitch w:val="default"/>
    <w:sig w:usb0="000002A7" w:usb1="28CF4400" w:usb2="00000016" w:usb3="00000000" w:csb0="00100009"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15"/>
                      <w:rPr>
                        <w:sz w:val="24"/>
                        <w:szCs w:val="24"/>
                      </w:rPr>
                    </w:pPr>
                    <w:r>
                      <w:rPr>
                        <w:sz w:val="24"/>
                        <w:szCs w:val="24"/>
                      </w:rPr>
                      <w:fldChar w:fldCharType="begin"/>
                    </w:r>
                    <w:r>
                      <w:rPr>
                        <w:sz w:val="24"/>
                        <w:szCs w:val="24"/>
                      </w:rPr>
                      <w:instrText xml:space="preserve"> PAGE  \* MERGEFORMAT </w:instrText>
                    </w:r>
                    <w:r>
                      <w:rPr>
                        <w:sz w:val="24"/>
                        <w:szCs w:val="24"/>
                      </w:rPr>
                      <w:fldChar w:fldCharType="separate"/>
                    </w:r>
                    <w:r>
                      <w:rPr>
                        <w:sz w:val="24"/>
                        <w:szCs w:val="24"/>
                      </w:rPr>
                      <w:t>4</w:t>
                    </w:r>
                    <w:r>
                      <w:rPr>
                        <w:sz w:val="24"/>
                        <w:szCs w:val="24"/>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keepNext w:val="0"/>
      <w:keepLines w:val="0"/>
      <w:pageBreakBefore w:val="0"/>
      <w:widowControl w:val="0"/>
      <w:pBdr>
        <w:bottom w:val="single" w:color="auto" w:sz="4" w:space="1"/>
      </w:pBdr>
      <w:kinsoku/>
      <w:wordWrap/>
      <w:overflowPunct/>
      <w:topLinePunct w:val="0"/>
      <w:autoSpaceDE/>
      <w:autoSpaceDN/>
      <w:bidi w:val="0"/>
      <w:adjustRightInd/>
      <w:snapToGrid w:val="0"/>
      <w:ind w:firstLine="0" w:firstLineChars="0"/>
      <w:jc w:val="center"/>
      <w:textAlignment w:val="auto"/>
    </w:pPr>
    <w:r>
      <w:rPr>
        <w:rFonts w:hint="default"/>
        <w:lang w:val="en-US" w:eastAsia="zh-CN"/>
      </w:rPr>
      <w:t>淮北申能发电有限公司申能安徽平山电厂二期工程项目</w:t>
    </w:r>
    <w:r>
      <w:rPr>
        <w:rFonts w:hint="default"/>
        <w:lang w:eastAsia="zh-CN"/>
      </w:rPr>
      <w:t>竣工环境保护</w:t>
    </w:r>
    <w:r>
      <w:rPr>
        <w:rFonts w:hint="default"/>
      </w:rPr>
      <w:t>验收报告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E34A86"/>
    <w:multiLevelType w:val="singleLevel"/>
    <w:tmpl w:val="C6E34A86"/>
    <w:lvl w:ilvl="0" w:tentative="0">
      <w:start w:val="1"/>
      <w:numFmt w:val="decimal"/>
      <w:suff w:val="nothing"/>
      <w:lvlText w:val="（%1）"/>
      <w:lvlJc w:val="left"/>
    </w:lvl>
  </w:abstractNum>
  <w:abstractNum w:abstractNumId="1">
    <w:nsid w:val="E3938E2B"/>
    <w:multiLevelType w:val="singleLevel"/>
    <w:tmpl w:val="E3938E2B"/>
    <w:lvl w:ilvl="0" w:tentative="0">
      <w:start w:val="1"/>
      <w:numFmt w:val="decimal"/>
      <w:suff w:val="space"/>
      <w:lvlText w:val="%1."/>
      <w:lvlJc w:val="left"/>
    </w:lvl>
  </w:abstractNum>
  <w:abstractNum w:abstractNumId="2">
    <w:nsid w:val="124609FB"/>
    <w:multiLevelType w:val="singleLevel"/>
    <w:tmpl w:val="124609FB"/>
    <w:lvl w:ilvl="0" w:tentative="0">
      <w:start w:val="1"/>
      <w:numFmt w:val="decimal"/>
      <w:suff w:val="nothing"/>
      <w:lvlText w:val="（%1）"/>
      <w:lvlJc w:val="left"/>
    </w:lvl>
  </w:abstractNum>
  <w:abstractNum w:abstractNumId="3">
    <w:nsid w:val="41EA5F40"/>
    <w:multiLevelType w:val="singleLevel"/>
    <w:tmpl w:val="41EA5F40"/>
    <w:lvl w:ilvl="0" w:tentative="0">
      <w:start w:val="1"/>
      <w:numFmt w:val="decimal"/>
      <w:suff w:val="nothing"/>
      <w:lvlText w:val="（%1）"/>
      <w:lvlJc w:val="left"/>
    </w:lvl>
  </w:abstractNum>
  <w:abstractNum w:abstractNumId="4">
    <w:nsid w:val="656ABD62"/>
    <w:multiLevelType w:val="singleLevel"/>
    <w:tmpl w:val="656ABD62"/>
    <w:lvl w:ilvl="0" w:tentative="0">
      <w:start w:val="5"/>
      <w:numFmt w:val="chineseCounting"/>
      <w:suff w:val="nothing"/>
      <w:lvlText w:val="%1、"/>
      <w:lvlJc w:val="left"/>
      <w:rPr>
        <w:rFonts w:hint="eastAsia"/>
      </w:rPr>
    </w:lvl>
  </w:abstractNum>
  <w:abstractNum w:abstractNumId="5">
    <w:nsid w:val="7694A54F"/>
    <w:multiLevelType w:val="singleLevel"/>
    <w:tmpl w:val="7694A54F"/>
    <w:lvl w:ilvl="0" w:tentative="0">
      <w:start w:val="1"/>
      <w:numFmt w:val="decimal"/>
      <w:lvlText w:val="%1."/>
      <w:lvlJc w:val="left"/>
      <w:pPr>
        <w:ind w:left="425" w:hanging="425"/>
      </w:pPr>
      <w:rPr>
        <w:rFonts w:hint="default"/>
      </w:rPr>
    </w:lvl>
  </w:abstractNum>
  <w:num w:numId="1">
    <w:abstractNumId w:val="0"/>
  </w:num>
  <w:num w:numId="2">
    <w:abstractNumId w:val="2"/>
  </w:num>
  <w:num w:numId="3">
    <w:abstractNumId w:val="1"/>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5YTk2NWU3OTRhNTU0YjZlNWE0ODExMjY4YzM0MTgifQ=="/>
  </w:docVars>
  <w:rsids>
    <w:rsidRoot w:val="00172A27"/>
    <w:rsid w:val="00465A2C"/>
    <w:rsid w:val="00863B59"/>
    <w:rsid w:val="013C06BC"/>
    <w:rsid w:val="01627EB6"/>
    <w:rsid w:val="01E30BFD"/>
    <w:rsid w:val="028265A2"/>
    <w:rsid w:val="02ED4364"/>
    <w:rsid w:val="02FE0572"/>
    <w:rsid w:val="03901C32"/>
    <w:rsid w:val="039E740C"/>
    <w:rsid w:val="03F70E4B"/>
    <w:rsid w:val="042B5143"/>
    <w:rsid w:val="058944FE"/>
    <w:rsid w:val="05B80C59"/>
    <w:rsid w:val="05CD34A6"/>
    <w:rsid w:val="05F477B7"/>
    <w:rsid w:val="06340C3F"/>
    <w:rsid w:val="06995E65"/>
    <w:rsid w:val="06BB7B4D"/>
    <w:rsid w:val="06F54CDB"/>
    <w:rsid w:val="077A3CEC"/>
    <w:rsid w:val="085812F5"/>
    <w:rsid w:val="08E83112"/>
    <w:rsid w:val="093B5367"/>
    <w:rsid w:val="093F5758"/>
    <w:rsid w:val="09756E61"/>
    <w:rsid w:val="0A577826"/>
    <w:rsid w:val="0AB45022"/>
    <w:rsid w:val="0AF214E7"/>
    <w:rsid w:val="0B154F56"/>
    <w:rsid w:val="0BCB2D68"/>
    <w:rsid w:val="0C774C9E"/>
    <w:rsid w:val="0CC7504D"/>
    <w:rsid w:val="0D581497"/>
    <w:rsid w:val="0D984ECC"/>
    <w:rsid w:val="0DD139AA"/>
    <w:rsid w:val="0E2C1C44"/>
    <w:rsid w:val="0E3538D3"/>
    <w:rsid w:val="0F115334"/>
    <w:rsid w:val="0F242EBB"/>
    <w:rsid w:val="0F492922"/>
    <w:rsid w:val="0FA927BD"/>
    <w:rsid w:val="10263F06"/>
    <w:rsid w:val="1073032D"/>
    <w:rsid w:val="108F0808"/>
    <w:rsid w:val="10AE24D0"/>
    <w:rsid w:val="11AC1AEB"/>
    <w:rsid w:val="11D1102F"/>
    <w:rsid w:val="11E70D01"/>
    <w:rsid w:val="11EB7CC0"/>
    <w:rsid w:val="11F02775"/>
    <w:rsid w:val="12694AAA"/>
    <w:rsid w:val="130F30DB"/>
    <w:rsid w:val="1360648C"/>
    <w:rsid w:val="13E82684"/>
    <w:rsid w:val="14393020"/>
    <w:rsid w:val="14497A1D"/>
    <w:rsid w:val="1486320E"/>
    <w:rsid w:val="14EE3D05"/>
    <w:rsid w:val="15751AAE"/>
    <w:rsid w:val="15AA7E92"/>
    <w:rsid w:val="15C942BA"/>
    <w:rsid w:val="15D73F5E"/>
    <w:rsid w:val="15D8175F"/>
    <w:rsid w:val="15F65132"/>
    <w:rsid w:val="15FD1364"/>
    <w:rsid w:val="16111CBF"/>
    <w:rsid w:val="16881F81"/>
    <w:rsid w:val="179D1A5D"/>
    <w:rsid w:val="180B10BC"/>
    <w:rsid w:val="184155B9"/>
    <w:rsid w:val="187109F9"/>
    <w:rsid w:val="18A006AA"/>
    <w:rsid w:val="18BB4952"/>
    <w:rsid w:val="1903395F"/>
    <w:rsid w:val="1912367E"/>
    <w:rsid w:val="191C0A3C"/>
    <w:rsid w:val="197E02C9"/>
    <w:rsid w:val="199E3568"/>
    <w:rsid w:val="19BB266E"/>
    <w:rsid w:val="1A306686"/>
    <w:rsid w:val="1A461D85"/>
    <w:rsid w:val="1A5527D7"/>
    <w:rsid w:val="1A6537D2"/>
    <w:rsid w:val="1AA741B9"/>
    <w:rsid w:val="1B212E01"/>
    <w:rsid w:val="1C4F6AE7"/>
    <w:rsid w:val="1CB1434E"/>
    <w:rsid w:val="1D1E2F68"/>
    <w:rsid w:val="1D454364"/>
    <w:rsid w:val="1D576584"/>
    <w:rsid w:val="1DA83208"/>
    <w:rsid w:val="1DBD6F7B"/>
    <w:rsid w:val="1DD85A52"/>
    <w:rsid w:val="1DFA2445"/>
    <w:rsid w:val="1E2B10A1"/>
    <w:rsid w:val="1E616E1A"/>
    <w:rsid w:val="1E7F68A6"/>
    <w:rsid w:val="1EF41533"/>
    <w:rsid w:val="1F6E10B9"/>
    <w:rsid w:val="1F9B3E32"/>
    <w:rsid w:val="1FEB0346"/>
    <w:rsid w:val="20330648"/>
    <w:rsid w:val="206C6470"/>
    <w:rsid w:val="20AA7EAF"/>
    <w:rsid w:val="20C77B4A"/>
    <w:rsid w:val="214D5942"/>
    <w:rsid w:val="22205764"/>
    <w:rsid w:val="223163C2"/>
    <w:rsid w:val="22C87BA5"/>
    <w:rsid w:val="22F0246E"/>
    <w:rsid w:val="230D53F6"/>
    <w:rsid w:val="23107161"/>
    <w:rsid w:val="23201794"/>
    <w:rsid w:val="2331574F"/>
    <w:rsid w:val="238E0DF3"/>
    <w:rsid w:val="23DB4A54"/>
    <w:rsid w:val="24F8197C"/>
    <w:rsid w:val="25350646"/>
    <w:rsid w:val="25493224"/>
    <w:rsid w:val="25733194"/>
    <w:rsid w:val="25755DC7"/>
    <w:rsid w:val="25B05051"/>
    <w:rsid w:val="261C00E3"/>
    <w:rsid w:val="263B57A7"/>
    <w:rsid w:val="26485289"/>
    <w:rsid w:val="26976211"/>
    <w:rsid w:val="272654D3"/>
    <w:rsid w:val="28CB476F"/>
    <w:rsid w:val="28D63CE6"/>
    <w:rsid w:val="29944785"/>
    <w:rsid w:val="2A3101EB"/>
    <w:rsid w:val="2AFE76D3"/>
    <w:rsid w:val="2B193698"/>
    <w:rsid w:val="2C1047FB"/>
    <w:rsid w:val="2C133391"/>
    <w:rsid w:val="2C5F5FCF"/>
    <w:rsid w:val="2C9D43A9"/>
    <w:rsid w:val="2CF1211C"/>
    <w:rsid w:val="2CF6355B"/>
    <w:rsid w:val="2D6911F0"/>
    <w:rsid w:val="2D7050C6"/>
    <w:rsid w:val="2DAC0A59"/>
    <w:rsid w:val="2E436B47"/>
    <w:rsid w:val="2E500EA3"/>
    <w:rsid w:val="2E5A0250"/>
    <w:rsid w:val="2EA460E8"/>
    <w:rsid w:val="2EEB1974"/>
    <w:rsid w:val="2F537F0B"/>
    <w:rsid w:val="2FA74165"/>
    <w:rsid w:val="2FDE0A0C"/>
    <w:rsid w:val="2FE029D7"/>
    <w:rsid w:val="2FE44BBB"/>
    <w:rsid w:val="30280E5E"/>
    <w:rsid w:val="3070755D"/>
    <w:rsid w:val="307E7ED7"/>
    <w:rsid w:val="31531375"/>
    <w:rsid w:val="318A0E4C"/>
    <w:rsid w:val="31F86173"/>
    <w:rsid w:val="322E53E8"/>
    <w:rsid w:val="32610E9D"/>
    <w:rsid w:val="326351F9"/>
    <w:rsid w:val="32BB7F5A"/>
    <w:rsid w:val="32DC4C9E"/>
    <w:rsid w:val="331F0BAF"/>
    <w:rsid w:val="332559B5"/>
    <w:rsid w:val="33C45EF7"/>
    <w:rsid w:val="33C75981"/>
    <w:rsid w:val="342015F4"/>
    <w:rsid w:val="34A57629"/>
    <w:rsid w:val="34FA74DB"/>
    <w:rsid w:val="354A5074"/>
    <w:rsid w:val="355A28E3"/>
    <w:rsid w:val="359A24B7"/>
    <w:rsid w:val="35A7375E"/>
    <w:rsid w:val="35F04FF6"/>
    <w:rsid w:val="3626620E"/>
    <w:rsid w:val="368A658B"/>
    <w:rsid w:val="372366F4"/>
    <w:rsid w:val="37F0388C"/>
    <w:rsid w:val="381527C2"/>
    <w:rsid w:val="385B00ED"/>
    <w:rsid w:val="38677B44"/>
    <w:rsid w:val="387E4B3B"/>
    <w:rsid w:val="38CF3564"/>
    <w:rsid w:val="38EA241B"/>
    <w:rsid w:val="38F06F65"/>
    <w:rsid w:val="39262192"/>
    <w:rsid w:val="395A7951"/>
    <w:rsid w:val="39FF1CAB"/>
    <w:rsid w:val="3B4A2FAE"/>
    <w:rsid w:val="3BE473AB"/>
    <w:rsid w:val="3BEF558E"/>
    <w:rsid w:val="3C484C29"/>
    <w:rsid w:val="3CC14F5A"/>
    <w:rsid w:val="3D0171C7"/>
    <w:rsid w:val="3D136199"/>
    <w:rsid w:val="3D5347E8"/>
    <w:rsid w:val="3D627323"/>
    <w:rsid w:val="3DF15895"/>
    <w:rsid w:val="3E6456E3"/>
    <w:rsid w:val="3E87222B"/>
    <w:rsid w:val="3F3917BB"/>
    <w:rsid w:val="3F987069"/>
    <w:rsid w:val="40552625"/>
    <w:rsid w:val="40925E41"/>
    <w:rsid w:val="40EA7211"/>
    <w:rsid w:val="4139548E"/>
    <w:rsid w:val="415D1021"/>
    <w:rsid w:val="416D5592"/>
    <w:rsid w:val="42F85712"/>
    <w:rsid w:val="431D4175"/>
    <w:rsid w:val="43D47EA8"/>
    <w:rsid w:val="447050CA"/>
    <w:rsid w:val="449D27EC"/>
    <w:rsid w:val="44AD6ED3"/>
    <w:rsid w:val="44BF7CB0"/>
    <w:rsid w:val="44DA7C30"/>
    <w:rsid w:val="45640EFD"/>
    <w:rsid w:val="459040FF"/>
    <w:rsid w:val="45D109A0"/>
    <w:rsid w:val="45DD7344"/>
    <w:rsid w:val="45FA15A8"/>
    <w:rsid w:val="461B1A4D"/>
    <w:rsid w:val="4628180B"/>
    <w:rsid w:val="466F6BC9"/>
    <w:rsid w:val="47A45C40"/>
    <w:rsid w:val="47EF3B3D"/>
    <w:rsid w:val="48BB76E5"/>
    <w:rsid w:val="490E3CB9"/>
    <w:rsid w:val="494E6D72"/>
    <w:rsid w:val="4961169C"/>
    <w:rsid w:val="4972249A"/>
    <w:rsid w:val="4A9B6530"/>
    <w:rsid w:val="4B792476"/>
    <w:rsid w:val="4B806D17"/>
    <w:rsid w:val="4BE40D01"/>
    <w:rsid w:val="4C1D0D4B"/>
    <w:rsid w:val="4C3C0B3D"/>
    <w:rsid w:val="4C7E2F03"/>
    <w:rsid w:val="4C8F6B2B"/>
    <w:rsid w:val="4CFF4044"/>
    <w:rsid w:val="4D1679E0"/>
    <w:rsid w:val="4D5645D0"/>
    <w:rsid w:val="4D741558"/>
    <w:rsid w:val="4DED20EF"/>
    <w:rsid w:val="4DF96345"/>
    <w:rsid w:val="4E0303AA"/>
    <w:rsid w:val="4E7643A6"/>
    <w:rsid w:val="4EA46701"/>
    <w:rsid w:val="4ED432AF"/>
    <w:rsid w:val="4EDB7799"/>
    <w:rsid w:val="4EE70A45"/>
    <w:rsid w:val="4FB01626"/>
    <w:rsid w:val="50A103E2"/>
    <w:rsid w:val="50AC596F"/>
    <w:rsid w:val="50D90E7C"/>
    <w:rsid w:val="50F96FFC"/>
    <w:rsid w:val="513F5D5A"/>
    <w:rsid w:val="51752B27"/>
    <w:rsid w:val="520B1FB3"/>
    <w:rsid w:val="52AD009F"/>
    <w:rsid w:val="53403B6B"/>
    <w:rsid w:val="5395272A"/>
    <w:rsid w:val="53DF2A9B"/>
    <w:rsid w:val="544144EE"/>
    <w:rsid w:val="552115FB"/>
    <w:rsid w:val="556664CA"/>
    <w:rsid w:val="557A36B5"/>
    <w:rsid w:val="55F34962"/>
    <w:rsid w:val="55FF3307"/>
    <w:rsid w:val="564C5ABC"/>
    <w:rsid w:val="56D46BD8"/>
    <w:rsid w:val="574113A8"/>
    <w:rsid w:val="58686EDA"/>
    <w:rsid w:val="58E95BA9"/>
    <w:rsid w:val="58F44C79"/>
    <w:rsid w:val="596077FA"/>
    <w:rsid w:val="59B7246B"/>
    <w:rsid w:val="59CD1026"/>
    <w:rsid w:val="5A582FE6"/>
    <w:rsid w:val="5A795638"/>
    <w:rsid w:val="5A875679"/>
    <w:rsid w:val="5ABD72ED"/>
    <w:rsid w:val="5AEF0F59"/>
    <w:rsid w:val="5AFC6067"/>
    <w:rsid w:val="5B4951B3"/>
    <w:rsid w:val="5CCE11BF"/>
    <w:rsid w:val="5D04671A"/>
    <w:rsid w:val="5D4D53F1"/>
    <w:rsid w:val="5D683540"/>
    <w:rsid w:val="5D935CE3"/>
    <w:rsid w:val="5DD62B9F"/>
    <w:rsid w:val="5E0F7384"/>
    <w:rsid w:val="5EA87E10"/>
    <w:rsid w:val="5EC5726E"/>
    <w:rsid w:val="5EDA221B"/>
    <w:rsid w:val="5FD56E87"/>
    <w:rsid w:val="60DC2F15"/>
    <w:rsid w:val="60E43825"/>
    <w:rsid w:val="60EE0200"/>
    <w:rsid w:val="60F15F42"/>
    <w:rsid w:val="612400C6"/>
    <w:rsid w:val="6190140E"/>
    <w:rsid w:val="61D867BA"/>
    <w:rsid w:val="622E6A94"/>
    <w:rsid w:val="62754FD1"/>
    <w:rsid w:val="6280132C"/>
    <w:rsid w:val="62B47844"/>
    <w:rsid w:val="62B965EC"/>
    <w:rsid w:val="62EC71ED"/>
    <w:rsid w:val="62F137BB"/>
    <w:rsid w:val="635440AC"/>
    <w:rsid w:val="63B941AB"/>
    <w:rsid w:val="63DF6654"/>
    <w:rsid w:val="642A77A1"/>
    <w:rsid w:val="64455769"/>
    <w:rsid w:val="64637B2E"/>
    <w:rsid w:val="646A2293"/>
    <w:rsid w:val="64D12312"/>
    <w:rsid w:val="64DD5962"/>
    <w:rsid w:val="64F32289"/>
    <w:rsid w:val="651915C4"/>
    <w:rsid w:val="65247AA1"/>
    <w:rsid w:val="65516FAF"/>
    <w:rsid w:val="65D03C43"/>
    <w:rsid w:val="665F74AA"/>
    <w:rsid w:val="666D7E19"/>
    <w:rsid w:val="668266E7"/>
    <w:rsid w:val="66B31D92"/>
    <w:rsid w:val="6716225F"/>
    <w:rsid w:val="67505127"/>
    <w:rsid w:val="682F3D34"/>
    <w:rsid w:val="688E634F"/>
    <w:rsid w:val="68B25FB7"/>
    <w:rsid w:val="68CA3301"/>
    <w:rsid w:val="68CE0FC3"/>
    <w:rsid w:val="69064853"/>
    <w:rsid w:val="69252C2D"/>
    <w:rsid w:val="693E3CEF"/>
    <w:rsid w:val="69781428"/>
    <w:rsid w:val="697B43F4"/>
    <w:rsid w:val="69E860BE"/>
    <w:rsid w:val="6A0A4F1E"/>
    <w:rsid w:val="6A1D7286"/>
    <w:rsid w:val="6A3F7D1E"/>
    <w:rsid w:val="6A4269D2"/>
    <w:rsid w:val="6A6979E3"/>
    <w:rsid w:val="6A7B7994"/>
    <w:rsid w:val="6B0053ED"/>
    <w:rsid w:val="6B8147D3"/>
    <w:rsid w:val="6B916358"/>
    <w:rsid w:val="6B9A228B"/>
    <w:rsid w:val="6C51793F"/>
    <w:rsid w:val="6C9628D5"/>
    <w:rsid w:val="6D9F2D5F"/>
    <w:rsid w:val="6EA2087C"/>
    <w:rsid w:val="6F1F19C7"/>
    <w:rsid w:val="70126B39"/>
    <w:rsid w:val="702B6882"/>
    <w:rsid w:val="703F0842"/>
    <w:rsid w:val="70771ED3"/>
    <w:rsid w:val="70F072B6"/>
    <w:rsid w:val="710C5ABA"/>
    <w:rsid w:val="7164006A"/>
    <w:rsid w:val="719B2F03"/>
    <w:rsid w:val="71B431D2"/>
    <w:rsid w:val="720F6228"/>
    <w:rsid w:val="72606965"/>
    <w:rsid w:val="72CC6189"/>
    <w:rsid w:val="735D50CF"/>
    <w:rsid w:val="73D239B1"/>
    <w:rsid w:val="74247210"/>
    <w:rsid w:val="74940C67"/>
    <w:rsid w:val="74CC5B89"/>
    <w:rsid w:val="74E50FC8"/>
    <w:rsid w:val="74F84597"/>
    <w:rsid w:val="75267081"/>
    <w:rsid w:val="756B5E6B"/>
    <w:rsid w:val="75CC5CBA"/>
    <w:rsid w:val="75D51C1F"/>
    <w:rsid w:val="75F145C2"/>
    <w:rsid w:val="760F2C9B"/>
    <w:rsid w:val="764B747C"/>
    <w:rsid w:val="772269FE"/>
    <w:rsid w:val="77440662"/>
    <w:rsid w:val="77913B5B"/>
    <w:rsid w:val="77B33844"/>
    <w:rsid w:val="78311975"/>
    <w:rsid w:val="78521B33"/>
    <w:rsid w:val="78DF5147"/>
    <w:rsid w:val="79547521"/>
    <w:rsid w:val="797D683A"/>
    <w:rsid w:val="79863274"/>
    <w:rsid w:val="798E3382"/>
    <w:rsid w:val="7AA811E2"/>
    <w:rsid w:val="7AD16771"/>
    <w:rsid w:val="7AD24064"/>
    <w:rsid w:val="7B890A38"/>
    <w:rsid w:val="7BA93249"/>
    <w:rsid w:val="7BDB5EB2"/>
    <w:rsid w:val="7CCF69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99"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803" w:firstLineChars="200"/>
      <w:jc w:val="both"/>
    </w:pPr>
    <w:rPr>
      <w:rFonts w:ascii="Times New Roman" w:hAnsi="Times New Roman" w:eastAsia="宋体" w:cs="Times New Roman"/>
      <w:kern w:val="2"/>
      <w:sz w:val="24"/>
      <w:szCs w:val="24"/>
      <w:lang w:val="en-US" w:eastAsia="zh-CN" w:bidi="ar-SA"/>
    </w:rPr>
  </w:style>
  <w:style w:type="paragraph" w:styleId="3">
    <w:name w:val="heading 1"/>
    <w:basedOn w:val="1"/>
    <w:next w:val="1"/>
    <w:link w:val="30"/>
    <w:qFormat/>
    <w:uiPriority w:val="0"/>
    <w:pPr>
      <w:keepNext/>
      <w:keepLines/>
      <w:spacing w:before="340" w:beforeLines="0" w:beforeAutospacing="0" w:after="330" w:afterLines="0" w:afterAutospacing="0" w:line="576" w:lineRule="auto"/>
      <w:jc w:val="center"/>
      <w:outlineLvl w:val="0"/>
    </w:pPr>
    <w:rPr>
      <w:rFonts w:ascii="Times New Roman" w:hAnsi="Times New Roman"/>
      <w:b/>
      <w:kern w:val="44"/>
      <w:sz w:val="36"/>
    </w:rPr>
  </w:style>
  <w:style w:type="paragraph" w:styleId="4">
    <w:name w:val="heading 2"/>
    <w:basedOn w:val="1"/>
    <w:next w:val="1"/>
    <w:qFormat/>
    <w:uiPriority w:val="0"/>
    <w:pPr>
      <w:keepNext/>
      <w:spacing w:line="360" w:lineRule="auto"/>
      <w:outlineLvl w:val="1"/>
    </w:pPr>
    <w:rPr>
      <w:rFonts w:ascii="Times New Roman" w:hAnsi="Times New Roman"/>
      <w:b/>
      <w:color w:val="000000"/>
      <w:kern w:val="0"/>
      <w:sz w:val="30"/>
      <w:szCs w:val="20"/>
    </w:rPr>
  </w:style>
  <w:style w:type="paragraph" w:styleId="5">
    <w:name w:val="heading 3"/>
    <w:basedOn w:val="1"/>
    <w:next w:val="1"/>
    <w:unhideWhenUsed/>
    <w:qFormat/>
    <w:uiPriority w:val="0"/>
    <w:pPr>
      <w:keepNext/>
      <w:keepLines/>
      <w:spacing w:beforeLines="0" w:beforeAutospacing="0" w:afterLines="0" w:afterAutospacing="0" w:line="360" w:lineRule="auto"/>
      <w:outlineLvl w:val="2"/>
    </w:pPr>
    <w:rPr>
      <w:rFonts w:ascii="Times New Roman" w:hAnsi="Times New Roman"/>
      <w:b/>
      <w:sz w:val="28"/>
    </w:rPr>
  </w:style>
  <w:style w:type="paragraph" w:styleId="2">
    <w:name w:val="heading 4"/>
    <w:basedOn w:val="1"/>
    <w:next w:val="1"/>
    <w:qFormat/>
    <w:uiPriority w:val="0"/>
    <w:pPr>
      <w:ind w:firstLine="0" w:firstLineChars="0"/>
      <w:outlineLvl w:val="3"/>
    </w:pPr>
    <w:rPr>
      <w:b/>
    </w:rPr>
  </w:style>
  <w:style w:type="character" w:default="1" w:styleId="25">
    <w:name w:val="Default Paragraph Font"/>
    <w:semiHidden/>
    <w:qFormat/>
    <w:uiPriority w:val="0"/>
  </w:style>
  <w:style w:type="table" w:default="1" w:styleId="23">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spacing w:line="360" w:lineRule="auto"/>
      <w:ind w:left="851" w:firstLine="420"/>
    </w:pPr>
  </w:style>
  <w:style w:type="paragraph" w:styleId="7">
    <w:name w:val="annotation text"/>
    <w:basedOn w:val="1"/>
    <w:qFormat/>
    <w:uiPriority w:val="0"/>
  </w:style>
  <w:style w:type="paragraph" w:styleId="8">
    <w:name w:val="Body Text"/>
    <w:basedOn w:val="1"/>
    <w:next w:val="9"/>
    <w:semiHidden/>
    <w:qFormat/>
    <w:uiPriority w:val="0"/>
    <w:pPr>
      <w:spacing w:after="120"/>
    </w:pPr>
  </w:style>
  <w:style w:type="paragraph" w:customStyle="1" w:styleId="9">
    <w:name w:val="xl27"/>
    <w:next w:val="10"/>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hint="eastAsia" w:ascii="PMingLiU" w:hAnsi="Calibri" w:eastAsia="PMingLiU" w:cs="Times New Roman"/>
      <w:kern w:val="0"/>
      <w:sz w:val="16"/>
      <w:szCs w:val="16"/>
      <w:lang w:val="en-US" w:eastAsia="zh-TW" w:bidi="ar-SA"/>
    </w:rPr>
  </w:style>
  <w:style w:type="paragraph" w:customStyle="1" w:styleId="10">
    <w:name w:val="A正文"/>
    <w:basedOn w:val="1"/>
    <w:qFormat/>
    <w:uiPriority w:val="0"/>
    <w:pPr>
      <w:widowControl/>
      <w:ind w:firstLine="480"/>
      <w:jc w:val="left"/>
    </w:pPr>
    <w:rPr>
      <w:rFonts w:ascii="宋体" w:hAnsi="宋体"/>
      <w:kern w:val="0"/>
      <w:szCs w:val="22"/>
    </w:rPr>
  </w:style>
  <w:style w:type="paragraph" w:styleId="11">
    <w:name w:val="Body Text Indent"/>
    <w:basedOn w:val="1"/>
    <w:next w:val="12"/>
    <w:unhideWhenUsed/>
    <w:qFormat/>
    <w:uiPriority w:val="0"/>
    <w:pPr>
      <w:spacing w:after="120"/>
      <w:ind w:left="420" w:leftChars="200"/>
    </w:pPr>
  </w:style>
  <w:style w:type="paragraph" w:styleId="12">
    <w:name w:val="envelope return"/>
    <w:basedOn w:val="1"/>
    <w:qFormat/>
    <w:uiPriority w:val="0"/>
    <w:pPr>
      <w:snapToGrid w:val="0"/>
    </w:pPr>
    <w:rPr>
      <w:rFonts w:ascii="Arial" w:hAnsi="Arial" w:cs="Arial"/>
    </w:rPr>
  </w:style>
  <w:style w:type="paragraph" w:styleId="13">
    <w:name w:val="toc 3"/>
    <w:basedOn w:val="1"/>
    <w:next w:val="1"/>
    <w:qFormat/>
    <w:uiPriority w:val="39"/>
    <w:pPr>
      <w:spacing w:line="360" w:lineRule="auto"/>
      <w:jc w:val="center"/>
    </w:pPr>
    <w:rPr>
      <w:i/>
      <w:iCs/>
      <w:szCs w:val="24"/>
    </w:rPr>
  </w:style>
  <w:style w:type="paragraph" w:styleId="14">
    <w:name w:val="Body Text Indent 2"/>
    <w:basedOn w:val="1"/>
    <w:qFormat/>
    <w:uiPriority w:val="0"/>
    <w:pPr>
      <w:spacing w:after="120" w:afterLines="0" w:afterAutospacing="0" w:line="480" w:lineRule="auto"/>
      <w:ind w:left="420" w:leftChars="200"/>
    </w:pPr>
  </w:style>
  <w:style w:type="paragraph" w:styleId="15">
    <w:name w:val="footer"/>
    <w:basedOn w:val="1"/>
    <w:qFormat/>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qFormat/>
    <w:uiPriority w:val="0"/>
  </w:style>
  <w:style w:type="paragraph" w:styleId="18">
    <w:name w:val="List"/>
    <w:basedOn w:val="1"/>
    <w:qFormat/>
    <w:uiPriority w:val="0"/>
    <w:pPr>
      <w:ind w:left="1276" w:hanging="425"/>
    </w:pPr>
    <w:rPr>
      <w:lang w:val="en-US" w:eastAsia="zh-CN" w:bidi="ar-SA"/>
    </w:rPr>
  </w:style>
  <w:style w:type="paragraph" w:styleId="19">
    <w:name w:val="toc 2"/>
    <w:basedOn w:val="1"/>
    <w:next w:val="1"/>
    <w:qFormat/>
    <w:uiPriority w:val="0"/>
    <w:pPr>
      <w:ind w:left="420" w:leftChars="200"/>
    </w:pPr>
  </w:style>
  <w:style w:type="paragraph" w:styleId="20">
    <w:name w:val="Normal (Web)"/>
    <w:basedOn w:val="1"/>
    <w:qFormat/>
    <w:uiPriority w:val="0"/>
    <w:pPr>
      <w:spacing w:before="0" w:beforeAutospacing="1" w:after="0" w:afterAutospacing="1"/>
      <w:ind w:left="0" w:right="0"/>
      <w:jc w:val="left"/>
    </w:pPr>
    <w:rPr>
      <w:kern w:val="0"/>
      <w:sz w:val="24"/>
      <w:lang w:val="en-US" w:eastAsia="zh-CN" w:bidi="ar"/>
    </w:rPr>
  </w:style>
  <w:style w:type="paragraph" w:styleId="21">
    <w:name w:val="index 1"/>
    <w:basedOn w:val="1"/>
    <w:next w:val="1"/>
    <w:qFormat/>
    <w:uiPriority w:val="99"/>
    <w:pPr>
      <w:spacing w:beforeLines="50" w:afterLines="50" w:line="240" w:lineRule="atLeast"/>
      <w:jc w:val="center"/>
    </w:pPr>
    <w:rPr>
      <w:color w:val="000000"/>
    </w:rPr>
  </w:style>
  <w:style w:type="paragraph" w:styleId="22">
    <w:name w:val="Body Text First Indent 2"/>
    <w:basedOn w:val="11"/>
    <w:next w:val="1"/>
    <w:qFormat/>
    <w:uiPriority w:val="0"/>
    <w:pPr>
      <w:ind w:firstLine="420" w:firstLineChars="200"/>
    </w:pPr>
  </w:style>
  <w:style w:type="table" w:styleId="24">
    <w:name w:val="Table Grid"/>
    <w:basedOn w:val="2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6">
    <w:name w:val="Default"/>
    <w:unhideWhenUsed/>
    <w:qFormat/>
    <w:uiPriority w:val="99"/>
    <w:pPr>
      <w:widowControl w:val="0"/>
      <w:autoSpaceDE w:val="0"/>
      <w:autoSpaceDN w:val="0"/>
      <w:adjustRightInd w:val="0"/>
      <w:spacing w:beforeLines="0" w:afterLines="0"/>
    </w:pPr>
    <w:rPr>
      <w:rFonts w:hint="eastAsia" w:ascii="Times New Roman" w:hAnsi="Times New Roman" w:eastAsia="Times New Roman" w:cs="Times New Roman"/>
      <w:color w:val="000000"/>
      <w:sz w:val="24"/>
      <w:szCs w:val="24"/>
    </w:rPr>
  </w:style>
  <w:style w:type="paragraph" w:customStyle="1" w:styleId="27">
    <w:name w:val="zwb-正文"/>
    <w:basedOn w:val="1"/>
    <w:qFormat/>
    <w:uiPriority w:val="0"/>
    <w:pPr>
      <w:spacing w:line="360" w:lineRule="auto"/>
      <w:ind w:firstLine="480" w:firstLineChars="200"/>
    </w:pPr>
    <w:rPr>
      <w:rFonts w:eastAsia="宋体" w:cs="Times New Roman"/>
      <w:sz w:val="24"/>
      <w:szCs w:val="24"/>
    </w:rPr>
  </w:style>
  <w:style w:type="character" w:customStyle="1" w:styleId="28">
    <w:name w:val="fontstyle01"/>
    <w:basedOn w:val="25"/>
    <w:qFormat/>
    <w:uiPriority w:val="0"/>
    <w:rPr>
      <w:rFonts w:hint="eastAsia" w:ascii="宋体" w:hAnsi="宋体" w:eastAsia="宋体" w:cs="宋体"/>
      <w:color w:val="000000"/>
      <w:sz w:val="28"/>
      <w:szCs w:val="28"/>
    </w:rPr>
  </w:style>
  <w:style w:type="paragraph" w:customStyle="1" w:styleId="29">
    <w:name w:val="表内字"/>
    <w:qFormat/>
    <w:uiPriority w:val="0"/>
    <w:pPr>
      <w:widowControl w:val="0"/>
      <w:autoSpaceDE w:val="0"/>
      <w:autoSpaceDN w:val="0"/>
      <w:adjustRightInd w:val="0"/>
      <w:snapToGrid w:val="0"/>
      <w:jc w:val="center"/>
    </w:pPr>
    <w:rPr>
      <w:rFonts w:ascii="Tahoma" w:hAnsi="Tahoma" w:eastAsia="宋体" w:cs="Times New Roman"/>
      <w:sz w:val="21"/>
      <w:szCs w:val="21"/>
      <w:lang w:val="en-US" w:eastAsia="zh-CN" w:bidi="ar-SA"/>
    </w:rPr>
  </w:style>
  <w:style w:type="character" w:customStyle="1" w:styleId="30">
    <w:name w:val="标题 1 Char1"/>
    <w:link w:val="3"/>
    <w:qFormat/>
    <w:uiPriority w:val="0"/>
    <w:rPr>
      <w:rFonts w:ascii="Times New Roman" w:hAnsi="Times New Roman"/>
      <w:b/>
      <w:kern w:val="44"/>
      <w:sz w:val="36"/>
    </w:rPr>
  </w:style>
  <w:style w:type="paragraph" w:customStyle="1" w:styleId="31">
    <w:name w:val="表格"/>
    <w:basedOn w:val="14"/>
    <w:next w:val="22"/>
    <w:qFormat/>
    <w:uiPriority w:val="0"/>
    <w:pPr>
      <w:spacing w:before="120" w:line="240" w:lineRule="auto"/>
      <w:ind w:left="0" w:leftChars="0"/>
      <w:jc w:val="center"/>
    </w:pPr>
    <w:rPr>
      <w:rFonts w:ascii="Times New Roman" w:hAnsi="Times New Roman" w:eastAsia="宋体"/>
      <w:sz w:val="21"/>
      <w:szCs w:val="22"/>
    </w:rPr>
  </w:style>
  <w:style w:type="character" w:customStyle="1" w:styleId="32">
    <w:name w:val="fontstyle21"/>
    <w:basedOn w:val="25"/>
    <w:qFormat/>
    <w:uiPriority w:val="0"/>
    <w:rPr>
      <w:rFonts w:hint="eastAsia" w:ascii="宋体" w:hAnsi="宋体" w:eastAsia="宋体" w:cs="宋体"/>
      <w:color w:val="000000"/>
      <w:sz w:val="28"/>
      <w:szCs w:val="28"/>
    </w:rPr>
  </w:style>
  <w:style w:type="paragraph" w:customStyle="1" w:styleId="33">
    <w:name w:val="图片"/>
    <w:basedOn w:val="1"/>
    <w:qFormat/>
    <w:uiPriority w:val="0"/>
    <w:pPr>
      <w:spacing w:line="240" w:lineRule="auto"/>
      <w:ind w:firstLine="0" w:firstLineChars="0"/>
      <w:jc w:val="center"/>
    </w:pPr>
    <w:rPr>
      <w:rFonts w:ascii="Times New Roman" w:hAnsi="Times New Roman" w:eastAsia="宋体"/>
      <w:sz w:val="21"/>
    </w:rPr>
  </w:style>
  <w:style w:type="paragraph" w:customStyle="1" w:styleId="34">
    <w:name w:val="图题"/>
    <w:basedOn w:val="1"/>
    <w:qFormat/>
    <w:uiPriority w:val="0"/>
    <w:pPr>
      <w:spacing w:after="120" w:line="240" w:lineRule="auto"/>
      <w:ind w:firstLine="0" w:firstLineChars="0"/>
      <w:jc w:val="left"/>
    </w:pPr>
    <w:rPr>
      <w:rFonts w:eastAsia="黑体"/>
      <w:kern w:val="0"/>
      <w:sz w:val="21"/>
      <w:szCs w:val="20"/>
    </w:rPr>
  </w:style>
  <w:style w:type="paragraph" w:customStyle="1" w:styleId="35">
    <w:name w:val="表题"/>
    <w:basedOn w:val="1"/>
    <w:qFormat/>
    <w:uiPriority w:val="0"/>
    <w:pPr>
      <w:spacing w:before="120" w:line="240" w:lineRule="auto"/>
      <w:ind w:firstLine="0" w:firstLineChars="0"/>
      <w:jc w:val="center"/>
    </w:pPr>
    <w:rPr>
      <w:rFonts w:ascii="Times New Roman" w:hAnsi="Times New Roman" w:eastAsia="黑体"/>
      <w:sz w:val="21"/>
    </w:rPr>
  </w:style>
  <w:style w:type="paragraph" w:customStyle="1" w:styleId="36">
    <w:name w:val="WPSOffice手动目录 1"/>
    <w:qFormat/>
    <w:uiPriority w:val="0"/>
    <w:pPr>
      <w:ind w:leftChars="0"/>
    </w:pPr>
    <w:rPr>
      <w:rFonts w:ascii="Times New Roman" w:hAnsi="Times New Roman" w:eastAsia="宋体" w:cs="Times New Roman"/>
      <w:sz w:val="20"/>
      <w:szCs w:val="20"/>
    </w:rPr>
  </w:style>
  <w:style w:type="paragraph" w:customStyle="1" w:styleId="37">
    <w:name w:val="WPSOffice手动目录 2"/>
    <w:qFormat/>
    <w:uiPriority w:val="0"/>
    <w:pPr>
      <w:ind w:leftChars="200"/>
    </w:pPr>
    <w:rPr>
      <w:rFonts w:ascii="Times New Roman" w:hAnsi="Times New Roman" w:eastAsia="宋体" w:cs="Times New Roman"/>
      <w:sz w:val="20"/>
      <w:szCs w:val="20"/>
    </w:rPr>
  </w:style>
  <w:style w:type="paragraph" w:customStyle="1" w:styleId="38">
    <w:name w:val="样式1"/>
    <w:basedOn w:val="1"/>
    <w:qFormat/>
    <w:uiPriority w:val="0"/>
    <w:pPr>
      <w:spacing w:line="420" w:lineRule="auto"/>
      <w:jc w:val="center"/>
    </w:pPr>
    <w:rPr>
      <w:rFonts w:ascii="宋体"/>
    </w:rPr>
  </w:style>
  <w:style w:type="paragraph" w:styleId="39">
    <w:name w:val="No Spacing"/>
    <w:qFormat/>
    <w:uiPriority w:val="1"/>
    <w:pPr>
      <w:widowControl w:val="0"/>
      <w:adjustRightInd w:val="0"/>
      <w:spacing w:line="360" w:lineRule="atLeast"/>
      <w:textAlignment w:val="baseline"/>
    </w:pPr>
    <w:rPr>
      <w:rFonts w:ascii="Times New Roman" w:hAnsi="Times New Roman" w:eastAsia="宋体" w:cs="Times New Roman"/>
      <w:sz w:val="21"/>
      <w:lang w:val="en-US" w:eastAsia="zh-CN" w:bidi="ar-SA"/>
    </w:rPr>
  </w:style>
  <w:style w:type="paragraph" w:customStyle="1" w:styleId="40">
    <w:name w:val="正文1"/>
    <w:basedOn w:val="1"/>
    <w:qFormat/>
    <w:uiPriority w:val="0"/>
    <w:pPr>
      <w:tabs>
        <w:tab w:val="left" w:pos="1211"/>
      </w:tabs>
      <w:spacing w:line="360" w:lineRule="auto"/>
      <w:ind w:left="1191" w:hanging="340"/>
    </w:pPr>
  </w:style>
  <w:style w:type="paragraph" w:customStyle="1" w:styleId="41">
    <w:name w:val="Body text|1"/>
    <w:basedOn w:val="1"/>
    <w:qFormat/>
    <w:uiPriority w:val="0"/>
    <w:pPr>
      <w:widowControl w:val="0"/>
      <w:shd w:val="clear" w:color="auto" w:fill="auto"/>
      <w:spacing w:after="160"/>
      <w:ind w:right="200"/>
      <w:jc w:val="right"/>
    </w:pPr>
    <w:rPr>
      <w:rFonts w:ascii="宋体" w:hAnsi="宋体" w:eastAsia="宋体" w:cs="宋体"/>
      <w:b/>
      <w:bCs/>
      <w:u w:val="none"/>
      <w:shd w:val="clear" w:color="auto" w:fill="auto"/>
      <w:lang w:val="zh-TW" w:eastAsia="zh-TW" w:bidi="zh-TW"/>
    </w:rPr>
  </w:style>
  <w:style w:type="paragraph" w:customStyle="1" w:styleId="42">
    <w:name w:val="Other|1"/>
    <w:basedOn w:val="1"/>
    <w:qFormat/>
    <w:uiPriority w:val="0"/>
    <w:pPr>
      <w:widowControl w:val="0"/>
      <w:shd w:val="clear" w:color="auto" w:fill="auto"/>
      <w:jc w:val="center"/>
    </w:pPr>
    <w:rPr>
      <w:u w:val="none"/>
      <w:shd w:val="clear" w:color="auto" w:fill="auto"/>
      <w:lang w:val="zh-TW" w:eastAsia="zh-TW" w:bidi="zh-TW"/>
    </w:rPr>
  </w:style>
  <w:style w:type="paragraph" w:customStyle="1" w:styleId="43">
    <w:name w:val="Body Text Indent"/>
    <w:basedOn w:val="1"/>
    <w:qFormat/>
    <w:uiPriority w:val="0"/>
    <w:pPr>
      <w:widowControl w:val="0"/>
      <w:snapToGrid/>
      <w:spacing w:after="0" w:afterLines="0" w:line="233" w:lineRule="auto"/>
      <w:ind w:firstLine="570"/>
      <w:jc w:val="both"/>
      <w:textAlignment w:val="baseline"/>
    </w:pPr>
    <w:rPr>
      <w:rFonts w:ascii="仿宋_GB2312" w:hAnsi="Times New Roman" w:eastAsia="仿宋_GB2312" w:cs="Times New Roman"/>
      <w:sz w:val="28"/>
      <w:szCs w:val="20"/>
    </w:rPr>
  </w:style>
  <w:style w:type="paragraph" w:customStyle="1" w:styleId="44">
    <w:name w:val="Table Paragraph"/>
    <w:basedOn w:val="1"/>
    <w:qFormat/>
    <w:uiPriority w:val="1"/>
  </w:style>
  <w:style w:type="paragraph" w:customStyle="1" w:styleId="45">
    <w:name w:val="图标题"/>
    <w:basedOn w:val="33"/>
    <w:qFormat/>
    <w:uiPriority w:val="0"/>
    <w:pPr>
      <w:spacing w:after="50" w:afterLines="50"/>
    </w:pPr>
    <w:rPr>
      <w:rFonts w:eastAsia="黑体"/>
    </w:rPr>
  </w:style>
  <w:style w:type="character" w:customStyle="1" w:styleId="46">
    <w:name w:val="font31"/>
    <w:basedOn w:val="25"/>
    <w:qFormat/>
    <w:uiPriority w:val="0"/>
    <w:rPr>
      <w:rFonts w:hint="default" w:ascii="Times New Roman" w:hAnsi="Times New Roman" w:cs="Times New Roman"/>
      <w:color w:val="000000"/>
      <w:sz w:val="22"/>
      <w:szCs w:val="22"/>
      <w:u w:val="none"/>
    </w:rPr>
  </w:style>
  <w:style w:type="paragraph" w:customStyle="1" w:styleId="47">
    <w:name w:val="1正文"/>
    <w:basedOn w:val="1"/>
    <w:qFormat/>
    <w:uiPriority w:val="0"/>
    <w:pPr>
      <w:spacing w:line="360" w:lineRule="auto"/>
      <w:ind w:firstLine="480" w:firstLineChars="200"/>
      <w:jc w:val="left"/>
    </w:pPr>
    <w:rPr>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9" Type="http://schemas.openxmlformats.org/officeDocument/2006/relationships/fontTable" Target="fontTable.xml"/><Relationship Id="rId58" Type="http://schemas.openxmlformats.org/officeDocument/2006/relationships/numbering" Target="numbering.xml"/><Relationship Id="rId57" Type="http://schemas.openxmlformats.org/officeDocument/2006/relationships/customXml" Target="../customXml/item1.xml"/><Relationship Id="rId56" Type="http://schemas.openxmlformats.org/officeDocument/2006/relationships/image" Target="media/image49.jpeg"/><Relationship Id="rId55" Type="http://schemas.openxmlformats.org/officeDocument/2006/relationships/image" Target="media/image48.png"/><Relationship Id="rId54" Type="http://schemas.openxmlformats.org/officeDocument/2006/relationships/image" Target="media/image47.png"/><Relationship Id="rId53" Type="http://schemas.openxmlformats.org/officeDocument/2006/relationships/image" Target="media/image46.png"/><Relationship Id="rId52" Type="http://schemas.openxmlformats.org/officeDocument/2006/relationships/image" Target="media/image45.png"/><Relationship Id="rId51" Type="http://schemas.openxmlformats.org/officeDocument/2006/relationships/image" Target="media/image44.png"/><Relationship Id="rId50" Type="http://schemas.openxmlformats.org/officeDocument/2006/relationships/image" Target="media/image43.jpeg"/><Relationship Id="rId5" Type="http://schemas.openxmlformats.org/officeDocument/2006/relationships/header" Target="header1.xml"/><Relationship Id="rId49" Type="http://schemas.openxmlformats.org/officeDocument/2006/relationships/image" Target="media/image42.jpeg"/><Relationship Id="rId48" Type="http://schemas.openxmlformats.org/officeDocument/2006/relationships/image" Target="media/image41.png"/><Relationship Id="rId47" Type="http://schemas.openxmlformats.org/officeDocument/2006/relationships/image" Target="media/image40.jpeg"/><Relationship Id="rId46" Type="http://schemas.openxmlformats.org/officeDocument/2006/relationships/image" Target="media/image39.jpeg"/><Relationship Id="rId45" Type="http://schemas.openxmlformats.org/officeDocument/2006/relationships/image" Target="media/image38.jpeg"/><Relationship Id="rId44" Type="http://schemas.openxmlformats.org/officeDocument/2006/relationships/image" Target="media/image37.jpeg"/><Relationship Id="rId43" Type="http://schemas.openxmlformats.org/officeDocument/2006/relationships/image" Target="media/image36.jpeg"/><Relationship Id="rId42" Type="http://schemas.openxmlformats.org/officeDocument/2006/relationships/image" Target="media/image35.jpeg"/><Relationship Id="rId41" Type="http://schemas.openxmlformats.org/officeDocument/2006/relationships/image" Target="media/image34.jpeg"/><Relationship Id="rId40" Type="http://schemas.openxmlformats.org/officeDocument/2006/relationships/image" Target="media/image33.jpeg"/><Relationship Id="rId4" Type="http://schemas.openxmlformats.org/officeDocument/2006/relationships/endnotes" Target="endnotes.xml"/><Relationship Id="rId39" Type="http://schemas.openxmlformats.org/officeDocument/2006/relationships/image" Target="media/image32.jpeg"/><Relationship Id="rId38" Type="http://schemas.openxmlformats.org/officeDocument/2006/relationships/image" Target="media/image31.jpeg"/><Relationship Id="rId37" Type="http://schemas.openxmlformats.org/officeDocument/2006/relationships/image" Target="media/image30.jpeg"/><Relationship Id="rId36" Type="http://schemas.openxmlformats.org/officeDocument/2006/relationships/image" Target="media/image29.jpeg"/><Relationship Id="rId35" Type="http://schemas.openxmlformats.org/officeDocument/2006/relationships/image" Target="media/image28.jpeg"/><Relationship Id="rId34" Type="http://schemas.openxmlformats.org/officeDocument/2006/relationships/image" Target="media/image27.jpeg"/><Relationship Id="rId33" Type="http://schemas.openxmlformats.org/officeDocument/2006/relationships/image" Target="media/image26.png"/><Relationship Id="rId32" Type="http://schemas.openxmlformats.org/officeDocument/2006/relationships/image" Target="media/image25.jpeg"/><Relationship Id="rId31" Type="http://schemas.openxmlformats.org/officeDocument/2006/relationships/image" Target="media/image24.jpeg"/><Relationship Id="rId30" Type="http://schemas.openxmlformats.org/officeDocument/2006/relationships/image" Target="media/image23.jpeg"/><Relationship Id="rId3" Type="http://schemas.openxmlformats.org/officeDocument/2006/relationships/footnotes" Target="footnotes.xml"/><Relationship Id="rId29" Type="http://schemas.openxmlformats.org/officeDocument/2006/relationships/image" Target="media/image22.jpeg"/><Relationship Id="rId28" Type="http://schemas.openxmlformats.org/officeDocument/2006/relationships/image" Target="media/image21.jpeg"/><Relationship Id="rId27" Type="http://schemas.openxmlformats.org/officeDocument/2006/relationships/image" Target="media/image20.jpeg"/><Relationship Id="rId26" Type="http://schemas.openxmlformats.org/officeDocument/2006/relationships/image" Target="media/image19.jpeg"/><Relationship Id="rId25" Type="http://schemas.openxmlformats.org/officeDocument/2006/relationships/image" Target="media/image18.jpeg"/><Relationship Id="rId24" Type="http://schemas.openxmlformats.org/officeDocument/2006/relationships/image" Target="media/image17.jpeg"/><Relationship Id="rId23" Type="http://schemas.openxmlformats.org/officeDocument/2006/relationships/image" Target="media/image16.jpeg"/><Relationship Id="rId22" Type="http://schemas.openxmlformats.org/officeDocument/2006/relationships/image" Target="media/image15.jpeg"/><Relationship Id="rId21" Type="http://schemas.openxmlformats.org/officeDocument/2006/relationships/image" Target="media/image14.jpeg"/><Relationship Id="rId20" Type="http://schemas.openxmlformats.org/officeDocument/2006/relationships/image" Target="media/image13.jpe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78</Pages>
  <Words>31320</Words>
  <Characters>38564</Characters>
  <Lines>0</Lines>
  <Paragraphs>0</Paragraphs>
  <TotalTime>0</TotalTime>
  <ScaleCrop>false</ScaleCrop>
  <LinksUpToDate>false</LinksUpToDate>
  <CharactersWithSpaces>39022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2021-06-08T01:00:00Z</dcterms:created>
  <dc:creator>Administrator</dc:creator>
  <cp:lastModifiedBy>黄午生</cp:lastModifiedBy>
  <dcterms:modified xsi:type="dcterms:W3CDTF">2023-01-04T03:26:23Z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64E8CFA5AB7F4A1A91A2784104F99CDE</vt:lpwstr>
  </property>
</Properties>
</file>