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9"/>
        <w:rPr>
          <w:rFonts w:hint="default" w:ascii="Times New Roman" w:hAnsi="Times New Roman" w:eastAsia="宋体" w:cs="Times New Roman"/>
          <w:b/>
          <w:bCs/>
          <w:sz w:val="48"/>
          <w:szCs w:val="48"/>
        </w:rPr>
      </w:pPr>
    </w:p>
    <w:p>
      <w:pPr>
        <w:spacing w:line="720" w:lineRule="auto"/>
        <w:jc w:val="center"/>
        <w:rPr>
          <w:rFonts w:hint="default" w:ascii="宋体" w:hAnsi="宋体" w:eastAsia="宋体" w:cs="宋体"/>
          <w:b/>
          <w:bCs/>
          <w:color w:val="auto"/>
          <w:sz w:val="48"/>
          <w:szCs w:val="48"/>
          <w:lang w:val="en-US" w:eastAsia="zh-CN"/>
        </w:rPr>
      </w:pPr>
      <w:r>
        <w:rPr>
          <w:rFonts w:hint="eastAsia" w:ascii="宋体" w:hAnsi="宋体" w:eastAsia="宋体" w:cs="宋体"/>
          <w:b/>
          <w:bCs/>
          <w:color w:val="auto"/>
          <w:sz w:val="48"/>
          <w:szCs w:val="48"/>
          <w:lang w:val="en-US" w:eastAsia="zh-CN"/>
        </w:rPr>
        <w:t>锂电池胶带生产和精加工项目</w:t>
      </w:r>
      <w:r>
        <w:rPr>
          <w:rFonts w:hint="eastAsia" w:ascii="宋体" w:hAnsi="宋体" w:cs="宋体"/>
          <w:b/>
          <w:bCs/>
          <w:color w:val="auto"/>
          <w:sz w:val="48"/>
          <w:szCs w:val="48"/>
          <w:lang w:val="en-US" w:eastAsia="zh-CN"/>
        </w:rPr>
        <w:t>4、5、6号生产线</w:t>
      </w:r>
      <w:r>
        <w:rPr>
          <w:rFonts w:hint="eastAsia" w:ascii="宋体" w:hAnsi="宋体" w:eastAsia="宋体" w:cs="宋体"/>
          <w:b/>
          <w:bCs/>
          <w:color w:val="auto"/>
          <w:sz w:val="48"/>
          <w:szCs w:val="48"/>
          <w:lang w:val="en-US" w:eastAsia="zh-CN"/>
        </w:rPr>
        <w:t>竣工环境保护验收监测报告</w:t>
      </w:r>
    </w:p>
    <w:p>
      <w:pPr>
        <w:jc w:val="center"/>
      </w:pPr>
    </w:p>
    <w:p>
      <w:pPr>
        <w:jc w:val="center"/>
      </w:pPr>
    </w:p>
    <w:p>
      <w:pPr>
        <w:jc w:val="center"/>
      </w:pPr>
    </w:p>
    <w:p>
      <w:pPr>
        <w:jc w:val="center"/>
      </w:pPr>
    </w:p>
    <w:p>
      <w:pPr>
        <w:jc w:val="center"/>
      </w:pPr>
    </w:p>
    <w:p>
      <w:pPr>
        <w:jc w:val="center"/>
      </w:pPr>
    </w:p>
    <w:p>
      <w:pPr>
        <w:jc w:val="center"/>
      </w:pPr>
    </w:p>
    <w:p>
      <w:pPr>
        <w:jc w:val="center"/>
      </w:pPr>
    </w:p>
    <w:p>
      <w:pPr>
        <w:pStyle w:val="21"/>
        <w:jc w:val="center"/>
        <w:rPr>
          <w:color w:val="auto"/>
        </w:rPr>
      </w:pPr>
    </w:p>
    <w:p>
      <w:pPr>
        <w:pStyle w:val="21"/>
        <w:jc w:val="center"/>
        <w:rPr>
          <w:color w:val="auto"/>
        </w:rPr>
      </w:pPr>
    </w:p>
    <w:p>
      <w:pPr>
        <w:pStyle w:val="21"/>
        <w:jc w:val="center"/>
        <w:rPr>
          <w:color w:val="auto"/>
        </w:rPr>
      </w:pPr>
    </w:p>
    <w:p>
      <w:pPr>
        <w:jc w:val="center"/>
      </w:pPr>
    </w:p>
    <w:p>
      <w:pPr>
        <w:jc w:val="center"/>
      </w:pPr>
    </w:p>
    <w:p>
      <w:pPr>
        <w:keepNext w:val="0"/>
        <w:keepLines w:val="0"/>
        <w:pageBreakBefore w:val="0"/>
        <w:widowControl w:val="0"/>
        <w:kinsoku/>
        <w:wordWrap w:val="0"/>
        <w:overflowPunct/>
        <w:topLinePunct w:val="0"/>
        <w:autoSpaceDE/>
        <w:autoSpaceDN/>
        <w:bidi w:val="0"/>
        <w:adjustRightInd/>
        <w:snapToGrid/>
        <w:spacing w:after="313" w:afterLines="100"/>
        <w:ind w:firstLine="0" w:firstLineChars="0"/>
        <w:jc w:val="center"/>
        <w:textAlignment w:val="auto"/>
        <w:rPr>
          <w:rFonts w:hint="eastAsia" w:ascii="Times New Roman" w:hAnsi="Times New Roman" w:eastAsia="宋体" w:cs="Times New Roman"/>
          <w:b/>
          <w:bCs/>
          <w:sz w:val="32"/>
          <w:szCs w:val="32"/>
        </w:rPr>
      </w:pPr>
      <w:r>
        <w:rPr>
          <w:rFonts w:hint="eastAsia"/>
          <w:b/>
          <w:bCs/>
          <w:sz w:val="32"/>
          <w:szCs w:val="32"/>
        </w:rPr>
        <w:t>建设单位：</w:t>
      </w:r>
      <w:r>
        <w:rPr>
          <w:rFonts w:hint="eastAsia" w:ascii="Times New Roman" w:hAnsi="Times New Roman" w:eastAsia="宋体" w:cs="Times New Roman"/>
          <w:b/>
          <w:bCs/>
          <w:sz w:val="32"/>
          <w:szCs w:val="32"/>
          <w:lang w:val="en-US" w:eastAsia="zh-CN"/>
        </w:rPr>
        <w:t>芜湖徽氏新材料科技有限公司</w:t>
      </w:r>
    </w:p>
    <w:p>
      <w:pPr>
        <w:keepNext w:val="0"/>
        <w:keepLines w:val="0"/>
        <w:pageBreakBefore w:val="0"/>
        <w:widowControl w:val="0"/>
        <w:kinsoku/>
        <w:overflowPunct/>
        <w:topLinePunct w:val="0"/>
        <w:autoSpaceDE/>
        <w:autoSpaceDN/>
        <w:bidi w:val="0"/>
        <w:adjustRightInd/>
        <w:snapToGrid/>
        <w:spacing w:after="313" w:afterLines="100"/>
        <w:jc w:val="center"/>
        <w:textAlignment w:val="auto"/>
        <w:rPr>
          <w:b/>
          <w:bCs/>
          <w:sz w:val="32"/>
          <w:szCs w:val="32"/>
        </w:rPr>
        <w:sectPr>
          <w:headerReference r:id="rId5" w:type="default"/>
          <w:footerReference r:id="rId6" w:type="default"/>
          <w:pgSz w:w="11906" w:h="16838"/>
          <w:pgMar w:top="1440" w:right="1800" w:bottom="1440" w:left="1800" w:header="851" w:footer="992" w:gutter="0"/>
          <w:pgNumType w:fmt="decimal"/>
          <w:cols w:space="425" w:num="1"/>
          <w:docGrid w:type="lines" w:linePitch="312" w:charSpace="0"/>
        </w:sectPr>
      </w:pPr>
      <w:r>
        <w:rPr>
          <w:b/>
          <w:bCs/>
          <w:sz w:val="32"/>
          <w:szCs w:val="32"/>
        </w:rPr>
        <w:t>二零二</w:t>
      </w:r>
      <w:r>
        <w:rPr>
          <w:rFonts w:hint="eastAsia"/>
          <w:b/>
          <w:bCs/>
          <w:sz w:val="32"/>
          <w:szCs w:val="32"/>
          <w:lang w:val="en-US" w:eastAsia="zh-CN"/>
        </w:rPr>
        <w:t>三</w:t>
      </w:r>
      <w:r>
        <w:rPr>
          <w:b/>
          <w:bCs/>
          <w:sz w:val="32"/>
          <w:szCs w:val="32"/>
        </w:rPr>
        <w:t>年</w:t>
      </w:r>
      <w:r>
        <w:rPr>
          <w:rFonts w:hint="eastAsia"/>
          <w:b/>
          <w:bCs/>
          <w:sz w:val="32"/>
          <w:szCs w:val="32"/>
          <w:lang w:val="en-US" w:eastAsia="zh-CN"/>
        </w:rPr>
        <w:t>五</w:t>
      </w:r>
      <w:r>
        <w:rPr>
          <w:b/>
          <w:bCs/>
          <w:sz w:val="32"/>
          <w:szCs w:val="32"/>
        </w:rPr>
        <w:t>月</w:t>
      </w:r>
    </w:p>
    <w:p>
      <w:pPr>
        <w:pStyle w:val="21"/>
        <w:sectPr>
          <w:pgSz w:w="11906" w:h="16838"/>
          <w:pgMar w:top="1440" w:right="1800" w:bottom="1440" w:left="1800" w:header="851" w:footer="992" w:gutter="0"/>
          <w:pgNumType w:fmt="decimal"/>
          <w:cols w:space="425" w:num="1"/>
          <w:docGrid w:type="lines" w:linePitch="312" w:charSpace="0"/>
        </w:sectPr>
      </w:pPr>
    </w:p>
    <w:p>
      <w:pPr>
        <w:rPr>
          <w:szCs w:val="28"/>
        </w:rPr>
      </w:pPr>
    </w:p>
    <w:p>
      <w:pPr>
        <w:widowControl/>
        <w:jc w:val="left"/>
        <w:rPr>
          <w:sz w:val="28"/>
          <w:szCs w:val="28"/>
        </w:rPr>
      </w:pPr>
    </w:p>
    <w:p>
      <w:pPr>
        <w:widowControl/>
        <w:jc w:val="left"/>
        <w:rPr>
          <w:rFonts w:hint="eastAsia" w:eastAsia="宋体"/>
          <w:sz w:val="28"/>
          <w:szCs w:val="28"/>
          <w:lang w:eastAsia="zh-CN"/>
        </w:rPr>
      </w:pPr>
      <w:r>
        <w:rPr>
          <w:rFonts w:hint="eastAsia"/>
          <w:sz w:val="28"/>
          <w:szCs w:val="28"/>
          <w:lang w:eastAsia="zh-CN"/>
        </w:rPr>
        <w:t>建设单位法人</w:t>
      </w:r>
      <w:r>
        <w:rPr>
          <w:sz w:val="28"/>
          <w:szCs w:val="28"/>
        </w:rPr>
        <w:t>：</w:t>
      </w:r>
      <w:r>
        <w:rPr>
          <w:rFonts w:hint="eastAsia" w:ascii="Times New Roman" w:hAnsi="Times New Roman" w:eastAsia="宋体" w:cs="Times New Roman"/>
          <w:kern w:val="2"/>
          <w:sz w:val="28"/>
          <w:szCs w:val="28"/>
          <w:lang w:val="en-US" w:eastAsia="zh-CN" w:bidi="ar-SA"/>
        </w:rPr>
        <w:t>李俊生</w:t>
      </w:r>
    </w:p>
    <w:p>
      <w:pPr>
        <w:widowControl/>
        <w:jc w:val="left"/>
        <w:rPr>
          <w:sz w:val="28"/>
          <w:szCs w:val="28"/>
        </w:rPr>
      </w:pPr>
      <w:r>
        <w:rPr>
          <w:rFonts w:hint="eastAsia"/>
          <w:sz w:val="28"/>
          <w:szCs w:val="28"/>
          <w:lang w:eastAsia="zh-CN"/>
        </w:rPr>
        <w:t>建设</w:t>
      </w:r>
      <w:r>
        <w:rPr>
          <w:sz w:val="28"/>
          <w:szCs w:val="28"/>
        </w:rPr>
        <w:t>单位：</w:t>
      </w:r>
      <w:r>
        <w:rPr>
          <w:rFonts w:hint="eastAsia"/>
          <w:sz w:val="28"/>
          <w:szCs w:val="28"/>
        </w:rPr>
        <w:t>芜湖</w:t>
      </w:r>
      <w:r>
        <w:rPr>
          <w:rFonts w:hint="eastAsia"/>
          <w:sz w:val="28"/>
          <w:szCs w:val="28"/>
          <w:lang w:eastAsia="zh-CN"/>
        </w:rPr>
        <w:t>徽氏新材料科技有限</w:t>
      </w:r>
      <w:r>
        <w:rPr>
          <w:rFonts w:hint="eastAsia"/>
          <w:sz w:val="28"/>
          <w:szCs w:val="28"/>
        </w:rPr>
        <w:t>公司</w:t>
      </w:r>
      <w:r>
        <w:rPr>
          <w:sz w:val="28"/>
          <w:szCs w:val="28"/>
        </w:rPr>
        <w:t>（盖章）</w:t>
      </w:r>
    </w:p>
    <w:p>
      <w:pPr>
        <w:pStyle w:val="2"/>
        <w:ind w:left="0" w:leftChars="0" w:firstLine="0" w:firstLineChars="0"/>
        <w:rPr>
          <w:rFonts w:hint="eastAsia" w:eastAsia="宋体"/>
          <w:lang w:eastAsia="zh-CN"/>
        </w:rPr>
      </w:pPr>
      <w:r>
        <w:rPr>
          <w:rFonts w:hint="eastAsia"/>
          <w:sz w:val="28"/>
          <w:szCs w:val="28"/>
          <w:lang w:eastAsia="zh-CN"/>
        </w:rPr>
        <w:t>编制人员：</w:t>
      </w:r>
      <w:r>
        <w:rPr>
          <w:rFonts w:hint="eastAsia"/>
          <w:sz w:val="28"/>
          <w:szCs w:val="28"/>
          <w:lang w:val="en-US" w:eastAsia="zh-CN"/>
        </w:rPr>
        <w:t>李奎</w:t>
      </w:r>
    </w:p>
    <w:p>
      <w:pPr>
        <w:widowControl/>
        <w:jc w:val="left"/>
        <w:rPr>
          <w:rFonts w:ascii="Times New Roman" w:hAnsi="Times New Roman" w:eastAsia="Times New Roman" w:cs="Times New Roman"/>
          <w:spacing w:val="-9"/>
          <w:sz w:val="30"/>
          <w:szCs w:val="30"/>
        </w:rPr>
      </w:pPr>
      <w:r>
        <w:rPr>
          <w:sz w:val="28"/>
          <w:szCs w:val="28"/>
        </w:rPr>
        <w:t>电话：</w:t>
      </w:r>
      <w:r>
        <w:rPr>
          <w:rFonts w:hint="eastAsia" w:ascii="Times New Roman" w:hAnsi="Times New Roman" w:eastAsia="宋体" w:cs="Times New Roman"/>
          <w:sz w:val="28"/>
          <w:szCs w:val="28"/>
        </w:rPr>
        <w:t>18901882367</w:t>
      </w:r>
    </w:p>
    <w:p>
      <w:pPr>
        <w:widowControl/>
        <w:jc w:val="left"/>
        <w:rPr>
          <w:rFonts w:hint="eastAsia" w:eastAsia="宋体"/>
          <w:sz w:val="28"/>
          <w:szCs w:val="28"/>
          <w:lang w:eastAsia="zh-CN"/>
        </w:rPr>
      </w:pPr>
      <w:r>
        <w:rPr>
          <w:sz w:val="28"/>
          <w:szCs w:val="28"/>
        </w:rPr>
        <w:t>邮编：</w:t>
      </w:r>
      <w:r>
        <w:rPr>
          <w:rFonts w:hint="eastAsia"/>
          <w:sz w:val="28"/>
          <w:szCs w:val="28"/>
        </w:rPr>
        <w:t>24100</w:t>
      </w:r>
      <w:r>
        <w:rPr>
          <w:rFonts w:hint="eastAsia"/>
          <w:sz w:val="28"/>
          <w:szCs w:val="28"/>
          <w:lang w:val="en-US" w:eastAsia="zh-CN"/>
        </w:rPr>
        <w:t>5</w:t>
      </w:r>
    </w:p>
    <w:p>
      <w:pPr>
        <w:widowControl/>
        <w:jc w:val="left"/>
        <w:rPr>
          <w:rFonts w:hint="eastAsia" w:ascii="Times New Roman" w:hAnsi="Times New Roman" w:eastAsia="宋体" w:cs="Times New Roman"/>
          <w:sz w:val="28"/>
          <w:szCs w:val="28"/>
          <w:lang w:eastAsia="zh-CN"/>
        </w:rPr>
      </w:pPr>
      <w:r>
        <w:rPr>
          <w:sz w:val="28"/>
          <w:szCs w:val="28"/>
        </w:rPr>
        <w:t>地址：</w:t>
      </w:r>
      <w:r>
        <w:rPr>
          <w:rFonts w:hint="eastAsia" w:ascii="Times New Roman" w:hAnsi="Times New Roman" w:eastAsia="宋体" w:cs="Times New Roman"/>
          <w:sz w:val="28"/>
          <w:szCs w:val="28"/>
          <w:lang w:eastAsia="zh-CN"/>
        </w:rPr>
        <w:t>安徽省无为市经济开发区城东工业园区，经四路以西，支一路以南</w:t>
      </w:r>
    </w:p>
    <w:p>
      <w:pPr>
        <w:widowControl/>
        <w:jc w:val="left"/>
        <w:rPr>
          <w:color w:val="FF0000"/>
          <w:sz w:val="28"/>
          <w:szCs w:val="28"/>
        </w:rPr>
      </w:pPr>
    </w:p>
    <w:p>
      <w:pPr>
        <w:pStyle w:val="21"/>
        <w:rPr>
          <w:color w:val="FF0000"/>
          <w:sz w:val="28"/>
          <w:szCs w:val="28"/>
        </w:rPr>
      </w:pPr>
    </w:p>
    <w:p>
      <w:pPr>
        <w:pStyle w:val="21"/>
        <w:rPr>
          <w:color w:val="FF0000"/>
          <w:sz w:val="28"/>
          <w:szCs w:val="28"/>
        </w:rPr>
      </w:pPr>
    </w:p>
    <w:p>
      <w:pPr>
        <w:widowControl/>
        <w:jc w:val="left"/>
        <w:rPr>
          <w:rFonts w:hint="eastAsia"/>
          <w:sz w:val="28"/>
          <w:szCs w:val="28"/>
        </w:rPr>
      </w:pPr>
    </w:p>
    <w:p>
      <w:pPr>
        <w:widowControl/>
        <w:jc w:val="left"/>
        <w:rPr>
          <w:rFonts w:hint="eastAsia"/>
          <w:sz w:val="28"/>
          <w:szCs w:val="28"/>
        </w:rPr>
      </w:pPr>
    </w:p>
    <w:p>
      <w:pPr>
        <w:widowControl/>
        <w:jc w:val="left"/>
        <w:rPr>
          <w:rFonts w:hint="eastAsia"/>
          <w:sz w:val="28"/>
          <w:szCs w:val="28"/>
        </w:rPr>
      </w:pPr>
    </w:p>
    <w:p>
      <w:pPr>
        <w:widowControl/>
        <w:jc w:val="left"/>
        <w:rPr>
          <w:sz w:val="28"/>
          <w:szCs w:val="28"/>
        </w:rPr>
      </w:pPr>
      <w:r>
        <w:rPr>
          <w:rFonts w:hint="eastAsia"/>
          <w:sz w:val="28"/>
          <w:szCs w:val="28"/>
          <w:lang w:val="en-US" w:eastAsia="zh-CN"/>
        </w:rPr>
        <w:t>编制</w:t>
      </w:r>
      <w:r>
        <w:rPr>
          <w:sz w:val="28"/>
          <w:szCs w:val="28"/>
        </w:rPr>
        <w:t>单位：安徽工和环境监测有限责任公司</w:t>
      </w:r>
    </w:p>
    <w:p>
      <w:pPr>
        <w:widowControl/>
        <w:jc w:val="left"/>
        <w:rPr>
          <w:sz w:val="28"/>
          <w:szCs w:val="28"/>
        </w:rPr>
      </w:pPr>
      <w:r>
        <w:rPr>
          <w:sz w:val="28"/>
          <w:szCs w:val="28"/>
        </w:rPr>
        <w:t>电话：0551-67891265</w:t>
      </w:r>
    </w:p>
    <w:p>
      <w:pPr>
        <w:widowControl/>
        <w:jc w:val="left"/>
        <w:rPr>
          <w:sz w:val="28"/>
          <w:szCs w:val="28"/>
        </w:rPr>
      </w:pPr>
      <w:r>
        <w:rPr>
          <w:sz w:val="28"/>
          <w:szCs w:val="28"/>
        </w:rPr>
        <w:t>邮编：230000</w:t>
      </w:r>
    </w:p>
    <w:p>
      <w:pPr>
        <w:widowControl/>
        <w:ind w:left="840" w:hanging="840" w:hangingChars="300"/>
        <w:jc w:val="left"/>
        <w:rPr>
          <w:sz w:val="28"/>
          <w:szCs w:val="28"/>
        </w:rPr>
        <w:sectPr>
          <w:pgSz w:w="11906" w:h="16838"/>
          <w:pgMar w:top="1440" w:right="1800" w:bottom="1440" w:left="1800" w:header="851" w:footer="992" w:gutter="0"/>
          <w:pgNumType w:fmt="decimal"/>
          <w:cols w:space="425" w:num="1"/>
          <w:docGrid w:type="lines" w:linePitch="312" w:charSpace="0"/>
        </w:sectPr>
      </w:pPr>
      <w:r>
        <w:rPr>
          <w:sz w:val="28"/>
          <w:szCs w:val="28"/>
        </w:rPr>
        <w:t>地址：合肥市高新区香樟大道168号柏堰科技实业园D19栋4楼</w:t>
      </w:r>
    </w:p>
    <w:p>
      <w:pPr>
        <w:pStyle w:val="21"/>
        <w:sectPr>
          <w:pgSz w:w="11906" w:h="16838"/>
          <w:pgMar w:top="1440" w:right="1800" w:bottom="1440" w:left="1800" w:header="851" w:footer="992" w:gutter="0"/>
          <w:pgNumType w:fmt="decimal"/>
          <w:cols w:space="425" w:num="1"/>
          <w:docGrid w:type="lines" w:linePitch="312" w:charSpace="0"/>
        </w:sectPr>
      </w:pPr>
    </w:p>
    <w:sdt>
      <w:sdtPr>
        <w:rPr>
          <w:rFonts w:ascii="宋体" w:hAnsi="宋体"/>
          <w:b/>
          <w:bCs/>
          <w:color w:val="auto"/>
          <w:sz w:val="44"/>
          <w:szCs w:val="44"/>
          <w:highlight w:val="none"/>
        </w:rPr>
        <w:id w:val="147468544"/>
        <w:docPartObj>
          <w:docPartGallery w:val="Table of Contents"/>
          <w:docPartUnique/>
        </w:docPartObj>
      </w:sdtPr>
      <w:sdtEndPr>
        <w:rPr>
          <w:rFonts w:ascii="Times New Roman" w:hAnsi="Times New Roman"/>
          <w:b/>
          <w:bCs/>
          <w:color w:val="000000"/>
          <w:sz w:val="24"/>
          <w:szCs w:val="24"/>
          <w:highlight w:val="none"/>
        </w:rPr>
      </w:sdtEndPr>
      <w:sdtContent>
        <w:p>
          <w:pPr>
            <w:spacing w:line="240" w:lineRule="auto"/>
            <w:jc w:val="center"/>
          </w:pPr>
          <w:r>
            <w:rPr>
              <w:rFonts w:ascii="宋体" w:hAnsi="宋体"/>
              <w:b/>
              <w:bCs/>
              <w:color w:val="auto"/>
              <w:sz w:val="44"/>
              <w:szCs w:val="44"/>
              <w:highlight w:val="none"/>
            </w:rPr>
            <w:t>目</w:t>
          </w:r>
          <w:r>
            <w:rPr>
              <w:rFonts w:hint="eastAsia" w:ascii="宋体" w:hAnsi="宋体"/>
              <w:b/>
              <w:bCs/>
              <w:color w:val="auto"/>
              <w:sz w:val="44"/>
              <w:szCs w:val="44"/>
              <w:highlight w:val="none"/>
            </w:rPr>
            <w:t xml:space="preserve">  </w:t>
          </w:r>
          <w:r>
            <w:rPr>
              <w:rFonts w:ascii="宋体" w:hAnsi="宋体"/>
              <w:b/>
              <w:bCs/>
              <w:color w:val="auto"/>
              <w:sz w:val="44"/>
              <w:szCs w:val="44"/>
              <w:highlight w:val="none"/>
            </w:rPr>
            <w:t>录</w:t>
          </w:r>
        </w:p>
        <w:p>
          <w:pPr>
            <w:pStyle w:val="16"/>
            <w:tabs>
              <w:tab w:val="right" w:leader="dot" w:pos="8306"/>
            </w:tabs>
          </w:pPr>
          <w:r>
            <w:fldChar w:fldCharType="begin"/>
          </w:r>
          <w:r>
            <w:instrText xml:space="preserve">TOC \o "1-2" \h \u </w:instrText>
          </w:r>
          <w:r>
            <w:fldChar w:fldCharType="separate"/>
          </w:r>
          <w:r>
            <w:fldChar w:fldCharType="begin"/>
          </w:r>
          <w:r>
            <w:instrText xml:space="preserve"> HYPERLINK \l _Toc9605 </w:instrText>
          </w:r>
          <w:r>
            <w:fldChar w:fldCharType="separate"/>
          </w:r>
          <w:r>
            <w:rPr>
              <w:szCs w:val="36"/>
            </w:rPr>
            <w:t>1项目概况</w:t>
          </w:r>
          <w:r>
            <w:tab/>
          </w:r>
          <w:r>
            <w:fldChar w:fldCharType="begin"/>
          </w:r>
          <w:r>
            <w:instrText xml:space="preserve"> PAGEREF _Toc9605 \h </w:instrText>
          </w:r>
          <w:r>
            <w:fldChar w:fldCharType="separate"/>
          </w:r>
          <w:r>
            <w:t>1</w:t>
          </w:r>
          <w:r>
            <w:fldChar w:fldCharType="end"/>
          </w:r>
          <w:r>
            <w:fldChar w:fldCharType="end"/>
          </w:r>
        </w:p>
        <w:p>
          <w:pPr>
            <w:pStyle w:val="16"/>
            <w:tabs>
              <w:tab w:val="right" w:leader="dot" w:pos="8306"/>
            </w:tabs>
          </w:pPr>
          <w:r>
            <w:fldChar w:fldCharType="begin"/>
          </w:r>
          <w:r>
            <w:instrText xml:space="preserve"> HYPERLINK \l _Toc2166 </w:instrText>
          </w:r>
          <w:r>
            <w:fldChar w:fldCharType="separate"/>
          </w:r>
          <w:r>
            <w:rPr>
              <w:szCs w:val="36"/>
            </w:rPr>
            <w:t>2验收依据</w:t>
          </w:r>
          <w:r>
            <w:tab/>
          </w:r>
          <w:r>
            <w:fldChar w:fldCharType="begin"/>
          </w:r>
          <w:r>
            <w:instrText xml:space="preserve"> PAGEREF _Toc2166 \h </w:instrText>
          </w:r>
          <w:r>
            <w:fldChar w:fldCharType="separate"/>
          </w:r>
          <w:r>
            <w:t>3</w:t>
          </w:r>
          <w:r>
            <w:fldChar w:fldCharType="end"/>
          </w:r>
          <w:r>
            <w:fldChar w:fldCharType="end"/>
          </w:r>
        </w:p>
        <w:p>
          <w:pPr>
            <w:pStyle w:val="17"/>
            <w:tabs>
              <w:tab w:val="right" w:leader="dot" w:pos="8306"/>
            </w:tabs>
          </w:pPr>
          <w:r>
            <w:fldChar w:fldCharType="begin"/>
          </w:r>
          <w:r>
            <w:instrText xml:space="preserve"> HYPERLINK \l _Toc27530 </w:instrText>
          </w:r>
          <w:r>
            <w:fldChar w:fldCharType="separate"/>
          </w:r>
          <w:r>
            <w:rPr>
              <w:szCs w:val="32"/>
            </w:rPr>
            <w:t>2.1</w:t>
          </w:r>
          <w:r>
            <w:rPr>
              <w:rFonts w:hint="eastAsia"/>
              <w:szCs w:val="32"/>
            </w:rPr>
            <w:t>建设项目环境保护相关法律、法规和规章制度</w:t>
          </w:r>
          <w:r>
            <w:tab/>
          </w:r>
          <w:r>
            <w:fldChar w:fldCharType="begin"/>
          </w:r>
          <w:r>
            <w:instrText xml:space="preserve"> PAGEREF _Toc27530 \h </w:instrText>
          </w:r>
          <w:r>
            <w:fldChar w:fldCharType="separate"/>
          </w:r>
          <w:r>
            <w:t>3</w:t>
          </w:r>
          <w:r>
            <w:fldChar w:fldCharType="end"/>
          </w:r>
          <w:r>
            <w:fldChar w:fldCharType="end"/>
          </w:r>
        </w:p>
        <w:p>
          <w:pPr>
            <w:pStyle w:val="17"/>
            <w:tabs>
              <w:tab w:val="right" w:leader="dot" w:pos="8306"/>
            </w:tabs>
          </w:pPr>
          <w:r>
            <w:fldChar w:fldCharType="begin"/>
          </w:r>
          <w:r>
            <w:instrText xml:space="preserve"> HYPERLINK \l _Toc1287 </w:instrText>
          </w:r>
          <w:r>
            <w:fldChar w:fldCharType="separate"/>
          </w:r>
          <w:r>
            <w:rPr>
              <w:rFonts w:hint="eastAsia"/>
              <w:szCs w:val="32"/>
            </w:rPr>
            <w:t>2.2建设项目竣工环境保护验收技术规范</w:t>
          </w:r>
          <w:r>
            <w:tab/>
          </w:r>
          <w:r>
            <w:fldChar w:fldCharType="begin"/>
          </w:r>
          <w:r>
            <w:instrText xml:space="preserve"> PAGEREF _Toc1287 \h </w:instrText>
          </w:r>
          <w:r>
            <w:fldChar w:fldCharType="separate"/>
          </w:r>
          <w:r>
            <w:t>3</w:t>
          </w:r>
          <w:r>
            <w:fldChar w:fldCharType="end"/>
          </w:r>
          <w:r>
            <w:fldChar w:fldCharType="end"/>
          </w:r>
        </w:p>
        <w:p>
          <w:pPr>
            <w:pStyle w:val="17"/>
            <w:tabs>
              <w:tab w:val="right" w:leader="dot" w:pos="8306"/>
            </w:tabs>
          </w:pPr>
          <w:r>
            <w:fldChar w:fldCharType="begin"/>
          </w:r>
          <w:r>
            <w:instrText xml:space="preserve"> HYPERLINK \l _Toc32014 </w:instrText>
          </w:r>
          <w:r>
            <w:fldChar w:fldCharType="separate"/>
          </w:r>
          <w:r>
            <w:rPr>
              <w:rFonts w:hint="eastAsia"/>
              <w:szCs w:val="32"/>
            </w:rPr>
            <w:t>2.3建设项目环境影响报告书及其审批部门审批决定</w:t>
          </w:r>
          <w:r>
            <w:tab/>
          </w:r>
          <w:r>
            <w:fldChar w:fldCharType="begin"/>
          </w:r>
          <w:r>
            <w:instrText xml:space="preserve"> PAGEREF _Toc32014 \h </w:instrText>
          </w:r>
          <w:r>
            <w:fldChar w:fldCharType="separate"/>
          </w:r>
          <w:r>
            <w:t>3</w:t>
          </w:r>
          <w:r>
            <w:fldChar w:fldCharType="end"/>
          </w:r>
          <w:r>
            <w:fldChar w:fldCharType="end"/>
          </w:r>
        </w:p>
        <w:p>
          <w:pPr>
            <w:pStyle w:val="17"/>
            <w:tabs>
              <w:tab w:val="right" w:leader="dot" w:pos="8306"/>
            </w:tabs>
          </w:pPr>
          <w:r>
            <w:fldChar w:fldCharType="begin"/>
          </w:r>
          <w:r>
            <w:instrText xml:space="preserve"> HYPERLINK \l _Toc24946 </w:instrText>
          </w:r>
          <w:r>
            <w:fldChar w:fldCharType="separate"/>
          </w:r>
          <w:r>
            <w:rPr>
              <w:rFonts w:hint="eastAsia"/>
              <w:szCs w:val="32"/>
            </w:rPr>
            <w:t>2.4其他相关文件</w:t>
          </w:r>
          <w:r>
            <w:tab/>
          </w:r>
          <w:r>
            <w:fldChar w:fldCharType="begin"/>
          </w:r>
          <w:r>
            <w:instrText xml:space="preserve"> PAGEREF _Toc24946 \h </w:instrText>
          </w:r>
          <w:r>
            <w:fldChar w:fldCharType="separate"/>
          </w:r>
          <w:r>
            <w:t>4</w:t>
          </w:r>
          <w:r>
            <w:fldChar w:fldCharType="end"/>
          </w:r>
          <w:r>
            <w:fldChar w:fldCharType="end"/>
          </w:r>
        </w:p>
        <w:p>
          <w:pPr>
            <w:pStyle w:val="16"/>
            <w:tabs>
              <w:tab w:val="right" w:leader="dot" w:pos="8306"/>
            </w:tabs>
          </w:pPr>
          <w:r>
            <w:fldChar w:fldCharType="begin"/>
          </w:r>
          <w:r>
            <w:instrText xml:space="preserve"> HYPERLINK \l _Toc16657 </w:instrText>
          </w:r>
          <w:r>
            <w:fldChar w:fldCharType="separate"/>
          </w:r>
          <w:r>
            <w:rPr>
              <w:szCs w:val="36"/>
            </w:rPr>
            <w:t>3项目</w:t>
          </w:r>
          <w:r>
            <w:rPr>
              <w:rFonts w:hint="eastAsia"/>
              <w:szCs w:val="36"/>
            </w:rPr>
            <w:t>建设情况</w:t>
          </w:r>
          <w:r>
            <w:tab/>
          </w:r>
          <w:r>
            <w:fldChar w:fldCharType="begin"/>
          </w:r>
          <w:r>
            <w:instrText xml:space="preserve"> PAGEREF _Toc16657 \h </w:instrText>
          </w:r>
          <w:r>
            <w:fldChar w:fldCharType="separate"/>
          </w:r>
          <w:r>
            <w:t>5</w:t>
          </w:r>
          <w:r>
            <w:fldChar w:fldCharType="end"/>
          </w:r>
          <w:r>
            <w:fldChar w:fldCharType="end"/>
          </w:r>
        </w:p>
        <w:p>
          <w:pPr>
            <w:pStyle w:val="17"/>
            <w:tabs>
              <w:tab w:val="right" w:leader="dot" w:pos="8306"/>
            </w:tabs>
          </w:pPr>
          <w:r>
            <w:fldChar w:fldCharType="begin"/>
          </w:r>
          <w:r>
            <w:instrText xml:space="preserve"> HYPERLINK \l _Toc25921 </w:instrText>
          </w:r>
          <w:r>
            <w:fldChar w:fldCharType="separate"/>
          </w:r>
          <w:r>
            <w:rPr>
              <w:szCs w:val="32"/>
            </w:rPr>
            <w:t>3.1</w:t>
          </w:r>
          <w:r>
            <w:rPr>
              <w:rFonts w:hint="eastAsia"/>
              <w:szCs w:val="32"/>
            </w:rPr>
            <w:t>地理位置及平面布置</w:t>
          </w:r>
          <w:r>
            <w:tab/>
          </w:r>
          <w:r>
            <w:fldChar w:fldCharType="begin"/>
          </w:r>
          <w:r>
            <w:instrText xml:space="preserve"> PAGEREF _Toc25921 \h </w:instrText>
          </w:r>
          <w:r>
            <w:fldChar w:fldCharType="separate"/>
          </w:r>
          <w:r>
            <w:t>5</w:t>
          </w:r>
          <w:r>
            <w:fldChar w:fldCharType="end"/>
          </w:r>
          <w:r>
            <w:fldChar w:fldCharType="end"/>
          </w:r>
        </w:p>
        <w:p>
          <w:pPr>
            <w:pStyle w:val="17"/>
            <w:tabs>
              <w:tab w:val="right" w:leader="dot" w:pos="8306"/>
            </w:tabs>
          </w:pPr>
          <w:r>
            <w:fldChar w:fldCharType="begin"/>
          </w:r>
          <w:r>
            <w:instrText xml:space="preserve"> HYPERLINK \l _Toc13114 </w:instrText>
          </w:r>
          <w:r>
            <w:fldChar w:fldCharType="separate"/>
          </w:r>
          <w:r>
            <w:rPr>
              <w:szCs w:val="36"/>
            </w:rPr>
            <w:t>3.2</w:t>
          </w:r>
          <w:r>
            <w:rPr>
              <w:rFonts w:hint="eastAsia"/>
              <w:szCs w:val="36"/>
            </w:rPr>
            <w:t>建设内容</w:t>
          </w:r>
          <w:r>
            <w:tab/>
          </w:r>
          <w:r>
            <w:fldChar w:fldCharType="begin"/>
          </w:r>
          <w:r>
            <w:instrText xml:space="preserve"> PAGEREF _Toc13114 \h </w:instrText>
          </w:r>
          <w:r>
            <w:fldChar w:fldCharType="separate"/>
          </w:r>
          <w:r>
            <w:t>8</w:t>
          </w:r>
          <w:r>
            <w:fldChar w:fldCharType="end"/>
          </w:r>
          <w:r>
            <w:fldChar w:fldCharType="end"/>
          </w:r>
        </w:p>
        <w:p>
          <w:pPr>
            <w:pStyle w:val="17"/>
            <w:tabs>
              <w:tab w:val="right" w:leader="dot" w:pos="8306"/>
            </w:tabs>
          </w:pPr>
          <w:r>
            <w:fldChar w:fldCharType="begin"/>
          </w:r>
          <w:r>
            <w:instrText xml:space="preserve"> HYPERLINK \l _Toc20132 </w:instrText>
          </w:r>
          <w:r>
            <w:fldChar w:fldCharType="separate"/>
          </w:r>
          <w:r>
            <w:rPr>
              <w:rFonts w:hint="eastAsia"/>
              <w:szCs w:val="32"/>
            </w:rPr>
            <w:t>3.3主要原辅材料及能源消耗</w:t>
          </w:r>
          <w:r>
            <w:tab/>
          </w:r>
          <w:r>
            <w:fldChar w:fldCharType="begin"/>
          </w:r>
          <w:r>
            <w:instrText xml:space="preserve"> PAGEREF _Toc20132 \h </w:instrText>
          </w:r>
          <w:r>
            <w:fldChar w:fldCharType="separate"/>
          </w:r>
          <w:r>
            <w:t>12</w:t>
          </w:r>
          <w:r>
            <w:fldChar w:fldCharType="end"/>
          </w:r>
          <w:r>
            <w:fldChar w:fldCharType="end"/>
          </w:r>
        </w:p>
        <w:p>
          <w:pPr>
            <w:pStyle w:val="17"/>
            <w:tabs>
              <w:tab w:val="right" w:leader="dot" w:pos="8306"/>
            </w:tabs>
          </w:pPr>
          <w:r>
            <w:fldChar w:fldCharType="begin"/>
          </w:r>
          <w:r>
            <w:instrText xml:space="preserve"> HYPERLINK \l _Toc3474 </w:instrText>
          </w:r>
          <w:r>
            <w:fldChar w:fldCharType="separate"/>
          </w:r>
          <w:r>
            <w:rPr>
              <w:szCs w:val="32"/>
            </w:rPr>
            <w:t>3.</w:t>
          </w:r>
          <w:r>
            <w:rPr>
              <w:rFonts w:hint="eastAsia"/>
              <w:szCs w:val="32"/>
            </w:rPr>
            <w:t>4水源及水平衡</w:t>
          </w:r>
          <w:r>
            <w:tab/>
          </w:r>
          <w:r>
            <w:fldChar w:fldCharType="begin"/>
          </w:r>
          <w:r>
            <w:instrText xml:space="preserve"> PAGEREF _Toc3474 \h </w:instrText>
          </w:r>
          <w:r>
            <w:fldChar w:fldCharType="separate"/>
          </w:r>
          <w:r>
            <w:t>12</w:t>
          </w:r>
          <w:r>
            <w:fldChar w:fldCharType="end"/>
          </w:r>
          <w:r>
            <w:fldChar w:fldCharType="end"/>
          </w:r>
        </w:p>
        <w:p>
          <w:pPr>
            <w:pStyle w:val="17"/>
            <w:tabs>
              <w:tab w:val="right" w:leader="dot" w:pos="8306"/>
            </w:tabs>
          </w:pPr>
          <w:r>
            <w:fldChar w:fldCharType="begin"/>
          </w:r>
          <w:r>
            <w:instrText xml:space="preserve"> HYPERLINK \l _Toc31156 </w:instrText>
          </w:r>
          <w:r>
            <w:fldChar w:fldCharType="separate"/>
          </w:r>
          <w:r>
            <w:rPr>
              <w:szCs w:val="32"/>
            </w:rPr>
            <w:t>3.</w:t>
          </w:r>
          <w:r>
            <w:rPr>
              <w:rFonts w:hint="eastAsia"/>
              <w:szCs w:val="32"/>
            </w:rPr>
            <w:t>5生产工艺</w:t>
          </w:r>
          <w:r>
            <w:tab/>
          </w:r>
          <w:r>
            <w:fldChar w:fldCharType="begin"/>
          </w:r>
          <w:r>
            <w:instrText xml:space="preserve"> PAGEREF _Toc31156 \h </w:instrText>
          </w:r>
          <w:r>
            <w:fldChar w:fldCharType="separate"/>
          </w:r>
          <w:r>
            <w:t>14</w:t>
          </w:r>
          <w:r>
            <w:fldChar w:fldCharType="end"/>
          </w:r>
          <w:r>
            <w:fldChar w:fldCharType="end"/>
          </w:r>
        </w:p>
        <w:p>
          <w:pPr>
            <w:pStyle w:val="17"/>
            <w:tabs>
              <w:tab w:val="right" w:leader="dot" w:pos="8306"/>
            </w:tabs>
          </w:pPr>
          <w:r>
            <w:fldChar w:fldCharType="begin"/>
          </w:r>
          <w:r>
            <w:instrText xml:space="preserve"> HYPERLINK \l _Toc25916 </w:instrText>
          </w:r>
          <w:r>
            <w:fldChar w:fldCharType="separate"/>
          </w:r>
          <w:r>
            <w:rPr>
              <w:rFonts w:hint="eastAsia"/>
              <w:szCs w:val="32"/>
            </w:rPr>
            <w:t>3.6项目变动情况</w:t>
          </w:r>
          <w:r>
            <w:tab/>
          </w:r>
          <w:r>
            <w:fldChar w:fldCharType="begin"/>
          </w:r>
          <w:r>
            <w:instrText xml:space="preserve"> PAGEREF _Toc25916 \h </w:instrText>
          </w:r>
          <w:r>
            <w:fldChar w:fldCharType="separate"/>
          </w:r>
          <w:r>
            <w:t>18</w:t>
          </w:r>
          <w:r>
            <w:fldChar w:fldCharType="end"/>
          </w:r>
          <w:r>
            <w:fldChar w:fldCharType="end"/>
          </w:r>
        </w:p>
        <w:p>
          <w:pPr>
            <w:pStyle w:val="16"/>
            <w:tabs>
              <w:tab w:val="right" w:leader="dot" w:pos="8306"/>
            </w:tabs>
          </w:pPr>
          <w:r>
            <w:fldChar w:fldCharType="begin"/>
          </w:r>
          <w:r>
            <w:instrText xml:space="preserve"> HYPERLINK \l _Toc21190 </w:instrText>
          </w:r>
          <w:r>
            <w:fldChar w:fldCharType="separate"/>
          </w:r>
          <w:r>
            <w:rPr>
              <w:rFonts w:hint="eastAsia"/>
              <w:szCs w:val="36"/>
            </w:rPr>
            <w:t>4环境保护设施</w:t>
          </w:r>
          <w:r>
            <w:tab/>
          </w:r>
          <w:r>
            <w:fldChar w:fldCharType="begin"/>
          </w:r>
          <w:r>
            <w:instrText xml:space="preserve"> PAGEREF _Toc21190 \h </w:instrText>
          </w:r>
          <w:r>
            <w:fldChar w:fldCharType="separate"/>
          </w:r>
          <w:r>
            <w:t>20</w:t>
          </w:r>
          <w:r>
            <w:fldChar w:fldCharType="end"/>
          </w:r>
          <w:r>
            <w:fldChar w:fldCharType="end"/>
          </w:r>
        </w:p>
        <w:p>
          <w:pPr>
            <w:pStyle w:val="17"/>
            <w:tabs>
              <w:tab w:val="right" w:leader="dot" w:pos="8306"/>
            </w:tabs>
          </w:pPr>
          <w:r>
            <w:fldChar w:fldCharType="begin"/>
          </w:r>
          <w:r>
            <w:instrText xml:space="preserve"> HYPERLINK \l _Toc31218 </w:instrText>
          </w:r>
          <w:r>
            <w:fldChar w:fldCharType="separate"/>
          </w:r>
          <w:r>
            <w:rPr>
              <w:rFonts w:hint="eastAsia"/>
              <w:szCs w:val="32"/>
            </w:rPr>
            <w:t>4.1污染物治理/处置设施</w:t>
          </w:r>
          <w:r>
            <w:tab/>
          </w:r>
          <w:r>
            <w:fldChar w:fldCharType="begin"/>
          </w:r>
          <w:r>
            <w:instrText xml:space="preserve"> PAGEREF _Toc31218 \h </w:instrText>
          </w:r>
          <w:r>
            <w:fldChar w:fldCharType="separate"/>
          </w:r>
          <w:r>
            <w:t>20</w:t>
          </w:r>
          <w:r>
            <w:fldChar w:fldCharType="end"/>
          </w:r>
          <w:r>
            <w:fldChar w:fldCharType="end"/>
          </w:r>
        </w:p>
        <w:p>
          <w:pPr>
            <w:pStyle w:val="17"/>
            <w:tabs>
              <w:tab w:val="right" w:leader="dot" w:pos="8306"/>
            </w:tabs>
          </w:pPr>
          <w:r>
            <w:fldChar w:fldCharType="begin"/>
          </w:r>
          <w:r>
            <w:instrText xml:space="preserve"> HYPERLINK \l _Toc29827 </w:instrText>
          </w:r>
          <w:r>
            <w:fldChar w:fldCharType="separate"/>
          </w:r>
          <w:r>
            <w:rPr>
              <w:rFonts w:hint="eastAsia"/>
              <w:szCs w:val="32"/>
            </w:rPr>
            <w:t>4.2其他环境保护设施</w:t>
          </w:r>
          <w:r>
            <w:tab/>
          </w:r>
          <w:r>
            <w:fldChar w:fldCharType="begin"/>
          </w:r>
          <w:r>
            <w:instrText xml:space="preserve"> PAGEREF _Toc29827 \h </w:instrText>
          </w:r>
          <w:r>
            <w:fldChar w:fldCharType="separate"/>
          </w:r>
          <w:r>
            <w:t>27</w:t>
          </w:r>
          <w:r>
            <w:fldChar w:fldCharType="end"/>
          </w:r>
          <w:r>
            <w:fldChar w:fldCharType="end"/>
          </w:r>
        </w:p>
        <w:p>
          <w:pPr>
            <w:pStyle w:val="17"/>
            <w:tabs>
              <w:tab w:val="right" w:leader="dot" w:pos="8306"/>
            </w:tabs>
          </w:pPr>
          <w:r>
            <w:fldChar w:fldCharType="begin"/>
          </w:r>
          <w:r>
            <w:instrText xml:space="preserve"> HYPERLINK \l _Toc13889 </w:instrText>
          </w:r>
          <w:r>
            <w:fldChar w:fldCharType="separate"/>
          </w:r>
          <w:r>
            <w:rPr>
              <w:rFonts w:hint="eastAsia"/>
              <w:szCs w:val="32"/>
            </w:rPr>
            <w:t>4.3环保设施投资及“三同时”落实情况</w:t>
          </w:r>
          <w:r>
            <w:tab/>
          </w:r>
          <w:r>
            <w:fldChar w:fldCharType="begin"/>
          </w:r>
          <w:r>
            <w:instrText xml:space="preserve"> PAGEREF _Toc13889 \h </w:instrText>
          </w:r>
          <w:r>
            <w:fldChar w:fldCharType="separate"/>
          </w:r>
          <w:r>
            <w:t>30</w:t>
          </w:r>
          <w:r>
            <w:fldChar w:fldCharType="end"/>
          </w:r>
          <w:r>
            <w:fldChar w:fldCharType="end"/>
          </w:r>
        </w:p>
        <w:p>
          <w:pPr>
            <w:pStyle w:val="16"/>
            <w:tabs>
              <w:tab w:val="right" w:leader="dot" w:pos="8306"/>
            </w:tabs>
          </w:pPr>
          <w:r>
            <w:fldChar w:fldCharType="begin"/>
          </w:r>
          <w:r>
            <w:instrText xml:space="preserve"> HYPERLINK \l _Toc6050 </w:instrText>
          </w:r>
          <w:r>
            <w:fldChar w:fldCharType="separate"/>
          </w:r>
          <w:r>
            <w:rPr>
              <w:rFonts w:hint="eastAsia"/>
              <w:szCs w:val="36"/>
            </w:rPr>
            <w:t>5环境影响报告书的主要结论与建议及审批部门审批</w:t>
          </w:r>
          <w:r>
            <w:tab/>
          </w:r>
          <w:r>
            <w:fldChar w:fldCharType="begin"/>
          </w:r>
          <w:r>
            <w:instrText xml:space="preserve"> PAGEREF _Toc6050 \h </w:instrText>
          </w:r>
          <w:r>
            <w:fldChar w:fldCharType="separate"/>
          </w:r>
          <w:r>
            <w:t>32</w:t>
          </w:r>
          <w:r>
            <w:fldChar w:fldCharType="end"/>
          </w:r>
          <w:r>
            <w:fldChar w:fldCharType="end"/>
          </w:r>
        </w:p>
        <w:p>
          <w:pPr>
            <w:pStyle w:val="17"/>
            <w:tabs>
              <w:tab w:val="right" w:leader="dot" w:pos="8306"/>
            </w:tabs>
          </w:pPr>
          <w:r>
            <w:fldChar w:fldCharType="begin"/>
          </w:r>
          <w:r>
            <w:instrText xml:space="preserve"> HYPERLINK \l _Toc3810 </w:instrText>
          </w:r>
          <w:r>
            <w:fldChar w:fldCharType="separate"/>
          </w:r>
          <w:r>
            <w:rPr>
              <w:rFonts w:hint="eastAsia"/>
              <w:szCs w:val="32"/>
            </w:rPr>
            <w:t>5.1环境影响报告书的主要结论与建议</w:t>
          </w:r>
          <w:r>
            <w:tab/>
          </w:r>
          <w:r>
            <w:fldChar w:fldCharType="begin"/>
          </w:r>
          <w:r>
            <w:instrText xml:space="preserve"> PAGEREF _Toc3810 \h </w:instrText>
          </w:r>
          <w:r>
            <w:fldChar w:fldCharType="separate"/>
          </w:r>
          <w:r>
            <w:t>32</w:t>
          </w:r>
          <w:r>
            <w:fldChar w:fldCharType="end"/>
          </w:r>
          <w:r>
            <w:fldChar w:fldCharType="end"/>
          </w:r>
        </w:p>
        <w:p>
          <w:pPr>
            <w:pStyle w:val="17"/>
            <w:tabs>
              <w:tab w:val="right" w:leader="dot" w:pos="8306"/>
            </w:tabs>
          </w:pPr>
          <w:r>
            <w:fldChar w:fldCharType="begin"/>
          </w:r>
          <w:r>
            <w:instrText xml:space="preserve"> HYPERLINK \l _Toc26986 </w:instrText>
          </w:r>
          <w:r>
            <w:fldChar w:fldCharType="separate"/>
          </w:r>
          <w:r>
            <w:rPr>
              <w:rFonts w:hint="eastAsia"/>
              <w:szCs w:val="32"/>
            </w:rPr>
            <w:t>5.2审批部门审批决定</w:t>
          </w:r>
          <w:r>
            <w:tab/>
          </w:r>
          <w:r>
            <w:fldChar w:fldCharType="begin"/>
          </w:r>
          <w:r>
            <w:instrText xml:space="preserve"> PAGEREF _Toc26986 \h </w:instrText>
          </w:r>
          <w:r>
            <w:fldChar w:fldCharType="separate"/>
          </w:r>
          <w:r>
            <w:t>32</w:t>
          </w:r>
          <w:r>
            <w:fldChar w:fldCharType="end"/>
          </w:r>
          <w:r>
            <w:fldChar w:fldCharType="end"/>
          </w:r>
        </w:p>
        <w:p>
          <w:pPr>
            <w:pStyle w:val="17"/>
            <w:tabs>
              <w:tab w:val="right" w:leader="dot" w:pos="8306"/>
            </w:tabs>
          </w:pPr>
          <w:r>
            <w:fldChar w:fldCharType="begin"/>
          </w:r>
          <w:r>
            <w:instrText xml:space="preserve"> HYPERLINK \l _Toc8611 </w:instrText>
          </w:r>
          <w:r>
            <w:fldChar w:fldCharType="separate"/>
          </w:r>
          <w:r>
            <w:rPr>
              <w:rFonts w:hint="eastAsia"/>
              <w:szCs w:val="32"/>
            </w:rPr>
            <w:t>5.3批复落实情况</w:t>
          </w:r>
          <w:r>
            <w:tab/>
          </w:r>
          <w:r>
            <w:fldChar w:fldCharType="begin"/>
          </w:r>
          <w:r>
            <w:instrText xml:space="preserve"> PAGEREF _Toc8611 \h </w:instrText>
          </w:r>
          <w:r>
            <w:fldChar w:fldCharType="separate"/>
          </w:r>
          <w:r>
            <w:t>34</w:t>
          </w:r>
          <w:r>
            <w:fldChar w:fldCharType="end"/>
          </w:r>
          <w:r>
            <w:fldChar w:fldCharType="end"/>
          </w:r>
        </w:p>
        <w:p>
          <w:pPr>
            <w:pStyle w:val="16"/>
            <w:tabs>
              <w:tab w:val="right" w:leader="dot" w:pos="8306"/>
            </w:tabs>
          </w:pPr>
          <w:r>
            <w:fldChar w:fldCharType="begin"/>
          </w:r>
          <w:r>
            <w:instrText xml:space="preserve"> HYPERLINK \l _Toc18294 </w:instrText>
          </w:r>
          <w:r>
            <w:fldChar w:fldCharType="separate"/>
          </w:r>
          <w:r>
            <w:rPr>
              <w:rFonts w:hint="eastAsia"/>
              <w:szCs w:val="36"/>
            </w:rPr>
            <w:t>6验收执行标准</w:t>
          </w:r>
          <w:r>
            <w:tab/>
          </w:r>
          <w:r>
            <w:fldChar w:fldCharType="begin"/>
          </w:r>
          <w:r>
            <w:instrText xml:space="preserve"> PAGEREF _Toc18294 \h </w:instrText>
          </w:r>
          <w:r>
            <w:fldChar w:fldCharType="separate"/>
          </w:r>
          <w:r>
            <w:t>36</w:t>
          </w:r>
          <w:r>
            <w:fldChar w:fldCharType="end"/>
          </w:r>
          <w:r>
            <w:fldChar w:fldCharType="end"/>
          </w:r>
        </w:p>
        <w:p>
          <w:pPr>
            <w:pStyle w:val="17"/>
            <w:tabs>
              <w:tab w:val="right" w:leader="dot" w:pos="8306"/>
            </w:tabs>
          </w:pPr>
          <w:r>
            <w:fldChar w:fldCharType="begin"/>
          </w:r>
          <w:r>
            <w:instrText xml:space="preserve"> HYPERLINK \l _Toc14517 </w:instrText>
          </w:r>
          <w:r>
            <w:fldChar w:fldCharType="separate"/>
          </w:r>
          <w:r>
            <w:rPr>
              <w:rFonts w:hint="eastAsia"/>
              <w:bCs/>
              <w:szCs w:val="32"/>
            </w:rPr>
            <w:t>6.1废气</w:t>
          </w:r>
          <w:r>
            <w:tab/>
          </w:r>
          <w:r>
            <w:fldChar w:fldCharType="begin"/>
          </w:r>
          <w:r>
            <w:instrText xml:space="preserve"> PAGEREF _Toc14517 \h </w:instrText>
          </w:r>
          <w:r>
            <w:fldChar w:fldCharType="separate"/>
          </w:r>
          <w:r>
            <w:t>36</w:t>
          </w:r>
          <w:r>
            <w:fldChar w:fldCharType="end"/>
          </w:r>
          <w:r>
            <w:fldChar w:fldCharType="end"/>
          </w:r>
        </w:p>
        <w:p>
          <w:pPr>
            <w:pStyle w:val="17"/>
            <w:tabs>
              <w:tab w:val="right" w:leader="dot" w:pos="8306"/>
            </w:tabs>
          </w:pPr>
          <w:r>
            <w:fldChar w:fldCharType="begin"/>
          </w:r>
          <w:r>
            <w:instrText xml:space="preserve"> HYPERLINK \l _Toc4677 </w:instrText>
          </w:r>
          <w:r>
            <w:fldChar w:fldCharType="separate"/>
          </w:r>
          <w:r>
            <w:rPr>
              <w:rFonts w:hint="eastAsia" w:ascii="Times New Roman" w:hAnsi="Times New Roman" w:eastAsia="宋体" w:cs="Times New Roman"/>
              <w:bCs/>
              <w:szCs w:val="32"/>
            </w:rPr>
            <w:t>6.2</w:t>
          </w:r>
          <w:r>
            <w:rPr>
              <w:rFonts w:hint="eastAsia" w:cs="Times New Roman"/>
              <w:bCs/>
              <w:szCs w:val="32"/>
              <w:lang w:eastAsia="zh-CN"/>
            </w:rPr>
            <w:t>废水</w:t>
          </w:r>
          <w:r>
            <w:tab/>
          </w:r>
          <w:r>
            <w:fldChar w:fldCharType="begin"/>
          </w:r>
          <w:r>
            <w:instrText xml:space="preserve"> PAGEREF _Toc4677 \h </w:instrText>
          </w:r>
          <w:r>
            <w:fldChar w:fldCharType="separate"/>
          </w:r>
          <w:r>
            <w:t>36</w:t>
          </w:r>
          <w:r>
            <w:fldChar w:fldCharType="end"/>
          </w:r>
          <w:r>
            <w:fldChar w:fldCharType="end"/>
          </w:r>
        </w:p>
        <w:p>
          <w:pPr>
            <w:pStyle w:val="17"/>
            <w:tabs>
              <w:tab w:val="right" w:leader="dot" w:pos="8306"/>
            </w:tabs>
          </w:pPr>
          <w:r>
            <w:fldChar w:fldCharType="begin"/>
          </w:r>
          <w:r>
            <w:instrText xml:space="preserve"> HYPERLINK \l _Toc15712 </w:instrText>
          </w:r>
          <w:r>
            <w:fldChar w:fldCharType="separate"/>
          </w:r>
          <w:r>
            <w:rPr>
              <w:rFonts w:hint="eastAsia" w:ascii="Times New Roman" w:hAnsi="Times New Roman" w:eastAsia="宋体" w:cs="Times New Roman"/>
              <w:bCs/>
              <w:szCs w:val="32"/>
            </w:rPr>
            <w:t>6.</w:t>
          </w:r>
          <w:r>
            <w:rPr>
              <w:rFonts w:hint="eastAsia" w:cs="Times New Roman"/>
              <w:bCs/>
              <w:szCs w:val="32"/>
              <w:lang w:val="en-US" w:eastAsia="zh-CN"/>
            </w:rPr>
            <w:t>3</w:t>
          </w:r>
          <w:r>
            <w:rPr>
              <w:rFonts w:hint="eastAsia" w:ascii="Times New Roman" w:hAnsi="Times New Roman" w:eastAsia="宋体" w:cs="Times New Roman"/>
              <w:bCs/>
              <w:szCs w:val="32"/>
            </w:rPr>
            <w:t>噪声</w:t>
          </w:r>
          <w:r>
            <w:tab/>
          </w:r>
          <w:r>
            <w:fldChar w:fldCharType="begin"/>
          </w:r>
          <w:r>
            <w:instrText xml:space="preserve"> PAGEREF _Toc15712 \h </w:instrText>
          </w:r>
          <w:r>
            <w:fldChar w:fldCharType="separate"/>
          </w:r>
          <w:r>
            <w:t>36</w:t>
          </w:r>
          <w:r>
            <w:fldChar w:fldCharType="end"/>
          </w:r>
          <w:r>
            <w:fldChar w:fldCharType="end"/>
          </w:r>
        </w:p>
        <w:p>
          <w:pPr>
            <w:pStyle w:val="17"/>
            <w:tabs>
              <w:tab w:val="right" w:leader="dot" w:pos="8306"/>
            </w:tabs>
          </w:pPr>
          <w:r>
            <w:fldChar w:fldCharType="begin"/>
          </w:r>
          <w:r>
            <w:instrText xml:space="preserve"> HYPERLINK \l _Toc5532 </w:instrText>
          </w:r>
          <w:r>
            <w:fldChar w:fldCharType="separate"/>
          </w:r>
          <w:r>
            <w:rPr>
              <w:rFonts w:hint="eastAsia" w:ascii="Times New Roman" w:hAnsi="Times New Roman" w:eastAsia="宋体" w:cs="Times New Roman"/>
              <w:bCs/>
              <w:szCs w:val="32"/>
            </w:rPr>
            <w:t>6.</w:t>
          </w:r>
          <w:r>
            <w:rPr>
              <w:rFonts w:hint="eastAsia" w:cs="Times New Roman"/>
              <w:bCs/>
              <w:szCs w:val="32"/>
              <w:lang w:val="en-US" w:eastAsia="zh-CN"/>
            </w:rPr>
            <w:t>4</w:t>
          </w:r>
          <w:r>
            <w:rPr>
              <w:rFonts w:hint="eastAsia" w:ascii="Times New Roman" w:hAnsi="Times New Roman" w:eastAsia="宋体" w:cs="Times New Roman"/>
              <w:bCs/>
              <w:szCs w:val="32"/>
            </w:rPr>
            <w:t>固体废物</w:t>
          </w:r>
          <w:r>
            <w:tab/>
          </w:r>
          <w:r>
            <w:fldChar w:fldCharType="begin"/>
          </w:r>
          <w:r>
            <w:instrText xml:space="preserve"> PAGEREF _Toc5532 \h </w:instrText>
          </w:r>
          <w:r>
            <w:fldChar w:fldCharType="separate"/>
          </w:r>
          <w:r>
            <w:t>37</w:t>
          </w:r>
          <w:r>
            <w:fldChar w:fldCharType="end"/>
          </w:r>
          <w:r>
            <w:fldChar w:fldCharType="end"/>
          </w:r>
        </w:p>
        <w:p>
          <w:pPr>
            <w:pStyle w:val="16"/>
            <w:tabs>
              <w:tab w:val="right" w:leader="dot" w:pos="8306"/>
            </w:tabs>
          </w:pPr>
          <w:r>
            <w:fldChar w:fldCharType="begin"/>
          </w:r>
          <w:r>
            <w:instrText xml:space="preserve"> HYPERLINK \l _Toc15726 </w:instrText>
          </w:r>
          <w:r>
            <w:fldChar w:fldCharType="separate"/>
          </w:r>
          <w:r>
            <w:rPr>
              <w:rFonts w:hint="eastAsia"/>
              <w:szCs w:val="36"/>
            </w:rPr>
            <w:t>7验收监测内容</w:t>
          </w:r>
          <w:r>
            <w:tab/>
          </w:r>
          <w:r>
            <w:fldChar w:fldCharType="begin"/>
          </w:r>
          <w:r>
            <w:instrText xml:space="preserve"> PAGEREF _Toc15726 \h </w:instrText>
          </w:r>
          <w:r>
            <w:fldChar w:fldCharType="separate"/>
          </w:r>
          <w:r>
            <w:t>38</w:t>
          </w:r>
          <w:r>
            <w:fldChar w:fldCharType="end"/>
          </w:r>
          <w:r>
            <w:fldChar w:fldCharType="end"/>
          </w:r>
        </w:p>
        <w:p>
          <w:pPr>
            <w:pStyle w:val="17"/>
            <w:tabs>
              <w:tab w:val="right" w:leader="dot" w:pos="8306"/>
            </w:tabs>
          </w:pPr>
          <w:r>
            <w:fldChar w:fldCharType="begin"/>
          </w:r>
          <w:r>
            <w:instrText xml:space="preserve"> HYPERLINK \l _Toc15570 </w:instrText>
          </w:r>
          <w:r>
            <w:fldChar w:fldCharType="separate"/>
          </w:r>
          <w:r>
            <w:rPr>
              <w:rFonts w:hint="eastAsia"/>
              <w:szCs w:val="32"/>
            </w:rPr>
            <w:t>7.1环境保护设施调试运行效果</w:t>
          </w:r>
          <w:r>
            <w:tab/>
          </w:r>
          <w:r>
            <w:fldChar w:fldCharType="begin"/>
          </w:r>
          <w:r>
            <w:instrText xml:space="preserve"> PAGEREF _Toc15570 \h </w:instrText>
          </w:r>
          <w:r>
            <w:fldChar w:fldCharType="separate"/>
          </w:r>
          <w:r>
            <w:t>38</w:t>
          </w:r>
          <w:r>
            <w:fldChar w:fldCharType="end"/>
          </w:r>
          <w:r>
            <w:fldChar w:fldCharType="end"/>
          </w:r>
        </w:p>
        <w:p>
          <w:pPr>
            <w:pStyle w:val="16"/>
            <w:tabs>
              <w:tab w:val="right" w:leader="dot" w:pos="8306"/>
            </w:tabs>
          </w:pPr>
          <w:r>
            <w:fldChar w:fldCharType="begin"/>
          </w:r>
          <w:r>
            <w:instrText xml:space="preserve"> HYPERLINK \l _Toc202 </w:instrText>
          </w:r>
          <w:r>
            <w:fldChar w:fldCharType="separate"/>
          </w:r>
          <w:r>
            <w:rPr>
              <w:rFonts w:hint="eastAsia"/>
              <w:szCs w:val="36"/>
            </w:rPr>
            <w:t>8质量保证和质量控制</w:t>
          </w:r>
          <w:r>
            <w:tab/>
          </w:r>
          <w:r>
            <w:fldChar w:fldCharType="begin"/>
          </w:r>
          <w:r>
            <w:instrText xml:space="preserve"> PAGEREF _Toc202 \h </w:instrText>
          </w:r>
          <w:r>
            <w:fldChar w:fldCharType="separate"/>
          </w:r>
          <w:r>
            <w:t>39</w:t>
          </w:r>
          <w:r>
            <w:fldChar w:fldCharType="end"/>
          </w:r>
          <w:r>
            <w:fldChar w:fldCharType="end"/>
          </w:r>
        </w:p>
        <w:p>
          <w:pPr>
            <w:pStyle w:val="17"/>
            <w:tabs>
              <w:tab w:val="right" w:leader="dot" w:pos="8306"/>
            </w:tabs>
          </w:pPr>
          <w:r>
            <w:fldChar w:fldCharType="begin"/>
          </w:r>
          <w:r>
            <w:instrText xml:space="preserve"> HYPERLINK \l _Toc14954 </w:instrText>
          </w:r>
          <w:r>
            <w:fldChar w:fldCharType="separate"/>
          </w:r>
          <w:r>
            <w:rPr>
              <w:rFonts w:hint="eastAsia"/>
              <w:szCs w:val="32"/>
            </w:rPr>
            <w:t>8.1监测分析方法</w:t>
          </w:r>
          <w:r>
            <w:tab/>
          </w:r>
          <w:r>
            <w:fldChar w:fldCharType="begin"/>
          </w:r>
          <w:r>
            <w:instrText xml:space="preserve"> PAGEREF _Toc14954 \h </w:instrText>
          </w:r>
          <w:r>
            <w:fldChar w:fldCharType="separate"/>
          </w:r>
          <w:r>
            <w:t>39</w:t>
          </w:r>
          <w:r>
            <w:fldChar w:fldCharType="end"/>
          </w:r>
          <w:r>
            <w:fldChar w:fldCharType="end"/>
          </w:r>
        </w:p>
        <w:p>
          <w:pPr>
            <w:pStyle w:val="17"/>
            <w:tabs>
              <w:tab w:val="right" w:leader="dot" w:pos="8306"/>
            </w:tabs>
          </w:pPr>
          <w:r>
            <w:fldChar w:fldCharType="begin"/>
          </w:r>
          <w:r>
            <w:instrText xml:space="preserve"> HYPERLINK \l _Toc22814 </w:instrText>
          </w:r>
          <w:r>
            <w:fldChar w:fldCharType="separate"/>
          </w:r>
          <w:r>
            <w:rPr>
              <w:rFonts w:hint="eastAsia"/>
              <w:szCs w:val="32"/>
            </w:rPr>
            <w:t>8.2监测仪器</w:t>
          </w:r>
          <w:r>
            <w:tab/>
          </w:r>
          <w:r>
            <w:fldChar w:fldCharType="begin"/>
          </w:r>
          <w:r>
            <w:instrText xml:space="preserve"> PAGEREF _Toc22814 \h </w:instrText>
          </w:r>
          <w:r>
            <w:fldChar w:fldCharType="separate"/>
          </w:r>
          <w:r>
            <w:t>40</w:t>
          </w:r>
          <w:r>
            <w:fldChar w:fldCharType="end"/>
          </w:r>
          <w:r>
            <w:fldChar w:fldCharType="end"/>
          </w:r>
        </w:p>
        <w:p>
          <w:pPr>
            <w:pStyle w:val="17"/>
            <w:tabs>
              <w:tab w:val="right" w:leader="dot" w:pos="8306"/>
            </w:tabs>
          </w:pPr>
          <w:r>
            <w:fldChar w:fldCharType="begin"/>
          </w:r>
          <w:r>
            <w:instrText xml:space="preserve"> HYPERLINK \l _Toc17847 </w:instrText>
          </w:r>
          <w:r>
            <w:fldChar w:fldCharType="separate"/>
          </w:r>
          <w:r>
            <w:rPr>
              <w:rFonts w:hint="eastAsia"/>
              <w:szCs w:val="32"/>
            </w:rPr>
            <w:t>8.3人员资质</w:t>
          </w:r>
          <w:r>
            <w:tab/>
          </w:r>
          <w:r>
            <w:fldChar w:fldCharType="begin"/>
          </w:r>
          <w:r>
            <w:instrText xml:space="preserve"> PAGEREF _Toc17847 \h </w:instrText>
          </w:r>
          <w:r>
            <w:fldChar w:fldCharType="separate"/>
          </w:r>
          <w:r>
            <w:t>42</w:t>
          </w:r>
          <w:r>
            <w:fldChar w:fldCharType="end"/>
          </w:r>
          <w:r>
            <w:fldChar w:fldCharType="end"/>
          </w:r>
        </w:p>
        <w:p>
          <w:pPr>
            <w:pStyle w:val="17"/>
            <w:tabs>
              <w:tab w:val="right" w:leader="dot" w:pos="8306"/>
            </w:tabs>
          </w:pPr>
          <w:r>
            <w:fldChar w:fldCharType="begin"/>
          </w:r>
          <w:r>
            <w:instrText xml:space="preserve"> HYPERLINK \l _Toc25472 </w:instrText>
          </w:r>
          <w:r>
            <w:fldChar w:fldCharType="separate"/>
          </w:r>
          <w:r>
            <w:rPr>
              <w:rFonts w:hint="eastAsia"/>
              <w:szCs w:val="32"/>
            </w:rPr>
            <w:t>8.</w:t>
          </w:r>
          <w:r>
            <w:rPr>
              <w:rFonts w:hint="eastAsia"/>
              <w:szCs w:val="32"/>
              <w:lang w:val="en-US" w:eastAsia="zh-CN"/>
            </w:rPr>
            <w:t>4</w:t>
          </w:r>
          <w:r>
            <w:rPr>
              <w:rFonts w:hint="eastAsia"/>
              <w:szCs w:val="32"/>
            </w:rPr>
            <w:t>气体监测分析过程中的质量保证和质量控制</w:t>
          </w:r>
          <w:r>
            <w:tab/>
          </w:r>
          <w:r>
            <w:fldChar w:fldCharType="begin"/>
          </w:r>
          <w:r>
            <w:instrText xml:space="preserve"> PAGEREF _Toc25472 \h </w:instrText>
          </w:r>
          <w:r>
            <w:fldChar w:fldCharType="separate"/>
          </w:r>
          <w:r>
            <w:t>42</w:t>
          </w:r>
          <w:r>
            <w:fldChar w:fldCharType="end"/>
          </w:r>
          <w:r>
            <w:fldChar w:fldCharType="end"/>
          </w:r>
        </w:p>
        <w:p>
          <w:pPr>
            <w:pStyle w:val="17"/>
            <w:tabs>
              <w:tab w:val="right" w:leader="dot" w:pos="8306"/>
            </w:tabs>
          </w:pPr>
          <w:r>
            <w:fldChar w:fldCharType="begin"/>
          </w:r>
          <w:r>
            <w:instrText xml:space="preserve"> HYPERLINK \l _Toc26200 </w:instrText>
          </w:r>
          <w:r>
            <w:fldChar w:fldCharType="separate"/>
          </w:r>
          <w:r>
            <w:rPr>
              <w:rFonts w:hint="eastAsia" w:ascii="Times New Roman" w:hAnsi="Times New Roman" w:eastAsia="宋体" w:cs="Times New Roman"/>
              <w:szCs w:val="32"/>
            </w:rPr>
            <w:t>8.</w:t>
          </w:r>
          <w:r>
            <w:rPr>
              <w:rFonts w:hint="eastAsia" w:ascii="Times New Roman" w:hAnsi="Times New Roman" w:eastAsia="宋体" w:cs="Times New Roman"/>
              <w:szCs w:val="32"/>
              <w:lang w:val="en-US" w:eastAsia="zh-CN"/>
            </w:rPr>
            <w:t>5</w:t>
          </w:r>
          <w:r>
            <w:rPr>
              <w:rFonts w:hint="eastAsia" w:cs="Times New Roman"/>
              <w:szCs w:val="32"/>
              <w:lang w:val="en-US" w:eastAsia="zh-CN"/>
            </w:rPr>
            <w:t>废水</w:t>
          </w:r>
          <w:r>
            <w:rPr>
              <w:rFonts w:hint="eastAsia" w:ascii="Times New Roman" w:hAnsi="Times New Roman" w:eastAsia="宋体" w:cs="Times New Roman"/>
              <w:szCs w:val="32"/>
            </w:rPr>
            <w:t>监测分析过程中的质量保证和质量控制</w:t>
          </w:r>
          <w:r>
            <w:tab/>
          </w:r>
          <w:r>
            <w:fldChar w:fldCharType="begin"/>
          </w:r>
          <w:r>
            <w:instrText xml:space="preserve"> PAGEREF _Toc26200 \h </w:instrText>
          </w:r>
          <w:r>
            <w:fldChar w:fldCharType="separate"/>
          </w:r>
          <w:r>
            <w:t>44</w:t>
          </w:r>
          <w:r>
            <w:fldChar w:fldCharType="end"/>
          </w:r>
          <w:r>
            <w:fldChar w:fldCharType="end"/>
          </w:r>
        </w:p>
        <w:p>
          <w:pPr>
            <w:pStyle w:val="17"/>
            <w:tabs>
              <w:tab w:val="right" w:leader="dot" w:pos="8306"/>
            </w:tabs>
          </w:pPr>
          <w:r>
            <w:fldChar w:fldCharType="begin"/>
          </w:r>
          <w:r>
            <w:instrText xml:space="preserve"> HYPERLINK \l _Toc29805 </w:instrText>
          </w:r>
          <w:r>
            <w:fldChar w:fldCharType="separate"/>
          </w:r>
          <w:r>
            <w:rPr>
              <w:rFonts w:hint="eastAsia" w:ascii="Times New Roman" w:hAnsi="Times New Roman" w:eastAsia="宋体" w:cs="Times New Roman"/>
              <w:szCs w:val="32"/>
            </w:rPr>
            <w:t>8.</w:t>
          </w:r>
          <w:r>
            <w:rPr>
              <w:rFonts w:hint="eastAsia" w:cs="Times New Roman"/>
              <w:szCs w:val="32"/>
              <w:lang w:val="en-US" w:eastAsia="zh-CN"/>
            </w:rPr>
            <w:t>6</w:t>
          </w:r>
          <w:r>
            <w:rPr>
              <w:rFonts w:hint="eastAsia" w:ascii="Times New Roman" w:hAnsi="Times New Roman" w:eastAsia="宋体" w:cs="Times New Roman"/>
              <w:szCs w:val="32"/>
            </w:rPr>
            <w:t>噪声监测分析过程中的质量保证和质量控制</w:t>
          </w:r>
          <w:r>
            <w:tab/>
          </w:r>
          <w:r>
            <w:fldChar w:fldCharType="begin"/>
          </w:r>
          <w:r>
            <w:instrText xml:space="preserve"> PAGEREF _Toc29805 \h </w:instrText>
          </w:r>
          <w:r>
            <w:fldChar w:fldCharType="separate"/>
          </w:r>
          <w:r>
            <w:t>44</w:t>
          </w:r>
          <w:r>
            <w:fldChar w:fldCharType="end"/>
          </w:r>
          <w:r>
            <w:fldChar w:fldCharType="end"/>
          </w:r>
        </w:p>
        <w:p>
          <w:pPr>
            <w:pStyle w:val="16"/>
            <w:tabs>
              <w:tab w:val="right" w:leader="dot" w:pos="8306"/>
            </w:tabs>
          </w:pPr>
          <w:r>
            <w:fldChar w:fldCharType="begin"/>
          </w:r>
          <w:r>
            <w:instrText xml:space="preserve"> HYPERLINK \l _Toc17607 </w:instrText>
          </w:r>
          <w:r>
            <w:fldChar w:fldCharType="separate"/>
          </w:r>
          <w:r>
            <w:rPr>
              <w:rFonts w:hint="eastAsia"/>
              <w:szCs w:val="36"/>
            </w:rPr>
            <w:t>9验收监测结果</w:t>
          </w:r>
          <w:r>
            <w:tab/>
          </w:r>
          <w:r>
            <w:fldChar w:fldCharType="begin"/>
          </w:r>
          <w:r>
            <w:instrText xml:space="preserve"> PAGEREF _Toc17607 \h </w:instrText>
          </w:r>
          <w:r>
            <w:fldChar w:fldCharType="separate"/>
          </w:r>
          <w:r>
            <w:t>45</w:t>
          </w:r>
          <w:r>
            <w:fldChar w:fldCharType="end"/>
          </w:r>
          <w:r>
            <w:fldChar w:fldCharType="end"/>
          </w:r>
        </w:p>
        <w:p>
          <w:pPr>
            <w:pStyle w:val="17"/>
            <w:tabs>
              <w:tab w:val="right" w:leader="dot" w:pos="8306"/>
            </w:tabs>
          </w:pPr>
          <w:r>
            <w:fldChar w:fldCharType="begin"/>
          </w:r>
          <w:r>
            <w:instrText xml:space="preserve"> HYPERLINK \l _Toc26780 </w:instrText>
          </w:r>
          <w:r>
            <w:fldChar w:fldCharType="separate"/>
          </w:r>
          <w:r>
            <w:rPr>
              <w:rFonts w:hint="eastAsia"/>
              <w:szCs w:val="32"/>
            </w:rPr>
            <w:t>9.1生产工况</w:t>
          </w:r>
          <w:r>
            <w:tab/>
          </w:r>
          <w:r>
            <w:fldChar w:fldCharType="begin"/>
          </w:r>
          <w:r>
            <w:instrText xml:space="preserve"> PAGEREF _Toc26780 \h </w:instrText>
          </w:r>
          <w:r>
            <w:fldChar w:fldCharType="separate"/>
          </w:r>
          <w:r>
            <w:t>45</w:t>
          </w:r>
          <w:r>
            <w:fldChar w:fldCharType="end"/>
          </w:r>
          <w:r>
            <w:fldChar w:fldCharType="end"/>
          </w:r>
        </w:p>
        <w:p>
          <w:pPr>
            <w:pStyle w:val="17"/>
            <w:tabs>
              <w:tab w:val="right" w:leader="dot" w:pos="8306"/>
            </w:tabs>
          </w:pPr>
          <w:r>
            <w:fldChar w:fldCharType="begin"/>
          </w:r>
          <w:r>
            <w:instrText xml:space="preserve"> HYPERLINK \l _Toc28768 </w:instrText>
          </w:r>
          <w:r>
            <w:fldChar w:fldCharType="separate"/>
          </w:r>
          <w:r>
            <w:rPr>
              <w:rFonts w:hint="eastAsia"/>
              <w:szCs w:val="32"/>
            </w:rPr>
            <w:t>9.2环保设施调试效果</w:t>
          </w:r>
          <w:r>
            <w:tab/>
          </w:r>
          <w:r>
            <w:fldChar w:fldCharType="begin"/>
          </w:r>
          <w:r>
            <w:instrText xml:space="preserve"> PAGEREF _Toc28768 \h </w:instrText>
          </w:r>
          <w:r>
            <w:fldChar w:fldCharType="separate"/>
          </w:r>
          <w:r>
            <w:t>45</w:t>
          </w:r>
          <w:r>
            <w:fldChar w:fldCharType="end"/>
          </w:r>
          <w:r>
            <w:fldChar w:fldCharType="end"/>
          </w:r>
        </w:p>
        <w:p>
          <w:pPr>
            <w:pStyle w:val="16"/>
            <w:tabs>
              <w:tab w:val="right" w:leader="dot" w:pos="8306"/>
            </w:tabs>
          </w:pPr>
          <w:r>
            <w:fldChar w:fldCharType="begin"/>
          </w:r>
          <w:r>
            <w:instrText xml:space="preserve"> HYPERLINK \l _Toc10614 </w:instrText>
          </w:r>
          <w:r>
            <w:fldChar w:fldCharType="separate"/>
          </w:r>
          <w:r>
            <w:rPr>
              <w:szCs w:val="36"/>
            </w:rPr>
            <w:t>1</w:t>
          </w:r>
          <w:r>
            <w:rPr>
              <w:rFonts w:hint="eastAsia"/>
              <w:szCs w:val="36"/>
            </w:rPr>
            <w:t>0验收监测结论</w:t>
          </w:r>
          <w:r>
            <w:tab/>
          </w:r>
          <w:r>
            <w:fldChar w:fldCharType="begin"/>
          </w:r>
          <w:r>
            <w:instrText xml:space="preserve"> PAGEREF _Toc10614 \h </w:instrText>
          </w:r>
          <w:r>
            <w:fldChar w:fldCharType="separate"/>
          </w:r>
          <w:r>
            <w:t>55</w:t>
          </w:r>
          <w:r>
            <w:fldChar w:fldCharType="end"/>
          </w:r>
          <w:r>
            <w:fldChar w:fldCharType="end"/>
          </w:r>
        </w:p>
        <w:p>
          <w:pPr>
            <w:pStyle w:val="17"/>
            <w:tabs>
              <w:tab w:val="right" w:leader="dot" w:pos="8306"/>
            </w:tabs>
          </w:pPr>
          <w:r>
            <w:fldChar w:fldCharType="begin"/>
          </w:r>
          <w:r>
            <w:instrText xml:space="preserve"> HYPERLINK \l _Toc20097 </w:instrText>
          </w:r>
          <w:r>
            <w:fldChar w:fldCharType="separate"/>
          </w:r>
          <w:r>
            <w:rPr>
              <w:rFonts w:hint="eastAsia"/>
              <w:szCs w:val="32"/>
            </w:rPr>
            <w:t>10.1环保设施调试效果</w:t>
          </w:r>
          <w:r>
            <w:tab/>
          </w:r>
          <w:r>
            <w:fldChar w:fldCharType="begin"/>
          </w:r>
          <w:r>
            <w:instrText xml:space="preserve"> PAGEREF _Toc20097 \h </w:instrText>
          </w:r>
          <w:r>
            <w:fldChar w:fldCharType="separate"/>
          </w:r>
          <w:r>
            <w:t>55</w:t>
          </w:r>
          <w:r>
            <w:fldChar w:fldCharType="end"/>
          </w:r>
          <w:r>
            <w:fldChar w:fldCharType="end"/>
          </w:r>
        </w:p>
        <w:p>
          <w:pPr>
            <w:pStyle w:val="17"/>
            <w:tabs>
              <w:tab w:val="right" w:leader="dot" w:pos="8306"/>
            </w:tabs>
          </w:pPr>
          <w:r>
            <w:fldChar w:fldCharType="begin"/>
          </w:r>
          <w:r>
            <w:instrText xml:space="preserve"> HYPERLINK \l _Toc27182 </w:instrText>
          </w:r>
          <w:r>
            <w:fldChar w:fldCharType="separate"/>
          </w:r>
          <w:r>
            <w:rPr>
              <w:rFonts w:hint="eastAsia"/>
              <w:kern w:val="2"/>
              <w:szCs w:val="32"/>
            </w:rPr>
            <w:t>10.2建议</w:t>
          </w:r>
          <w:r>
            <w:tab/>
          </w:r>
          <w:r>
            <w:fldChar w:fldCharType="begin"/>
          </w:r>
          <w:r>
            <w:instrText xml:space="preserve"> PAGEREF _Toc27182 \h </w:instrText>
          </w:r>
          <w:r>
            <w:fldChar w:fldCharType="separate"/>
          </w:r>
          <w:r>
            <w:t>55</w:t>
          </w:r>
          <w:r>
            <w:fldChar w:fldCharType="end"/>
          </w:r>
          <w:r>
            <w:fldChar w:fldCharType="end"/>
          </w:r>
        </w:p>
        <w:p>
          <w:pPr>
            <w:pStyle w:val="16"/>
            <w:tabs>
              <w:tab w:val="right" w:leader="dot" w:pos="8306"/>
            </w:tabs>
          </w:pPr>
        </w:p>
        <w:p>
          <w:pPr>
            <w:pStyle w:val="21"/>
            <w:sectPr>
              <w:headerReference r:id="rId7" w:type="default"/>
              <w:footerReference r:id="rId8" w:type="default"/>
              <w:pgSz w:w="11906" w:h="16838"/>
              <w:pgMar w:top="1440" w:right="1800" w:bottom="1440" w:left="1800" w:header="851" w:footer="992" w:gutter="0"/>
              <w:pgNumType w:fmt="decimal"/>
              <w:cols w:space="425" w:num="1"/>
              <w:docGrid w:type="lines" w:linePitch="312" w:charSpace="0"/>
            </w:sectPr>
          </w:pPr>
          <w:r>
            <w:fldChar w:fldCharType="end"/>
          </w:r>
        </w:p>
      </w:sdtContent>
    </w:sdt>
    <w:p>
      <w:pPr>
        <w:pStyle w:val="5"/>
        <w:keepNext/>
        <w:keepLines/>
        <w:pageBreakBefore w:val="0"/>
        <w:widowControl w:val="0"/>
        <w:kinsoku/>
        <w:wordWrap/>
        <w:overflowPunct/>
        <w:topLinePunct w:val="0"/>
        <w:autoSpaceDE/>
        <w:autoSpaceDN/>
        <w:bidi w:val="0"/>
        <w:adjustRightInd/>
        <w:snapToGrid/>
        <w:spacing w:before="120" w:beforeLines="0" w:after="120" w:afterLines="0"/>
        <w:textAlignment w:val="auto"/>
        <w:rPr>
          <w:sz w:val="36"/>
          <w:szCs w:val="36"/>
        </w:rPr>
      </w:pPr>
      <w:bookmarkStart w:id="0" w:name="_Toc24277"/>
      <w:bookmarkStart w:id="1" w:name="_Toc3460"/>
      <w:bookmarkStart w:id="2" w:name="_Toc9605"/>
      <w:bookmarkStart w:id="3" w:name="_Toc22191"/>
      <w:r>
        <w:rPr>
          <w:sz w:val="36"/>
          <w:szCs w:val="36"/>
        </w:rPr>
        <w:t>1</w:t>
      </w:r>
      <w:bookmarkEnd w:id="0"/>
      <w:r>
        <w:rPr>
          <w:sz w:val="36"/>
          <w:szCs w:val="36"/>
        </w:rPr>
        <w:t>项目概况</w:t>
      </w:r>
      <w:bookmarkEnd w:id="1"/>
      <w:bookmarkEnd w:id="2"/>
      <w:bookmarkEnd w:id="3"/>
    </w:p>
    <w:p>
      <w:pPr>
        <w:ind w:firstLine="472" w:firstLineChars="200"/>
        <w:rPr>
          <w:rFonts w:hint="default" w:ascii="Times New Roman" w:hAnsi="Times New Roman" w:eastAsia="宋体" w:cs="Times New Roman"/>
          <w:spacing w:val="-2"/>
        </w:rPr>
      </w:pPr>
      <w:r>
        <w:rPr>
          <w:rFonts w:hint="default" w:ascii="Times New Roman" w:hAnsi="Times New Roman" w:eastAsia="宋体" w:cs="Times New Roman"/>
          <w:spacing w:val="-2"/>
        </w:rPr>
        <w:t>芜湖徽氏新材料科技有限公司</w:t>
      </w:r>
      <w:r>
        <w:rPr>
          <w:rFonts w:hint="eastAsia" w:cs="Times New Roman"/>
          <w:spacing w:val="-2"/>
          <w:lang w:eastAsia="zh-CN"/>
        </w:rPr>
        <w:t>位于</w:t>
      </w:r>
      <w:r>
        <w:rPr>
          <w:rFonts w:hint="default" w:ascii="Times New Roman" w:hAnsi="Times New Roman" w:eastAsia="宋体" w:cs="Times New Roman"/>
          <w:spacing w:val="-2"/>
        </w:rPr>
        <w:t>安徽省无为</w:t>
      </w:r>
      <w:r>
        <w:rPr>
          <w:rFonts w:hint="eastAsia" w:ascii="Times New Roman" w:hAnsi="Times New Roman" w:eastAsia="宋体" w:cs="Times New Roman"/>
          <w:spacing w:val="-2"/>
          <w:lang w:eastAsia="zh-CN"/>
        </w:rPr>
        <w:t>市</w:t>
      </w:r>
      <w:r>
        <w:rPr>
          <w:rFonts w:hint="default" w:ascii="Times New Roman" w:hAnsi="Times New Roman" w:eastAsia="宋体" w:cs="Times New Roman"/>
          <w:spacing w:val="-2"/>
        </w:rPr>
        <w:t>经济开发区城东工业园区，经四路以西，支一路以南。随着数码产品、新能源电动汽车的发展，锂电池工业是新能源产业的重要组成部分，特别是锂动力电池工业已成为全球经济发展的一个热点。未来产业、科技、军事国防、航空航天、日常生活对各类电池的需求将持续增加，随之对锂电池胶带的需求也越来越大。</w:t>
      </w:r>
    </w:p>
    <w:p>
      <w:pPr>
        <w:ind w:firstLine="472" w:firstLineChars="200"/>
        <w:rPr>
          <w:rFonts w:hint="eastAsia" w:ascii="Times New Roman" w:hAnsi="Times New Roman" w:eastAsia="宋体" w:cs="Times New Roman"/>
          <w:spacing w:val="-2"/>
          <w:lang w:eastAsia="zh-CN"/>
        </w:rPr>
      </w:pPr>
      <w:r>
        <w:rPr>
          <w:rFonts w:hint="default" w:ascii="Times New Roman" w:hAnsi="Times New Roman" w:eastAsia="宋体" w:cs="Times New Roman"/>
          <w:spacing w:val="-2"/>
        </w:rPr>
        <w:t>为此，芜湖徽氏新材料科技有限公司投资5000万元，在安徽省</w:t>
      </w:r>
      <w:r>
        <w:rPr>
          <w:rFonts w:hint="eastAsia" w:ascii="Times New Roman" w:hAnsi="Times New Roman" w:eastAsia="宋体" w:cs="Times New Roman"/>
          <w:spacing w:val="-2"/>
          <w:lang w:eastAsia="zh-CN"/>
        </w:rPr>
        <w:t>无为市</w:t>
      </w:r>
      <w:r>
        <w:rPr>
          <w:rFonts w:hint="default" w:ascii="Times New Roman" w:hAnsi="Times New Roman" w:eastAsia="宋体" w:cs="Times New Roman"/>
          <w:spacing w:val="-2"/>
        </w:rPr>
        <w:t>城东工业区征用土地40亩，</w:t>
      </w:r>
      <w:r>
        <w:rPr>
          <w:rFonts w:hint="eastAsia" w:ascii="Times New Roman" w:hAnsi="Times New Roman" w:eastAsia="宋体" w:cs="Times New Roman"/>
          <w:spacing w:val="-2"/>
          <w:lang w:val="en-US" w:eastAsia="zh-CN"/>
        </w:rPr>
        <w:t>建设“锂电池胶带生产和精加工项目”（以下简称本项目），</w:t>
      </w:r>
      <w:r>
        <w:rPr>
          <w:rFonts w:hint="default" w:ascii="Times New Roman" w:hAnsi="Times New Roman" w:eastAsia="宋体" w:cs="Times New Roman"/>
          <w:spacing w:val="-2"/>
        </w:rPr>
        <w:t>主要从事锂电池胶带的研发和制造等，建筑面积26655m</w:t>
      </w:r>
      <w:r>
        <w:rPr>
          <w:rFonts w:hint="default" w:ascii="Times New Roman" w:hAnsi="Times New Roman" w:eastAsia="宋体" w:cs="Times New Roman"/>
          <w:spacing w:val="-2"/>
          <w:vertAlign w:val="superscript"/>
        </w:rPr>
        <w:t>2</w:t>
      </w:r>
      <w:r>
        <w:rPr>
          <w:rFonts w:hint="default" w:ascii="Times New Roman" w:hAnsi="Times New Roman" w:eastAsia="宋体" w:cs="Times New Roman"/>
          <w:spacing w:val="-2"/>
        </w:rPr>
        <w:t>，项目产品主要用于手机、笔记本电脑、数码相机等消费和便携式电子产品。项目全部建成后，将形成6条胶带生产线，年产能为3600万平方米锂电池胶带</w:t>
      </w:r>
      <w:r>
        <w:rPr>
          <w:rFonts w:hint="eastAsia" w:ascii="Times New Roman" w:hAnsi="Times New Roman" w:eastAsia="宋体" w:cs="Times New Roman"/>
          <w:spacing w:val="-2"/>
          <w:lang w:eastAsia="zh-CN"/>
        </w:rPr>
        <w:t>。</w:t>
      </w:r>
    </w:p>
    <w:p>
      <w:pPr>
        <w:ind w:firstLine="472" w:firstLineChars="200"/>
        <w:rPr>
          <w:rFonts w:hint="eastAsia" w:ascii="Times New Roman" w:hAnsi="Times New Roman" w:eastAsia="宋体" w:cs="Times New Roman"/>
          <w:spacing w:val="-2"/>
        </w:rPr>
      </w:pPr>
      <w:r>
        <w:rPr>
          <w:rFonts w:hint="default" w:ascii="Times New Roman" w:hAnsi="Times New Roman" w:eastAsia="宋体" w:cs="Times New Roman"/>
          <w:spacing w:val="-2"/>
        </w:rPr>
        <w:t>2016年6月3日，无为县发展改革委对芜湖徽氏新材料科技有限公司锂电池胶带生产和精加工项目做出《锂电池胶带生产和精加工项目备案表》，文号为无发改备字[2016]51号。2016年7月12日，浙江环耀环境建设有限公司受芜湖徽氏新材料科技有限公司委托，承担《芜湖徽氏新材料科技有限公司锂电池胶带生产和精加工项目环境影响报告书》的编制工作，2016年12月该项目环境影响报告书编制完成，2016年12月</w:t>
      </w:r>
      <w:r>
        <w:rPr>
          <w:rFonts w:hint="eastAsia" w:cs="Times New Roman"/>
          <w:spacing w:val="-2"/>
          <w:lang w:val="en-US" w:eastAsia="zh-CN"/>
        </w:rPr>
        <w:t>12</w:t>
      </w:r>
      <w:r>
        <w:rPr>
          <w:rFonts w:hint="default" w:ascii="Times New Roman" w:hAnsi="Times New Roman" w:eastAsia="宋体" w:cs="Times New Roman"/>
          <w:spacing w:val="-2"/>
        </w:rPr>
        <w:t>日，</w:t>
      </w:r>
      <w:r>
        <w:rPr>
          <w:rFonts w:hint="eastAsia" w:cs="Times New Roman"/>
          <w:spacing w:val="-2"/>
          <w:lang w:eastAsia="zh-CN"/>
        </w:rPr>
        <w:t>原</w:t>
      </w:r>
      <w:r>
        <w:rPr>
          <w:rFonts w:hint="default" w:ascii="Times New Roman" w:hAnsi="Times New Roman" w:eastAsia="宋体" w:cs="Times New Roman"/>
          <w:spacing w:val="-2"/>
        </w:rPr>
        <w:t>无为县环境保护局对该项目环境影响报告书做出审批意见，文号为无环审[2016]117号。</w:t>
      </w:r>
    </w:p>
    <w:p>
      <w:pPr>
        <w:ind w:firstLine="472" w:firstLineChars="200"/>
        <w:rPr>
          <w:rFonts w:hint="default" w:ascii="Times New Roman" w:hAnsi="Times New Roman" w:eastAsia="宋体" w:cs="Times New Roman"/>
          <w:spacing w:val="-2"/>
          <w:lang w:val="en-US" w:eastAsia="zh-CN"/>
        </w:rPr>
      </w:pPr>
      <w:r>
        <w:rPr>
          <w:rFonts w:hint="eastAsia" w:ascii="Times New Roman" w:hAnsi="Times New Roman" w:eastAsia="宋体" w:cs="Times New Roman"/>
          <w:spacing w:val="-2"/>
          <w:lang w:val="en-US" w:eastAsia="zh-CN"/>
        </w:rPr>
        <w:t>2018年7月，</w:t>
      </w:r>
      <w:r>
        <w:rPr>
          <w:rFonts w:hint="default" w:ascii="Times New Roman" w:hAnsi="Times New Roman" w:eastAsia="宋体" w:cs="Times New Roman"/>
          <w:spacing w:val="-2"/>
        </w:rPr>
        <w:t>芜湖徽氏新材料科技有限公司</w:t>
      </w:r>
      <w:r>
        <w:rPr>
          <w:rFonts w:hint="eastAsia" w:ascii="Times New Roman" w:hAnsi="Times New Roman" w:eastAsia="宋体" w:cs="Times New Roman"/>
          <w:spacing w:val="-2"/>
          <w:lang w:val="en-US" w:eastAsia="zh-CN"/>
        </w:rPr>
        <w:t>建设第</w:t>
      </w:r>
      <w:r>
        <w:rPr>
          <w:rFonts w:hint="eastAsia" w:cs="Times New Roman"/>
          <w:spacing w:val="-2"/>
          <w:lang w:val="en-US" w:eastAsia="zh-CN"/>
        </w:rPr>
        <w:t>1</w:t>
      </w:r>
      <w:r>
        <w:rPr>
          <w:rFonts w:hint="eastAsia" w:ascii="Times New Roman" w:hAnsi="Times New Roman" w:eastAsia="宋体" w:cs="Times New Roman"/>
          <w:spacing w:val="-2"/>
          <w:lang w:val="en-US" w:eastAsia="zh-CN"/>
        </w:rPr>
        <w:t>、</w:t>
      </w:r>
      <w:r>
        <w:rPr>
          <w:rFonts w:hint="eastAsia" w:cs="Times New Roman"/>
          <w:spacing w:val="-2"/>
          <w:lang w:val="en-US" w:eastAsia="zh-CN"/>
        </w:rPr>
        <w:t>2</w:t>
      </w:r>
      <w:r>
        <w:rPr>
          <w:rFonts w:hint="eastAsia" w:ascii="Times New Roman" w:hAnsi="Times New Roman" w:eastAsia="宋体" w:cs="Times New Roman"/>
          <w:spacing w:val="-2"/>
          <w:lang w:val="en-US" w:eastAsia="zh-CN"/>
        </w:rPr>
        <w:t>条</w:t>
      </w:r>
      <w:r>
        <w:rPr>
          <w:rFonts w:hint="default" w:ascii="Times New Roman" w:hAnsi="Times New Roman" w:eastAsia="宋体" w:cs="Times New Roman"/>
          <w:spacing w:val="-2"/>
        </w:rPr>
        <w:t>胶带生产线，年产能为1200万平方米</w:t>
      </w:r>
      <w:r>
        <w:rPr>
          <w:rFonts w:hint="eastAsia" w:ascii="Times New Roman" w:hAnsi="Times New Roman" w:eastAsia="宋体" w:cs="Times New Roman"/>
          <w:spacing w:val="-2"/>
          <w:lang w:eastAsia="zh-CN"/>
        </w:rPr>
        <w:t>锂电池胶带，并于</w:t>
      </w:r>
      <w:r>
        <w:rPr>
          <w:rFonts w:hint="eastAsia" w:ascii="Times New Roman" w:hAnsi="Times New Roman" w:eastAsia="宋体" w:cs="Times New Roman"/>
          <w:spacing w:val="-2"/>
          <w:lang w:val="en-US" w:eastAsia="zh-CN"/>
        </w:rPr>
        <w:t>2018年8月4日完成第一阶段竣工环境保护验收工作</w:t>
      </w:r>
      <w:r>
        <w:rPr>
          <w:rFonts w:hint="eastAsia" w:cs="Times New Roman"/>
          <w:spacing w:val="-2"/>
          <w:lang w:val="en-US" w:eastAsia="zh-CN"/>
        </w:rPr>
        <w:t>；</w:t>
      </w:r>
      <w:r>
        <w:rPr>
          <w:rFonts w:hint="eastAsia" w:ascii="Times New Roman" w:hAnsi="Times New Roman" w:eastAsia="宋体" w:cs="Times New Roman"/>
          <w:spacing w:val="-2"/>
          <w:lang w:val="en-US" w:eastAsia="zh-CN"/>
        </w:rPr>
        <w:t>2022年5月，我公司建设第</w:t>
      </w:r>
      <w:r>
        <w:rPr>
          <w:rFonts w:hint="eastAsia" w:cs="Times New Roman"/>
          <w:spacing w:val="-2"/>
          <w:lang w:val="en-US" w:eastAsia="zh-CN"/>
        </w:rPr>
        <w:t>3</w:t>
      </w:r>
      <w:r>
        <w:rPr>
          <w:rFonts w:hint="eastAsia" w:ascii="Times New Roman" w:hAnsi="Times New Roman" w:eastAsia="宋体" w:cs="Times New Roman"/>
          <w:spacing w:val="-2"/>
          <w:lang w:val="en-US" w:eastAsia="zh-CN"/>
        </w:rPr>
        <w:t>条</w:t>
      </w:r>
      <w:r>
        <w:rPr>
          <w:rFonts w:hint="default" w:ascii="Times New Roman" w:hAnsi="Times New Roman" w:eastAsia="宋体" w:cs="Times New Roman"/>
          <w:spacing w:val="-2"/>
        </w:rPr>
        <w:t>胶带生产线，年产能为</w:t>
      </w:r>
      <w:r>
        <w:rPr>
          <w:rFonts w:hint="eastAsia" w:ascii="Times New Roman" w:hAnsi="Times New Roman" w:eastAsia="宋体" w:cs="Times New Roman"/>
          <w:spacing w:val="-2"/>
          <w:lang w:val="en-US" w:eastAsia="zh-CN"/>
        </w:rPr>
        <w:t>600</w:t>
      </w:r>
      <w:r>
        <w:rPr>
          <w:rFonts w:hint="default" w:ascii="Times New Roman" w:hAnsi="Times New Roman" w:eastAsia="宋体" w:cs="Times New Roman"/>
          <w:spacing w:val="-2"/>
        </w:rPr>
        <w:t>万平方米</w:t>
      </w:r>
      <w:r>
        <w:rPr>
          <w:rFonts w:hint="eastAsia" w:ascii="Times New Roman" w:hAnsi="Times New Roman" w:eastAsia="宋体" w:cs="Times New Roman"/>
          <w:spacing w:val="-2"/>
          <w:lang w:eastAsia="zh-CN"/>
        </w:rPr>
        <w:t>锂电池胶带，</w:t>
      </w:r>
      <w:r>
        <w:rPr>
          <w:rFonts w:hint="eastAsia" w:cs="Times New Roman"/>
          <w:spacing w:val="-2"/>
          <w:lang w:val="en-US" w:eastAsia="zh-CN"/>
        </w:rPr>
        <w:t>于2022年6月完成自主验收。后续我公司陆续建成第4、5、6条生产线，</w:t>
      </w:r>
      <w:r>
        <w:rPr>
          <w:rFonts w:hint="eastAsia" w:ascii="Times New Roman" w:hAnsi="Times New Roman" w:eastAsia="宋体" w:cs="Times New Roman"/>
          <w:spacing w:val="-2"/>
          <w:lang w:val="en-US" w:eastAsia="zh-CN"/>
        </w:rPr>
        <w:t>本次验收范围为第</w:t>
      </w:r>
      <w:r>
        <w:rPr>
          <w:rFonts w:hint="eastAsia" w:cs="Times New Roman"/>
          <w:spacing w:val="-2"/>
          <w:lang w:val="en-US" w:eastAsia="zh-CN"/>
        </w:rPr>
        <w:t>4、5、6</w:t>
      </w:r>
      <w:r>
        <w:rPr>
          <w:rFonts w:hint="eastAsia" w:ascii="Times New Roman" w:hAnsi="Times New Roman" w:eastAsia="宋体" w:cs="Times New Roman"/>
          <w:spacing w:val="-2"/>
          <w:lang w:val="en-US" w:eastAsia="zh-CN"/>
        </w:rPr>
        <w:t>条</w:t>
      </w:r>
      <w:r>
        <w:rPr>
          <w:rFonts w:hint="default" w:ascii="Times New Roman" w:hAnsi="Times New Roman" w:eastAsia="宋体" w:cs="Times New Roman"/>
          <w:spacing w:val="-2"/>
        </w:rPr>
        <w:t>胶带生产线</w:t>
      </w:r>
      <w:r>
        <w:rPr>
          <w:rFonts w:hint="eastAsia" w:ascii="Times New Roman" w:hAnsi="Times New Roman" w:eastAsia="宋体" w:cs="Times New Roman"/>
          <w:spacing w:val="-2"/>
          <w:lang w:val="en-US" w:eastAsia="zh-CN"/>
        </w:rPr>
        <w:t>的</w:t>
      </w:r>
      <w:r>
        <w:rPr>
          <w:rFonts w:hint="default" w:ascii="Times New Roman" w:hAnsi="Times New Roman" w:eastAsia="宋体" w:cs="Times New Roman"/>
          <w:spacing w:val="-2"/>
          <w:lang w:val="en-US" w:eastAsia="zh-CN"/>
        </w:rPr>
        <w:t>主体工程、环保工程及其</w:t>
      </w:r>
      <w:r>
        <w:rPr>
          <w:rFonts w:hint="default" w:ascii="Times New Roman" w:hAnsi="Times New Roman" w:eastAsia="宋体" w:cs="Times New Roman"/>
          <w:spacing w:val="-2"/>
        </w:rPr>
        <w:t>配套建设的公辅工程</w:t>
      </w:r>
      <w:r>
        <w:rPr>
          <w:rFonts w:hint="eastAsia" w:ascii="Times New Roman" w:hAnsi="Times New Roman" w:eastAsia="宋体" w:cs="Times New Roman"/>
          <w:spacing w:val="-2"/>
          <w:lang w:eastAsia="zh-CN"/>
        </w:rPr>
        <w:t>。</w:t>
      </w:r>
      <w:r>
        <w:rPr>
          <w:rFonts w:hint="eastAsia" w:cs="Times New Roman"/>
          <w:spacing w:val="-2"/>
          <w:lang w:val="en-US" w:eastAsia="zh-CN"/>
        </w:rPr>
        <w:t>目前</w:t>
      </w:r>
      <w:r>
        <w:rPr>
          <w:rFonts w:hint="default" w:ascii="Times New Roman" w:hAnsi="Times New Roman" w:eastAsia="宋体" w:cs="Times New Roman"/>
          <w:spacing w:val="-2"/>
        </w:rPr>
        <w:t>芜湖徽氏新材料科技有限公司</w:t>
      </w:r>
      <w:r>
        <w:rPr>
          <w:rFonts w:hint="eastAsia" w:cs="Times New Roman"/>
          <w:spacing w:val="-2"/>
          <w:lang w:val="en-US" w:eastAsia="zh-CN"/>
        </w:rPr>
        <w:t>已完成排污许可申报，排污许可编号：91340225MA2MWDR37W001W；厂区环境应急预案已完成修编。</w:t>
      </w:r>
    </w:p>
    <w:p>
      <w:pPr>
        <w:ind w:firstLine="472" w:firstLineChars="200"/>
        <w:rPr>
          <w:rFonts w:hint="default" w:ascii="Times New Roman" w:hAnsi="Times New Roman" w:eastAsia="宋体" w:cs="Times New Roman"/>
          <w:spacing w:val="-2"/>
        </w:rPr>
      </w:pPr>
      <w:r>
        <w:rPr>
          <w:rFonts w:hint="default" w:ascii="Times New Roman" w:hAnsi="Times New Roman" w:eastAsia="宋体" w:cs="Times New Roman"/>
          <w:spacing w:val="-2"/>
        </w:rPr>
        <w:t>根据《建设项目环境保护管理条例》（中华人民共和国国务院令第682号）中的相关要求及《建设项目竣工环境保护验收暂行办法》（国环规环评〔2017〕4号）的要求，</w:t>
      </w:r>
      <w:r>
        <w:rPr>
          <w:rFonts w:hint="default" w:ascii="Times New Roman" w:hAnsi="Times New Roman" w:eastAsia="宋体" w:cs="Times New Roman"/>
          <w:spacing w:val="-2"/>
          <w:lang w:eastAsia="zh-CN"/>
        </w:rPr>
        <w:t>我公司</w:t>
      </w:r>
      <w:r>
        <w:rPr>
          <w:rFonts w:hint="default" w:ascii="Times New Roman" w:hAnsi="Times New Roman" w:eastAsia="宋体" w:cs="Times New Roman"/>
          <w:spacing w:val="-2"/>
        </w:rPr>
        <w:t>于2022年</w:t>
      </w:r>
      <w:r>
        <w:rPr>
          <w:rFonts w:hint="eastAsia" w:cs="Times New Roman"/>
          <w:spacing w:val="-2"/>
          <w:lang w:val="en-US" w:eastAsia="zh-CN"/>
        </w:rPr>
        <w:t>11</w:t>
      </w:r>
      <w:r>
        <w:rPr>
          <w:rFonts w:hint="default" w:ascii="Times New Roman" w:hAnsi="Times New Roman" w:eastAsia="宋体" w:cs="Times New Roman"/>
          <w:spacing w:val="-2"/>
        </w:rPr>
        <w:t>月委托安徽工和环境监测有限责任公司</w:t>
      </w:r>
      <w:r>
        <w:rPr>
          <w:rFonts w:hint="eastAsia" w:ascii="Times New Roman" w:hAnsi="Times New Roman" w:eastAsia="宋体" w:cs="Times New Roman"/>
          <w:spacing w:val="-2"/>
          <w:lang w:val="en-US" w:eastAsia="zh-CN"/>
        </w:rPr>
        <w:t>根据竣工环境保护验收监测方案</w:t>
      </w:r>
      <w:r>
        <w:rPr>
          <w:rFonts w:hint="default" w:ascii="Times New Roman" w:hAnsi="Times New Roman" w:eastAsia="宋体" w:cs="Times New Roman"/>
          <w:spacing w:val="-2"/>
        </w:rPr>
        <w:t>对本项目开展检测工作。</w:t>
      </w:r>
    </w:p>
    <w:p>
      <w:pPr>
        <w:ind w:firstLine="472" w:firstLineChars="200"/>
        <w:rPr>
          <w:rFonts w:hint="eastAsia" w:ascii="Times New Roman" w:hAnsi="Times New Roman" w:eastAsia="宋体" w:cs="Times New Roman"/>
          <w:spacing w:val="-2"/>
        </w:rPr>
      </w:pPr>
      <w:r>
        <w:rPr>
          <w:rFonts w:hint="default" w:ascii="Times New Roman" w:hAnsi="Times New Roman" w:eastAsia="宋体" w:cs="Times New Roman"/>
          <w:spacing w:val="-2"/>
        </w:rPr>
        <w:t>本次竣工环境保护验收工作分为启动、现场检查、编制监测方案、实施监测和核查、编制监测报告五个阶段，具体工作程序见图1</w:t>
      </w:r>
      <w:r>
        <w:rPr>
          <w:rFonts w:hint="eastAsia" w:ascii="Times New Roman" w:hAnsi="Times New Roman" w:eastAsia="宋体" w:cs="Times New Roman"/>
          <w:spacing w:val="-2"/>
          <w:lang w:val="en-US" w:eastAsia="zh-CN"/>
        </w:rPr>
        <w:t>.1</w:t>
      </w:r>
      <w:r>
        <w:rPr>
          <w:rFonts w:hint="default" w:ascii="Times New Roman" w:hAnsi="Times New Roman" w:eastAsia="宋体" w:cs="Times New Roman"/>
          <w:spacing w:val="-2"/>
        </w:rPr>
        <w:t>-1。</w:t>
      </w:r>
    </w:p>
    <w:p>
      <w:pPr>
        <w:adjustRightInd w:val="0"/>
        <w:snapToGrid w:val="0"/>
        <w:spacing w:line="240" w:lineRule="auto"/>
        <w:jc w:val="center"/>
        <w:rPr>
          <w:color w:val="FF0000"/>
        </w:rPr>
      </w:pPr>
      <w:r>
        <w:rPr>
          <w:color w:val="000000"/>
          <w:szCs w:val="21"/>
        </w:rPr>
        <w:drawing>
          <wp:inline distT="0" distB="0" distL="114300" distR="114300">
            <wp:extent cx="5278755" cy="4664075"/>
            <wp:effectExtent l="0" t="0" r="4445" b="9525"/>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28"/>
                    <a:stretch>
                      <a:fillRect/>
                    </a:stretch>
                  </pic:blipFill>
                  <pic:spPr>
                    <a:xfrm>
                      <a:off x="0" y="0"/>
                      <a:ext cx="5278755" cy="4664075"/>
                    </a:xfrm>
                    <a:prstGeom prst="rect">
                      <a:avLst/>
                    </a:prstGeom>
                    <a:noFill/>
                    <a:ln>
                      <a:noFill/>
                    </a:ln>
                  </pic:spPr>
                </pic:pic>
              </a:graphicData>
            </a:graphic>
          </wp:inline>
        </w:drawing>
      </w:r>
    </w:p>
    <w:p>
      <w:pPr>
        <w:jc w:val="center"/>
        <w:rPr>
          <w:rFonts w:hint="default" w:ascii="Times New Roman" w:hAnsi="Times New Roman" w:eastAsia="黑体" w:cs="Times New Roman"/>
          <w:b w:val="0"/>
          <w:bCs w:val="0"/>
          <w:sz w:val="21"/>
          <w:szCs w:val="21"/>
          <w:lang w:val="en-US" w:eastAsia="zh-CN"/>
        </w:rPr>
      </w:pPr>
      <w:r>
        <w:rPr>
          <w:rFonts w:hint="default" w:ascii="Times New Roman" w:hAnsi="Times New Roman" w:eastAsia="黑体" w:cs="Times New Roman"/>
          <w:b w:val="0"/>
          <w:bCs w:val="0"/>
          <w:sz w:val="21"/>
          <w:szCs w:val="21"/>
          <w:lang w:val="en-US" w:eastAsia="zh-CN"/>
        </w:rPr>
        <w:t>图1.1-1 建设项目竣工环境保护验收程序流程</w:t>
      </w:r>
    </w:p>
    <w:p>
      <w:pPr>
        <w:ind w:firstLine="472" w:firstLineChars="200"/>
        <w:rPr>
          <w:rFonts w:hint="default" w:ascii="Times New Roman" w:hAnsi="Times New Roman" w:eastAsia="宋体" w:cs="Times New Roman"/>
          <w:spacing w:val="-2"/>
          <w:lang w:eastAsia="zh-CN"/>
        </w:rPr>
      </w:pPr>
      <w:r>
        <w:rPr>
          <w:rFonts w:hint="default" w:ascii="Times New Roman" w:hAnsi="Times New Roman" w:eastAsia="宋体" w:cs="Times New Roman"/>
          <w:spacing w:val="-2"/>
        </w:rPr>
        <w:t>202</w:t>
      </w:r>
      <w:r>
        <w:rPr>
          <w:rFonts w:hint="default" w:ascii="Times New Roman" w:hAnsi="Times New Roman" w:eastAsia="宋体" w:cs="Times New Roman"/>
          <w:color w:val="auto"/>
          <w:spacing w:val="-2"/>
        </w:rPr>
        <w:t>2年</w:t>
      </w:r>
      <w:r>
        <w:rPr>
          <w:rFonts w:hint="eastAsia" w:cs="Times New Roman"/>
          <w:color w:val="auto"/>
          <w:spacing w:val="-2"/>
          <w:lang w:val="en-US" w:eastAsia="zh-CN"/>
        </w:rPr>
        <w:t>12</w:t>
      </w:r>
      <w:r>
        <w:rPr>
          <w:rFonts w:hint="default" w:ascii="Times New Roman" w:hAnsi="Times New Roman" w:eastAsia="宋体" w:cs="Times New Roman"/>
          <w:color w:val="auto"/>
          <w:spacing w:val="-2"/>
        </w:rPr>
        <w:t>月</w:t>
      </w:r>
      <w:r>
        <w:rPr>
          <w:rFonts w:hint="eastAsia" w:cs="Times New Roman"/>
          <w:color w:val="auto"/>
          <w:spacing w:val="-2"/>
          <w:lang w:val="en-US" w:eastAsia="zh-CN"/>
        </w:rPr>
        <w:t>13</w:t>
      </w:r>
      <w:r>
        <w:rPr>
          <w:rFonts w:hint="default" w:ascii="Times New Roman" w:hAnsi="Times New Roman" w:eastAsia="宋体" w:cs="Times New Roman"/>
          <w:color w:val="auto"/>
          <w:spacing w:val="-2"/>
        </w:rPr>
        <w:t>日</w:t>
      </w:r>
      <w:r>
        <w:rPr>
          <w:rFonts w:hint="default" w:ascii="Times New Roman" w:hAnsi="Times New Roman" w:eastAsia="宋体" w:cs="Times New Roman"/>
          <w:color w:val="auto"/>
          <w:spacing w:val="-2"/>
          <w:lang w:val="en-US" w:eastAsia="zh-CN"/>
        </w:rPr>
        <w:t>至</w:t>
      </w:r>
      <w:r>
        <w:rPr>
          <w:rFonts w:hint="eastAsia" w:cs="Times New Roman"/>
          <w:color w:val="auto"/>
          <w:spacing w:val="-2"/>
          <w:lang w:val="en-US" w:eastAsia="zh-CN"/>
        </w:rPr>
        <w:t>12</w:t>
      </w:r>
      <w:r>
        <w:rPr>
          <w:rFonts w:hint="default" w:ascii="Times New Roman" w:hAnsi="Times New Roman" w:eastAsia="宋体" w:cs="Times New Roman"/>
          <w:color w:val="auto"/>
          <w:spacing w:val="-2"/>
        </w:rPr>
        <w:t>月1</w:t>
      </w:r>
      <w:r>
        <w:rPr>
          <w:rFonts w:hint="eastAsia" w:cs="Times New Roman"/>
          <w:color w:val="auto"/>
          <w:spacing w:val="-2"/>
          <w:lang w:val="en-US" w:eastAsia="zh-CN"/>
        </w:rPr>
        <w:t>4</w:t>
      </w:r>
      <w:r>
        <w:rPr>
          <w:rFonts w:hint="default" w:ascii="Times New Roman" w:hAnsi="Times New Roman" w:eastAsia="宋体" w:cs="Times New Roman"/>
          <w:color w:val="auto"/>
          <w:spacing w:val="-2"/>
        </w:rPr>
        <w:t>日，</w:t>
      </w:r>
      <w:r>
        <w:rPr>
          <w:rFonts w:hint="default" w:ascii="Times New Roman" w:hAnsi="Times New Roman" w:eastAsia="宋体" w:cs="Times New Roman"/>
          <w:color w:val="auto"/>
          <w:spacing w:val="-2"/>
          <w:lang w:eastAsia="zh-CN"/>
        </w:rPr>
        <w:t>我公</w:t>
      </w:r>
      <w:r>
        <w:rPr>
          <w:rFonts w:hint="default" w:ascii="Times New Roman" w:hAnsi="Times New Roman" w:eastAsia="宋体" w:cs="Times New Roman"/>
          <w:spacing w:val="-2"/>
          <w:lang w:eastAsia="zh-CN"/>
        </w:rPr>
        <w:t>司</w:t>
      </w:r>
      <w:r>
        <w:rPr>
          <w:rFonts w:hint="default" w:ascii="Times New Roman" w:hAnsi="Times New Roman" w:eastAsia="宋体" w:cs="Times New Roman"/>
          <w:spacing w:val="-2"/>
          <w:lang w:val="zh-CN"/>
        </w:rPr>
        <w:t>将本次验收项目</w:t>
      </w:r>
      <w:r>
        <w:rPr>
          <w:rFonts w:hint="default" w:ascii="Times New Roman" w:hAnsi="Times New Roman" w:eastAsia="宋体" w:cs="Times New Roman"/>
          <w:spacing w:val="-2"/>
        </w:rPr>
        <w:t>生产工况调整至稳定状态，安徽工和环境监测有限责任公司</w:t>
      </w:r>
      <w:r>
        <w:rPr>
          <w:rFonts w:hint="default" w:ascii="Times New Roman" w:hAnsi="Times New Roman" w:eastAsia="宋体" w:cs="Times New Roman"/>
          <w:spacing w:val="-2"/>
          <w:lang w:val="en-US" w:eastAsia="zh-CN"/>
        </w:rPr>
        <w:t>根据竣工环境保护验收监测方案对本项目进行检测。</w:t>
      </w:r>
      <w:r>
        <w:rPr>
          <w:rFonts w:hint="default" w:ascii="Times New Roman" w:hAnsi="Times New Roman" w:eastAsia="宋体" w:cs="Times New Roman"/>
          <w:spacing w:val="-2"/>
        </w:rPr>
        <w:t>根据</w:t>
      </w:r>
      <w:r>
        <w:rPr>
          <w:rFonts w:hint="default" w:ascii="Times New Roman" w:hAnsi="Times New Roman" w:eastAsia="宋体" w:cs="Times New Roman"/>
          <w:spacing w:val="-2"/>
          <w:lang w:eastAsia="zh-CN"/>
        </w:rPr>
        <w:t>我公司</w:t>
      </w:r>
      <w:r>
        <w:rPr>
          <w:rFonts w:hint="default" w:ascii="Times New Roman" w:hAnsi="Times New Roman" w:eastAsia="宋体" w:cs="Times New Roman"/>
          <w:spacing w:val="-2"/>
        </w:rPr>
        <w:t>出具的验收监测期间生产工况表，本次验收项目验收监测期间生产工况稳定，环保设施正常运行</w:t>
      </w:r>
      <w:r>
        <w:rPr>
          <w:rFonts w:hint="eastAsia" w:ascii="Times New Roman" w:hAnsi="Times New Roman" w:eastAsia="宋体" w:cs="Times New Roman"/>
          <w:spacing w:val="-2"/>
          <w:lang w:eastAsia="zh-CN"/>
        </w:rPr>
        <w:t>，</w:t>
      </w:r>
      <w:r>
        <w:rPr>
          <w:rFonts w:hint="eastAsia" w:ascii="Times New Roman" w:hAnsi="Times New Roman" w:eastAsia="宋体" w:cs="Times New Roman"/>
          <w:spacing w:val="-2"/>
          <w:lang w:val="en-US" w:eastAsia="zh-CN"/>
        </w:rPr>
        <w:t>符合验收工况要求。</w:t>
      </w:r>
      <w:r>
        <w:rPr>
          <w:rFonts w:hint="default" w:ascii="Times New Roman" w:hAnsi="Times New Roman" w:eastAsia="宋体" w:cs="Times New Roman"/>
          <w:spacing w:val="-2"/>
        </w:rPr>
        <w:t>20</w:t>
      </w:r>
      <w:r>
        <w:rPr>
          <w:rFonts w:hint="eastAsia" w:ascii="Times New Roman" w:hAnsi="Times New Roman" w:eastAsia="宋体" w:cs="Times New Roman"/>
          <w:spacing w:val="-2"/>
        </w:rPr>
        <w:t>2</w:t>
      </w:r>
      <w:r>
        <w:rPr>
          <w:rFonts w:hint="eastAsia" w:cs="Times New Roman"/>
          <w:spacing w:val="-2"/>
          <w:lang w:val="en-US" w:eastAsia="zh-CN"/>
        </w:rPr>
        <w:t>3</w:t>
      </w:r>
      <w:r>
        <w:rPr>
          <w:rFonts w:hint="default" w:ascii="Times New Roman" w:hAnsi="Times New Roman" w:eastAsia="宋体" w:cs="Times New Roman"/>
          <w:spacing w:val="-2"/>
        </w:rPr>
        <w:t>年</w:t>
      </w:r>
      <w:r>
        <w:rPr>
          <w:rFonts w:hint="eastAsia" w:cs="Times New Roman"/>
          <w:spacing w:val="-2"/>
          <w:lang w:val="en-US" w:eastAsia="zh-CN"/>
        </w:rPr>
        <w:t>5</w:t>
      </w:r>
      <w:r>
        <w:rPr>
          <w:rFonts w:hint="default" w:ascii="Times New Roman" w:hAnsi="Times New Roman" w:eastAsia="宋体" w:cs="Times New Roman"/>
          <w:spacing w:val="-2"/>
        </w:rPr>
        <w:t>月，</w:t>
      </w:r>
      <w:r>
        <w:rPr>
          <w:rFonts w:hint="eastAsia" w:ascii="Times New Roman" w:hAnsi="Times New Roman" w:eastAsia="宋体" w:cs="Times New Roman"/>
          <w:spacing w:val="-2"/>
          <w:lang w:eastAsia="zh-CN"/>
        </w:rPr>
        <w:t>我公司</w:t>
      </w:r>
      <w:r>
        <w:rPr>
          <w:rFonts w:hint="default" w:ascii="Times New Roman" w:hAnsi="Times New Roman" w:eastAsia="宋体" w:cs="Times New Roman"/>
          <w:spacing w:val="-2"/>
        </w:rPr>
        <w:t>对本项目调查和</w:t>
      </w:r>
      <w:r>
        <w:rPr>
          <w:rFonts w:hint="eastAsia" w:ascii="Times New Roman" w:hAnsi="Times New Roman" w:eastAsia="宋体" w:cs="Times New Roman"/>
          <w:spacing w:val="-2"/>
          <w:lang w:val="en-US" w:eastAsia="zh-CN"/>
        </w:rPr>
        <w:t>检测</w:t>
      </w:r>
      <w:r>
        <w:rPr>
          <w:rFonts w:hint="default" w:ascii="Times New Roman" w:hAnsi="Times New Roman" w:eastAsia="宋体" w:cs="Times New Roman"/>
          <w:spacing w:val="-2"/>
        </w:rPr>
        <w:t>的结果进行了整理，编制完成了</w:t>
      </w:r>
      <w:r>
        <w:rPr>
          <w:rFonts w:hint="default" w:ascii="Times New Roman" w:hAnsi="Times New Roman" w:eastAsia="宋体" w:cs="Times New Roman"/>
          <w:spacing w:val="-2"/>
          <w:lang w:eastAsia="zh-CN"/>
        </w:rPr>
        <w:t>《</w:t>
      </w:r>
      <w:r>
        <w:rPr>
          <w:rFonts w:hint="eastAsia" w:ascii="Times New Roman" w:hAnsi="Times New Roman" w:eastAsia="宋体" w:cs="Times New Roman"/>
          <w:spacing w:val="-2"/>
          <w:lang w:val="en-US" w:eastAsia="zh-CN"/>
        </w:rPr>
        <w:t>锂电池胶带生产和精加工项目阶段性</w:t>
      </w:r>
      <w:r>
        <w:rPr>
          <w:rFonts w:hint="eastAsia" w:ascii="Times New Roman" w:hAnsi="Times New Roman" w:eastAsia="宋体" w:cs="Times New Roman"/>
          <w:spacing w:val="-2"/>
          <w:lang w:eastAsia="zh-CN"/>
        </w:rPr>
        <w:t>竣工环境保护验收监测报告</w:t>
      </w:r>
      <w:r>
        <w:rPr>
          <w:rFonts w:hint="default" w:ascii="Times New Roman" w:hAnsi="Times New Roman" w:eastAsia="宋体" w:cs="Times New Roman"/>
          <w:spacing w:val="-2"/>
          <w:lang w:eastAsia="zh-CN"/>
        </w:rPr>
        <w:t>》。</w:t>
      </w:r>
    </w:p>
    <w:p>
      <w:pPr>
        <w:rPr>
          <w:sz w:val="36"/>
          <w:szCs w:val="36"/>
        </w:rPr>
      </w:pPr>
      <w:bookmarkStart w:id="4" w:name="_Toc25937"/>
      <w:bookmarkStart w:id="5" w:name="_Toc5533"/>
      <w:bookmarkStart w:id="6" w:name="_Toc10292"/>
      <w:r>
        <w:rPr>
          <w:sz w:val="36"/>
          <w:szCs w:val="36"/>
        </w:rPr>
        <w:br w:type="page"/>
      </w:r>
    </w:p>
    <w:p>
      <w:pPr>
        <w:pStyle w:val="5"/>
        <w:keepNext/>
        <w:keepLines/>
        <w:pageBreakBefore w:val="0"/>
        <w:widowControl w:val="0"/>
        <w:kinsoku/>
        <w:wordWrap/>
        <w:overflowPunct/>
        <w:topLinePunct w:val="0"/>
        <w:autoSpaceDE/>
        <w:autoSpaceDN/>
        <w:bidi w:val="0"/>
        <w:adjustRightInd/>
        <w:snapToGrid/>
        <w:spacing w:before="120" w:beforeLines="0" w:after="120" w:afterLines="0"/>
        <w:textAlignment w:val="auto"/>
        <w:rPr>
          <w:sz w:val="36"/>
          <w:szCs w:val="36"/>
        </w:rPr>
      </w:pPr>
      <w:bookmarkStart w:id="7" w:name="_Toc2166"/>
      <w:r>
        <w:rPr>
          <w:sz w:val="36"/>
          <w:szCs w:val="36"/>
        </w:rPr>
        <w:t>2验收依据</w:t>
      </w:r>
      <w:bookmarkEnd w:id="4"/>
      <w:bookmarkEnd w:id="5"/>
      <w:bookmarkEnd w:id="6"/>
      <w:bookmarkEnd w:id="7"/>
    </w:p>
    <w:p>
      <w:pPr>
        <w:pStyle w:val="6"/>
        <w:keepNext/>
        <w:keepLines w:val="0"/>
        <w:pageBreakBefore w:val="0"/>
        <w:widowControl w:val="0"/>
        <w:kinsoku/>
        <w:wordWrap/>
        <w:overflowPunct/>
        <w:topLinePunct w:val="0"/>
        <w:autoSpaceDE/>
        <w:autoSpaceDN/>
        <w:bidi w:val="0"/>
        <w:adjustRightInd/>
        <w:snapToGrid/>
        <w:spacing w:beforeLines="0" w:afterLines="0"/>
        <w:textAlignment w:val="auto"/>
        <w:rPr>
          <w:color w:val="auto"/>
          <w:sz w:val="32"/>
          <w:szCs w:val="32"/>
        </w:rPr>
      </w:pPr>
      <w:bookmarkStart w:id="8" w:name="_Toc23904"/>
      <w:bookmarkStart w:id="9" w:name="_Toc16066"/>
      <w:bookmarkStart w:id="10" w:name="_Toc27286"/>
      <w:bookmarkStart w:id="11" w:name="_Toc21268"/>
      <w:bookmarkStart w:id="12" w:name="_Toc27530"/>
      <w:r>
        <w:rPr>
          <w:color w:val="auto"/>
          <w:sz w:val="32"/>
          <w:szCs w:val="32"/>
        </w:rPr>
        <w:t>2.1</w:t>
      </w:r>
      <w:bookmarkEnd w:id="8"/>
      <w:bookmarkEnd w:id="9"/>
      <w:r>
        <w:rPr>
          <w:rFonts w:hint="eastAsia"/>
          <w:color w:val="auto"/>
          <w:sz w:val="32"/>
          <w:szCs w:val="32"/>
        </w:rPr>
        <w:t>建设项目环境保护相关法律、法规和规章制度</w:t>
      </w:r>
      <w:bookmarkEnd w:id="10"/>
      <w:bookmarkEnd w:id="11"/>
      <w:bookmarkEnd w:id="12"/>
    </w:p>
    <w:p>
      <w:pPr>
        <w:spacing w:line="360" w:lineRule="auto"/>
        <w:ind w:firstLine="480" w:firstLineChars="200"/>
      </w:pPr>
      <w:r>
        <w:t>（1）《中华人民共和国环境保护法》（2015年1月1日</w:t>
      </w:r>
      <w:r>
        <w:rPr>
          <w:rFonts w:hint="eastAsia"/>
        </w:rPr>
        <w:t>实施</w:t>
      </w:r>
      <w:r>
        <w:t>）</w:t>
      </w:r>
      <w:r>
        <w:rPr>
          <w:rFonts w:hint="eastAsia"/>
        </w:rPr>
        <w:t>；</w:t>
      </w:r>
    </w:p>
    <w:p>
      <w:pPr>
        <w:spacing w:line="360" w:lineRule="auto"/>
        <w:ind w:firstLine="480" w:firstLineChars="200"/>
      </w:pPr>
      <w:r>
        <w:t>（2）《中华人民共和国环境影响评价法》（201</w:t>
      </w:r>
      <w:r>
        <w:rPr>
          <w:rFonts w:hint="eastAsia"/>
        </w:rPr>
        <w:t>8</w:t>
      </w:r>
      <w:r>
        <w:t>年</w:t>
      </w:r>
      <w:r>
        <w:rPr>
          <w:rFonts w:hint="eastAsia"/>
        </w:rPr>
        <w:t>12</w:t>
      </w:r>
      <w:r>
        <w:t>月</w:t>
      </w:r>
      <w:r>
        <w:rPr>
          <w:rFonts w:hint="eastAsia"/>
        </w:rPr>
        <w:t>29</w:t>
      </w:r>
      <w:r>
        <w:t>日修订并施行）</w:t>
      </w:r>
      <w:r>
        <w:rPr>
          <w:rFonts w:hint="eastAsia"/>
        </w:rPr>
        <w:t>；</w:t>
      </w:r>
    </w:p>
    <w:p>
      <w:pPr>
        <w:spacing w:line="360" w:lineRule="auto"/>
        <w:ind w:firstLine="480" w:firstLineChars="200"/>
      </w:pPr>
      <w:r>
        <w:t>（3）《中华人民共和国环境噪声污染防治法》（</w:t>
      </w:r>
      <w:r>
        <w:rPr>
          <w:rFonts w:hint="eastAsia"/>
        </w:rPr>
        <w:t>20</w:t>
      </w:r>
      <w:r>
        <w:rPr>
          <w:rFonts w:hint="eastAsia"/>
          <w:lang w:val="en-US" w:eastAsia="zh-CN"/>
        </w:rPr>
        <w:t>22</w:t>
      </w:r>
      <w:r>
        <w:t>年</w:t>
      </w:r>
      <w:r>
        <w:rPr>
          <w:rFonts w:hint="eastAsia"/>
          <w:lang w:val="en-US" w:eastAsia="zh-CN"/>
        </w:rPr>
        <w:t>6</w:t>
      </w:r>
      <w:r>
        <w:t>月</w:t>
      </w:r>
      <w:r>
        <w:rPr>
          <w:rFonts w:hint="eastAsia"/>
          <w:lang w:val="en-US" w:eastAsia="zh-CN"/>
        </w:rPr>
        <w:t>5</w:t>
      </w:r>
      <w:r>
        <w:t>日修订并</w:t>
      </w:r>
      <w:r>
        <w:rPr>
          <w:rFonts w:hint="eastAsia"/>
          <w:lang w:eastAsia="zh-CN"/>
        </w:rPr>
        <w:t>实行</w:t>
      </w:r>
      <w:r>
        <w:t>）</w:t>
      </w:r>
      <w:r>
        <w:rPr>
          <w:rFonts w:hint="eastAsia"/>
        </w:rPr>
        <w:t>；</w:t>
      </w:r>
    </w:p>
    <w:p>
      <w:pPr>
        <w:spacing w:line="360" w:lineRule="auto"/>
        <w:ind w:firstLine="480" w:firstLineChars="200"/>
      </w:pPr>
      <w:r>
        <w:t>（4）《中华人民共和国水污染防治法》（20</w:t>
      </w:r>
      <w:r>
        <w:rPr>
          <w:rFonts w:hint="eastAsia"/>
        </w:rPr>
        <w:t>1</w:t>
      </w:r>
      <w:r>
        <w:t>8年</w:t>
      </w:r>
      <w:r>
        <w:rPr>
          <w:rFonts w:hint="eastAsia"/>
        </w:rPr>
        <w:t>1</w:t>
      </w:r>
      <w:r>
        <w:t>月1日</w:t>
      </w:r>
      <w:r>
        <w:rPr>
          <w:rFonts w:hint="eastAsia"/>
        </w:rPr>
        <w:t>实行</w:t>
      </w:r>
      <w:r>
        <w:t>）</w:t>
      </w:r>
      <w:r>
        <w:rPr>
          <w:rFonts w:hint="eastAsia"/>
        </w:rPr>
        <w:t>；</w:t>
      </w:r>
    </w:p>
    <w:p>
      <w:pPr>
        <w:spacing w:line="360" w:lineRule="auto"/>
        <w:ind w:firstLine="480" w:firstLineChars="200"/>
      </w:pPr>
      <w:r>
        <w:t>（5）《中华人民共和国大气污染防治法》（201</w:t>
      </w:r>
      <w:r>
        <w:rPr>
          <w:rFonts w:hint="eastAsia"/>
        </w:rPr>
        <w:t>8</w:t>
      </w:r>
      <w:r>
        <w:t>年1</w:t>
      </w:r>
      <w:r>
        <w:rPr>
          <w:rFonts w:hint="eastAsia"/>
        </w:rPr>
        <w:t>0</w:t>
      </w:r>
      <w:r>
        <w:t>月</w:t>
      </w:r>
      <w:r>
        <w:rPr>
          <w:rFonts w:hint="eastAsia"/>
        </w:rPr>
        <w:t>26</w:t>
      </w:r>
      <w:r>
        <w:t>日修订并施行）</w:t>
      </w:r>
      <w:r>
        <w:rPr>
          <w:rFonts w:hint="eastAsia"/>
        </w:rPr>
        <w:t>；</w:t>
      </w:r>
    </w:p>
    <w:p>
      <w:pPr>
        <w:spacing w:line="360" w:lineRule="auto"/>
        <w:ind w:firstLine="480" w:firstLineChars="200"/>
      </w:pPr>
      <w:r>
        <w:t>（6）《中华人民共和国固体废物污染环境防治法》（20</w:t>
      </w:r>
      <w:r>
        <w:rPr>
          <w:rFonts w:hint="eastAsia"/>
        </w:rPr>
        <w:t>20</w:t>
      </w:r>
      <w:r>
        <w:t>年</w:t>
      </w:r>
      <w:r>
        <w:rPr>
          <w:rFonts w:hint="eastAsia"/>
        </w:rPr>
        <w:t>9</w:t>
      </w:r>
      <w:r>
        <w:t>月</w:t>
      </w:r>
      <w:r>
        <w:rPr>
          <w:rFonts w:hint="eastAsia"/>
        </w:rPr>
        <w:t>1</w:t>
      </w:r>
      <w:r>
        <w:t>日</w:t>
      </w:r>
      <w:r>
        <w:rPr>
          <w:rFonts w:hint="eastAsia"/>
        </w:rPr>
        <w:t>施行</w:t>
      </w:r>
      <w:r>
        <w:t>）</w:t>
      </w:r>
      <w:r>
        <w:rPr>
          <w:rFonts w:hint="eastAsia"/>
        </w:rPr>
        <w:t>；</w:t>
      </w:r>
    </w:p>
    <w:p>
      <w:pPr>
        <w:spacing w:line="360" w:lineRule="auto"/>
        <w:ind w:firstLine="480" w:firstLineChars="200"/>
        <w:rPr>
          <w:rFonts w:hint="eastAsia"/>
        </w:rPr>
      </w:pPr>
      <w:r>
        <w:t>（</w:t>
      </w:r>
      <w:r>
        <w:rPr>
          <w:rFonts w:hint="eastAsia"/>
          <w:lang w:val="en-US" w:eastAsia="zh-CN"/>
        </w:rPr>
        <w:t>7</w:t>
      </w:r>
      <w:r>
        <w:t>）</w:t>
      </w:r>
      <w:r>
        <w:rPr>
          <w:rFonts w:hint="eastAsia"/>
        </w:rPr>
        <w:t>《建设项目环境保护管理条例》，国务院令第682号，2017年10月1日实施；</w:t>
      </w:r>
    </w:p>
    <w:p>
      <w:pPr>
        <w:spacing w:line="360" w:lineRule="auto"/>
        <w:ind w:firstLine="480" w:firstLineChars="200"/>
        <w:rPr>
          <w:rFonts w:hint="eastAsia"/>
        </w:rPr>
      </w:pPr>
      <w:r>
        <w:rPr>
          <w:rFonts w:hint="eastAsia"/>
        </w:rPr>
        <w:t>（</w:t>
      </w:r>
      <w:r>
        <w:rPr>
          <w:rFonts w:hint="eastAsia"/>
          <w:lang w:val="en-US" w:eastAsia="zh-CN"/>
        </w:rPr>
        <w:t>8</w:t>
      </w:r>
      <w:r>
        <w:rPr>
          <w:rFonts w:hint="eastAsia"/>
        </w:rPr>
        <w:t>）《建设项目竣工环境保护验收暂行办法》（环境保护部国环规环评〔2017〕4号，2017年11月22日起实施）；</w:t>
      </w:r>
    </w:p>
    <w:p>
      <w:pPr>
        <w:spacing w:line="360" w:lineRule="auto"/>
        <w:ind w:firstLine="480" w:firstLineChars="200"/>
        <w:rPr>
          <w:rFonts w:hint="eastAsia"/>
        </w:rPr>
      </w:pPr>
      <w:r>
        <w:rPr>
          <w:rFonts w:hint="eastAsia"/>
        </w:rPr>
        <w:t>（</w:t>
      </w:r>
      <w:r>
        <w:rPr>
          <w:rFonts w:hint="eastAsia"/>
          <w:lang w:val="en-US" w:eastAsia="zh-CN"/>
        </w:rPr>
        <w:t>9</w:t>
      </w:r>
      <w:r>
        <w:rPr>
          <w:rFonts w:hint="eastAsia"/>
        </w:rPr>
        <w:t>）《安徽省环境保护条例》（安徽省人大常委会，2018年1月1日施行）；</w:t>
      </w:r>
    </w:p>
    <w:p>
      <w:pPr>
        <w:spacing w:line="360" w:lineRule="auto"/>
        <w:ind w:firstLine="480" w:firstLineChars="200"/>
        <w:rPr>
          <w:rFonts w:hint="eastAsia"/>
        </w:rPr>
      </w:pPr>
      <w:r>
        <w:rPr>
          <w:rFonts w:hint="eastAsia"/>
        </w:rPr>
        <w:t>（</w:t>
      </w:r>
      <w:r>
        <w:rPr>
          <w:rFonts w:hint="eastAsia"/>
          <w:lang w:val="en-US" w:eastAsia="zh-CN"/>
        </w:rPr>
        <w:t>10</w:t>
      </w:r>
      <w:r>
        <w:rPr>
          <w:rFonts w:hint="eastAsia"/>
        </w:rPr>
        <w:t>）《国家危险废物名录（2021年版）》（生态环境部，2021年1月1日施行）；</w:t>
      </w:r>
    </w:p>
    <w:p>
      <w:pPr>
        <w:spacing w:line="360" w:lineRule="auto"/>
        <w:ind w:firstLine="480" w:firstLineChars="200"/>
        <w:rPr>
          <w:rFonts w:hint="eastAsia"/>
        </w:rPr>
      </w:pPr>
      <w:r>
        <w:rPr>
          <w:rFonts w:hint="eastAsia"/>
        </w:rPr>
        <w:t>（1</w:t>
      </w:r>
      <w:r>
        <w:rPr>
          <w:rFonts w:hint="eastAsia"/>
          <w:lang w:val="en-US" w:eastAsia="zh-CN"/>
        </w:rPr>
        <w:t>1</w:t>
      </w:r>
      <w:r>
        <w:rPr>
          <w:rFonts w:hint="eastAsia"/>
        </w:rPr>
        <w:t>）《一般工业固体废物贮存和填埋污染控制标准》（GB18599-2020）》（生态环境部、国家市场监督管理总局，2021年7月1日实施）；</w:t>
      </w:r>
    </w:p>
    <w:p>
      <w:pPr>
        <w:spacing w:line="360" w:lineRule="auto"/>
        <w:ind w:firstLine="480" w:firstLineChars="200"/>
        <w:rPr>
          <w:rFonts w:hint="eastAsia"/>
          <w:lang w:eastAsia="zh-CN"/>
        </w:rPr>
      </w:pPr>
      <w:r>
        <w:rPr>
          <w:rFonts w:hint="eastAsia"/>
        </w:rPr>
        <w:t>（1</w:t>
      </w:r>
      <w:r>
        <w:rPr>
          <w:rFonts w:hint="eastAsia"/>
          <w:lang w:val="en-US" w:eastAsia="zh-CN"/>
        </w:rPr>
        <w:t>2</w:t>
      </w:r>
      <w:r>
        <w:rPr>
          <w:rFonts w:hint="eastAsia"/>
        </w:rPr>
        <w:t>）《安徽省大气污染防治条例》（安徽省人民代表大会公告（第二号），2015年3月1日施行）</w:t>
      </w:r>
      <w:r>
        <w:rPr>
          <w:rFonts w:hint="eastAsia"/>
          <w:lang w:eastAsia="zh-CN"/>
        </w:rPr>
        <w:t>。</w:t>
      </w:r>
    </w:p>
    <w:p>
      <w:pPr>
        <w:pStyle w:val="6"/>
        <w:keepNext/>
        <w:keepLines w:val="0"/>
        <w:pageBreakBefore w:val="0"/>
        <w:widowControl w:val="0"/>
        <w:kinsoku/>
        <w:wordWrap/>
        <w:overflowPunct/>
        <w:topLinePunct w:val="0"/>
        <w:autoSpaceDE/>
        <w:autoSpaceDN/>
        <w:bidi w:val="0"/>
        <w:adjustRightInd/>
        <w:snapToGrid/>
        <w:spacing w:beforeLines="0" w:afterLines="0"/>
        <w:textAlignment w:val="auto"/>
        <w:rPr>
          <w:rFonts w:hint="eastAsia"/>
          <w:color w:val="auto"/>
          <w:sz w:val="32"/>
          <w:szCs w:val="32"/>
        </w:rPr>
      </w:pPr>
      <w:bookmarkStart w:id="13" w:name="_Toc6558"/>
      <w:bookmarkStart w:id="14" w:name="_Toc29326"/>
      <w:bookmarkStart w:id="15" w:name="_Toc22682"/>
      <w:bookmarkStart w:id="16" w:name="_Toc1287"/>
      <w:r>
        <w:rPr>
          <w:rFonts w:hint="eastAsia"/>
          <w:color w:val="auto"/>
          <w:sz w:val="32"/>
          <w:szCs w:val="32"/>
        </w:rPr>
        <w:t>2.2</w:t>
      </w:r>
      <w:bookmarkEnd w:id="13"/>
      <w:r>
        <w:rPr>
          <w:rFonts w:hint="eastAsia"/>
          <w:color w:val="auto"/>
          <w:sz w:val="32"/>
          <w:szCs w:val="32"/>
        </w:rPr>
        <w:t>建设项目竣工环境保护验收技术规范</w:t>
      </w:r>
      <w:bookmarkEnd w:id="14"/>
      <w:bookmarkEnd w:id="15"/>
      <w:bookmarkEnd w:id="16"/>
    </w:p>
    <w:p>
      <w:pPr>
        <w:tabs>
          <w:tab w:val="left" w:pos="1755"/>
        </w:tabs>
        <w:snapToGrid w:val="0"/>
        <w:ind w:firstLine="480" w:firstLineChars="200"/>
        <w:rPr>
          <w:rFonts w:hint="eastAsia" w:eastAsia="宋体"/>
          <w:color w:val="auto"/>
          <w:lang w:val="en-US" w:eastAsia="zh-CN"/>
        </w:rPr>
      </w:pPr>
      <w:bookmarkStart w:id="17" w:name="_Toc14105"/>
      <w:r>
        <w:rPr>
          <w:rFonts w:hint="eastAsia"/>
          <w:color w:val="auto"/>
          <w:lang w:eastAsia="zh-CN"/>
        </w:rPr>
        <w:t>（</w:t>
      </w:r>
      <w:r>
        <w:rPr>
          <w:rFonts w:hint="eastAsia"/>
          <w:color w:val="auto"/>
          <w:lang w:val="en-US" w:eastAsia="zh-CN"/>
        </w:rPr>
        <w:t>1</w:t>
      </w:r>
      <w:r>
        <w:rPr>
          <w:rFonts w:hint="eastAsia"/>
          <w:color w:val="auto"/>
          <w:lang w:eastAsia="zh-CN"/>
        </w:rPr>
        <w:t>）</w:t>
      </w:r>
      <w:r>
        <w:rPr>
          <w:rFonts w:hint="eastAsia"/>
          <w:color w:val="auto"/>
        </w:rPr>
        <w:t>《建设项目竣工环境保护验收技术指南</w:t>
      </w:r>
      <w:r>
        <w:rPr>
          <w:rFonts w:hint="eastAsia"/>
          <w:color w:val="auto"/>
          <w:lang w:val="en-US" w:eastAsia="zh-CN"/>
        </w:rPr>
        <w:t xml:space="preserve"> </w:t>
      </w:r>
      <w:r>
        <w:rPr>
          <w:rFonts w:hint="eastAsia"/>
          <w:color w:val="auto"/>
        </w:rPr>
        <w:t>污染影响类》（生态环境部，公告2018年第9号，2018年5月16日）</w:t>
      </w:r>
      <w:r>
        <w:rPr>
          <w:rFonts w:hint="eastAsia"/>
          <w:color w:val="auto"/>
          <w:lang w:eastAsia="zh-CN"/>
        </w:rPr>
        <w:t>。</w:t>
      </w:r>
    </w:p>
    <w:p>
      <w:pPr>
        <w:pStyle w:val="6"/>
        <w:keepNext/>
        <w:keepLines w:val="0"/>
        <w:pageBreakBefore w:val="0"/>
        <w:widowControl w:val="0"/>
        <w:kinsoku/>
        <w:wordWrap/>
        <w:overflowPunct/>
        <w:topLinePunct w:val="0"/>
        <w:autoSpaceDE/>
        <w:autoSpaceDN/>
        <w:bidi w:val="0"/>
        <w:adjustRightInd/>
        <w:snapToGrid/>
        <w:spacing w:beforeLines="0" w:afterLines="0"/>
        <w:textAlignment w:val="auto"/>
        <w:rPr>
          <w:rFonts w:hint="eastAsia"/>
          <w:color w:val="auto"/>
          <w:sz w:val="32"/>
          <w:szCs w:val="32"/>
        </w:rPr>
      </w:pPr>
      <w:bookmarkStart w:id="18" w:name="_Toc6635"/>
      <w:bookmarkStart w:id="19" w:name="_Toc32014"/>
      <w:bookmarkStart w:id="20" w:name="_Toc18504"/>
      <w:r>
        <w:rPr>
          <w:rFonts w:hint="eastAsia"/>
          <w:color w:val="auto"/>
          <w:sz w:val="32"/>
          <w:szCs w:val="32"/>
        </w:rPr>
        <w:t>2.3建设项目环境影响报告书及其审批部门审批决定</w:t>
      </w:r>
      <w:bookmarkEnd w:id="18"/>
      <w:bookmarkEnd w:id="19"/>
      <w:bookmarkEnd w:id="20"/>
    </w:p>
    <w:p>
      <w:pPr>
        <w:tabs>
          <w:tab w:val="left" w:pos="1755"/>
        </w:tabs>
        <w:snapToGrid w:val="0"/>
        <w:ind w:firstLine="480" w:firstLineChars="200"/>
        <w:rPr>
          <w:rFonts w:hint="eastAsia" w:ascii="Times New Roman" w:hAnsi="Times New Roman" w:eastAsia="宋体" w:cs="Times New Roman"/>
          <w:color w:val="auto"/>
        </w:rPr>
      </w:pPr>
      <w:r>
        <w:rPr>
          <w:rFonts w:hint="eastAsia" w:ascii="Times New Roman" w:hAnsi="Times New Roman" w:eastAsia="宋体" w:cs="Times New Roman"/>
          <w:color w:val="auto"/>
        </w:rPr>
        <w:t>（1）《锂电池胶带生产和精加工项目备案表》，无为县发展改革委，2016年6月3日文号为无发改备字[2016]51号；</w:t>
      </w:r>
    </w:p>
    <w:p>
      <w:pPr>
        <w:tabs>
          <w:tab w:val="left" w:pos="1755"/>
        </w:tabs>
        <w:snapToGrid w:val="0"/>
        <w:ind w:firstLine="480" w:firstLineChars="200"/>
        <w:rPr>
          <w:rFonts w:hint="eastAsia" w:ascii="Times New Roman" w:hAnsi="Times New Roman" w:eastAsia="宋体" w:cs="Times New Roman"/>
          <w:color w:val="auto"/>
        </w:rPr>
      </w:pPr>
      <w:r>
        <w:rPr>
          <w:rFonts w:hint="eastAsia" w:ascii="Times New Roman" w:hAnsi="Times New Roman" w:eastAsia="宋体" w:cs="Times New Roman"/>
          <w:color w:val="auto"/>
        </w:rPr>
        <w:t>（2）《</w:t>
      </w:r>
      <w:r>
        <w:rPr>
          <w:rFonts w:hint="default" w:ascii="Times New Roman" w:hAnsi="Times New Roman" w:eastAsia="宋体" w:cs="Times New Roman"/>
          <w:color w:val="auto"/>
        </w:rPr>
        <w:t>芜湖徽氏新材料科技有限公司锂电池胶带生产和精加工项目环境影响报告书</w:t>
      </w:r>
      <w:r>
        <w:rPr>
          <w:rFonts w:hint="eastAsia" w:ascii="Times New Roman" w:hAnsi="Times New Roman" w:eastAsia="宋体" w:cs="Times New Roman"/>
          <w:color w:val="auto"/>
        </w:rPr>
        <w:t>》（</w:t>
      </w:r>
      <w:r>
        <w:rPr>
          <w:rFonts w:hint="default" w:ascii="Times New Roman" w:hAnsi="Times New Roman" w:eastAsia="宋体" w:cs="Times New Roman"/>
          <w:color w:val="auto"/>
        </w:rPr>
        <w:t>浙江环耀环境建设有限公司</w:t>
      </w:r>
      <w:r>
        <w:rPr>
          <w:rFonts w:hint="eastAsia" w:ascii="Times New Roman" w:hAnsi="Times New Roman" w:eastAsia="宋体" w:cs="Times New Roman"/>
          <w:color w:val="auto"/>
        </w:rPr>
        <w:t>，20</w:t>
      </w:r>
      <w:r>
        <w:rPr>
          <w:rFonts w:hint="eastAsia" w:ascii="Times New Roman" w:hAnsi="Times New Roman" w:eastAsia="宋体" w:cs="Times New Roman"/>
          <w:color w:val="auto"/>
          <w:lang w:val="en-US" w:eastAsia="zh-CN"/>
        </w:rPr>
        <w:t>16</w:t>
      </w:r>
      <w:r>
        <w:rPr>
          <w:rFonts w:hint="eastAsia" w:ascii="Times New Roman" w:hAnsi="Times New Roman" w:eastAsia="宋体" w:cs="Times New Roman"/>
          <w:color w:val="auto"/>
        </w:rPr>
        <w:t>年</w:t>
      </w:r>
      <w:r>
        <w:rPr>
          <w:rFonts w:hint="eastAsia" w:ascii="Times New Roman" w:hAnsi="Times New Roman" w:eastAsia="宋体" w:cs="Times New Roman"/>
          <w:color w:val="auto"/>
          <w:lang w:val="en-US" w:eastAsia="zh-CN"/>
        </w:rPr>
        <w:t>7</w:t>
      </w:r>
      <w:r>
        <w:rPr>
          <w:rFonts w:hint="eastAsia" w:ascii="Times New Roman" w:hAnsi="Times New Roman" w:eastAsia="宋体" w:cs="Times New Roman"/>
          <w:color w:val="auto"/>
        </w:rPr>
        <w:t>月）；</w:t>
      </w:r>
    </w:p>
    <w:p>
      <w:pPr>
        <w:tabs>
          <w:tab w:val="left" w:pos="1755"/>
        </w:tabs>
        <w:snapToGrid w:val="0"/>
        <w:ind w:firstLine="480" w:firstLineChars="200"/>
        <w:rPr>
          <w:rFonts w:hint="eastAsia" w:ascii="Times New Roman" w:hAnsi="Times New Roman" w:eastAsia="宋体" w:cs="Times New Roman"/>
          <w:color w:val="auto"/>
          <w:lang w:eastAsia="zh-CN"/>
        </w:rPr>
      </w:pPr>
      <w:r>
        <w:rPr>
          <w:rFonts w:hint="eastAsia" w:ascii="Times New Roman" w:hAnsi="Times New Roman" w:eastAsia="宋体" w:cs="Times New Roman"/>
          <w:color w:val="auto"/>
        </w:rPr>
        <w:t>（3）《关于芜湖徽氏新材料科技有限公司锂电池胶带生产和精加工项目环境影响报告书的批复》，无为县环境保护局，无环审[2016]117号，2016年12月12日</w:t>
      </w:r>
      <w:r>
        <w:rPr>
          <w:rFonts w:hint="eastAsia" w:ascii="Times New Roman" w:hAnsi="Times New Roman" w:eastAsia="宋体" w:cs="Times New Roman"/>
          <w:color w:val="auto"/>
          <w:lang w:eastAsia="zh-CN"/>
        </w:rPr>
        <w:t>。</w:t>
      </w:r>
    </w:p>
    <w:p>
      <w:pPr>
        <w:pStyle w:val="6"/>
        <w:keepNext/>
        <w:keepLines w:val="0"/>
        <w:pageBreakBefore w:val="0"/>
        <w:widowControl w:val="0"/>
        <w:kinsoku/>
        <w:wordWrap/>
        <w:overflowPunct/>
        <w:topLinePunct w:val="0"/>
        <w:autoSpaceDE/>
        <w:autoSpaceDN/>
        <w:bidi w:val="0"/>
        <w:adjustRightInd/>
        <w:snapToGrid/>
        <w:spacing w:beforeLines="0" w:afterLines="0"/>
        <w:textAlignment w:val="auto"/>
        <w:rPr>
          <w:rFonts w:hint="eastAsia"/>
          <w:color w:val="auto"/>
          <w:sz w:val="32"/>
          <w:szCs w:val="32"/>
        </w:rPr>
      </w:pPr>
      <w:bookmarkStart w:id="21" w:name="_Toc10810"/>
      <w:bookmarkStart w:id="22" w:name="_Toc24946"/>
      <w:bookmarkStart w:id="23" w:name="_Toc106"/>
      <w:r>
        <w:rPr>
          <w:rFonts w:hint="eastAsia"/>
          <w:color w:val="auto"/>
          <w:sz w:val="32"/>
          <w:szCs w:val="32"/>
        </w:rPr>
        <w:t>2.</w:t>
      </w:r>
      <w:bookmarkEnd w:id="17"/>
      <w:r>
        <w:rPr>
          <w:rFonts w:hint="eastAsia"/>
          <w:color w:val="auto"/>
          <w:sz w:val="32"/>
          <w:szCs w:val="32"/>
        </w:rPr>
        <w:t>4其他相关文件</w:t>
      </w:r>
      <w:bookmarkEnd w:id="21"/>
      <w:bookmarkEnd w:id="22"/>
      <w:bookmarkEnd w:id="23"/>
    </w:p>
    <w:p>
      <w:pPr>
        <w:tabs>
          <w:tab w:val="left" w:pos="1755"/>
        </w:tabs>
        <w:snapToGrid w:val="0"/>
        <w:ind w:firstLine="480" w:firstLineChars="200"/>
        <w:rPr>
          <w:rFonts w:hint="eastAsia" w:ascii="Times New Roman" w:hAnsi="Times New Roman" w:eastAsia="宋体" w:cs="Times New Roman"/>
          <w:color w:val="auto"/>
        </w:rPr>
      </w:pPr>
      <w:bookmarkStart w:id="24" w:name="_Toc27065"/>
      <w:bookmarkStart w:id="25" w:name="_Toc27313"/>
      <w:bookmarkStart w:id="26" w:name="_Toc22921"/>
      <w:r>
        <w:rPr>
          <w:rFonts w:hint="eastAsia" w:ascii="Times New Roman" w:hAnsi="Times New Roman" w:eastAsia="宋体" w:cs="Times New Roman"/>
          <w:color w:val="auto"/>
        </w:rPr>
        <w:t>（1）建设项目竣工环境保护验收监测委托书</w:t>
      </w:r>
      <w:r>
        <w:rPr>
          <w:rFonts w:hint="eastAsia" w:cs="Times New Roman"/>
          <w:color w:val="auto"/>
          <w:lang w:eastAsia="zh-CN"/>
        </w:rPr>
        <w:t>（</w:t>
      </w:r>
      <w:r>
        <w:rPr>
          <w:rFonts w:hint="eastAsia" w:ascii="Times New Roman" w:hAnsi="Times New Roman" w:eastAsia="宋体" w:cs="Times New Roman"/>
          <w:color w:val="auto"/>
        </w:rPr>
        <w:t>芜湖徽氏新材料科技有限公司，20</w:t>
      </w:r>
      <w:r>
        <w:rPr>
          <w:rFonts w:hint="eastAsia" w:ascii="Times New Roman" w:hAnsi="Times New Roman" w:eastAsia="宋体" w:cs="Times New Roman"/>
          <w:color w:val="auto"/>
          <w:lang w:val="en-US" w:eastAsia="zh-CN"/>
        </w:rPr>
        <w:t>22</w:t>
      </w:r>
      <w:r>
        <w:rPr>
          <w:rFonts w:hint="eastAsia" w:ascii="Times New Roman" w:hAnsi="Times New Roman" w:eastAsia="宋体" w:cs="Times New Roman"/>
          <w:color w:val="auto"/>
        </w:rPr>
        <w:t>年</w:t>
      </w:r>
      <w:r>
        <w:rPr>
          <w:rFonts w:hint="eastAsia" w:cs="Times New Roman"/>
          <w:color w:val="auto"/>
          <w:lang w:val="en-US" w:eastAsia="zh-CN"/>
        </w:rPr>
        <w:t>12</w:t>
      </w:r>
      <w:r>
        <w:rPr>
          <w:rFonts w:hint="eastAsia" w:ascii="Times New Roman" w:hAnsi="Times New Roman" w:eastAsia="宋体" w:cs="Times New Roman"/>
          <w:color w:val="auto"/>
        </w:rPr>
        <w:t>月</w:t>
      </w:r>
      <w:r>
        <w:rPr>
          <w:rFonts w:hint="eastAsia" w:cs="Times New Roman"/>
          <w:color w:val="auto"/>
          <w:lang w:eastAsia="zh-CN"/>
        </w:rPr>
        <w:t>）</w:t>
      </w:r>
      <w:r>
        <w:rPr>
          <w:rFonts w:hint="eastAsia" w:ascii="Times New Roman" w:hAnsi="Times New Roman" w:eastAsia="宋体" w:cs="Times New Roman"/>
          <w:color w:val="auto"/>
        </w:rPr>
        <w:t>；</w:t>
      </w:r>
    </w:p>
    <w:p>
      <w:pPr>
        <w:tabs>
          <w:tab w:val="left" w:pos="1755"/>
        </w:tabs>
        <w:snapToGrid w:val="0"/>
        <w:ind w:firstLine="480" w:firstLineChars="200"/>
        <w:rPr>
          <w:rFonts w:hint="eastAsia" w:ascii="Times New Roman" w:hAnsi="Times New Roman" w:eastAsia="宋体" w:cs="Times New Roman"/>
          <w:color w:val="auto"/>
        </w:rPr>
      </w:pPr>
      <w:r>
        <w:rPr>
          <w:rFonts w:hint="eastAsia" w:ascii="Times New Roman" w:hAnsi="Times New Roman" w:eastAsia="宋体" w:cs="Times New Roman"/>
          <w:color w:val="auto"/>
        </w:rPr>
        <w:t>（</w:t>
      </w:r>
      <w:r>
        <w:rPr>
          <w:rFonts w:hint="eastAsia" w:cs="Times New Roman"/>
          <w:color w:val="auto"/>
          <w:lang w:val="en-US" w:eastAsia="zh-CN"/>
        </w:rPr>
        <w:t>2</w:t>
      </w:r>
      <w:r>
        <w:rPr>
          <w:rFonts w:hint="eastAsia" w:ascii="Times New Roman" w:hAnsi="Times New Roman" w:eastAsia="宋体" w:cs="Times New Roman"/>
          <w:color w:val="auto"/>
        </w:rPr>
        <w:t>）危险废物委托处置协议书</w:t>
      </w:r>
      <w:r>
        <w:rPr>
          <w:rFonts w:hint="eastAsia" w:ascii="Times New Roman" w:hAnsi="Times New Roman" w:eastAsia="宋体" w:cs="Times New Roman"/>
          <w:color w:val="auto"/>
          <w:lang w:eastAsia="zh-CN"/>
        </w:rPr>
        <w:t>；</w:t>
      </w:r>
    </w:p>
    <w:p>
      <w:pPr>
        <w:tabs>
          <w:tab w:val="left" w:pos="1755"/>
        </w:tabs>
        <w:snapToGrid w:val="0"/>
        <w:ind w:firstLine="480" w:firstLineChars="200"/>
        <w:rPr>
          <w:rFonts w:hint="eastAsia" w:ascii="Times New Roman" w:hAnsi="Times New Roman" w:eastAsia="宋体" w:cs="Times New Roman"/>
        </w:rPr>
      </w:pPr>
      <w:r>
        <w:rPr>
          <w:rFonts w:hint="eastAsia" w:ascii="Times New Roman" w:hAnsi="Times New Roman" w:eastAsia="宋体" w:cs="Times New Roman"/>
          <w:color w:val="auto"/>
        </w:rPr>
        <w:t>（</w:t>
      </w:r>
      <w:r>
        <w:rPr>
          <w:rFonts w:hint="eastAsia" w:cs="Times New Roman"/>
          <w:color w:val="auto"/>
          <w:lang w:val="en-US" w:eastAsia="zh-CN"/>
        </w:rPr>
        <w:t>3</w:t>
      </w:r>
      <w:r>
        <w:rPr>
          <w:rFonts w:hint="eastAsia" w:ascii="Times New Roman" w:hAnsi="Times New Roman" w:eastAsia="宋体" w:cs="Times New Roman"/>
          <w:color w:val="auto"/>
        </w:rPr>
        <w:t>）</w:t>
      </w:r>
      <w:r>
        <w:rPr>
          <w:rFonts w:hint="eastAsia" w:ascii="Times New Roman" w:hAnsi="Times New Roman" w:eastAsia="宋体" w:cs="Times New Roman"/>
          <w:color w:val="auto"/>
          <w:lang w:val="en-US" w:eastAsia="zh-CN"/>
        </w:rPr>
        <w:t>《</w:t>
      </w:r>
      <w:r>
        <w:rPr>
          <w:rFonts w:hint="eastAsia" w:ascii="Times New Roman" w:hAnsi="Times New Roman" w:eastAsia="宋体" w:cs="Times New Roman"/>
          <w:color w:val="auto"/>
        </w:rPr>
        <w:t>芜湖徽氏新材料科技有限公司锂电池胶带生产和精加工项目阶段性竣工环境保护验收监测报告</w:t>
      </w:r>
      <w:r>
        <w:rPr>
          <w:rFonts w:hint="eastAsia" w:ascii="Times New Roman" w:hAnsi="Times New Roman" w:eastAsia="宋体" w:cs="Times New Roman"/>
          <w:color w:val="auto"/>
          <w:lang w:val="en-US" w:eastAsia="zh-CN"/>
        </w:rPr>
        <w:t>》（2018年8月）。</w:t>
      </w:r>
      <w:r>
        <w:rPr>
          <w:rFonts w:hint="eastAsia" w:ascii="Times New Roman" w:hAnsi="Times New Roman" w:eastAsia="宋体" w:cs="Times New Roman"/>
        </w:rPr>
        <w:br w:type="page"/>
      </w:r>
    </w:p>
    <w:p>
      <w:pPr>
        <w:pStyle w:val="5"/>
        <w:keepNext/>
        <w:keepLines/>
        <w:pageBreakBefore w:val="0"/>
        <w:widowControl w:val="0"/>
        <w:kinsoku/>
        <w:wordWrap/>
        <w:overflowPunct/>
        <w:topLinePunct w:val="0"/>
        <w:autoSpaceDE/>
        <w:autoSpaceDN/>
        <w:bidi w:val="0"/>
        <w:adjustRightInd/>
        <w:snapToGrid/>
        <w:spacing w:beforeLines="0" w:afterLines="0"/>
        <w:ind w:firstLine="0" w:firstLineChars="0"/>
        <w:textAlignment w:val="auto"/>
        <w:rPr>
          <w:rFonts w:hint="eastAsia" w:eastAsia="宋体"/>
          <w:sz w:val="36"/>
          <w:szCs w:val="36"/>
          <w:lang w:eastAsia="zh-CN"/>
        </w:rPr>
      </w:pPr>
      <w:bookmarkStart w:id="27" w:name="_Toc16657"/>
      <w:r>
        <w:rPr>
          <w:sz w:val="36"/>
          <w:szCs w:val="36"/>
        </w:rPr>
        <w:t>3项目</w:t>
      </w:r>
      <w:bookmarkEnd w:id="24"/>
      <w:r>
        <w:rPr>
          <w:rFonts w:hint="eastAsia"/>
          <w:sz w:val="36"/>
          <w:szCs w:val="36"/>
        </w:rPr>
        <w:t>建设情况</w:t>
      </w:r>
      <w:bookmarkEnd w:id="25"/>
      <w:bookmarkEnd w:id="26"/>
      <w:bookmarkEnd w:id="27"/>
    </w:p>
    <w:p>
      <w:pPr>
        <w:pStyle w:val="6"/>
        <w:keepNext/>
        <w:pageBreakBefore w:val="0"/>
        <w:widowControl w:val="0"/>
        <w:kinsoku/>
        <w:wordWrap/>
        <w:overflowPunct/>
        <w:topLinePunct w:val="0"/>
        <w:autoSpaceDE/>
        <w:autoSpaceDN/>
        <w:bidi w:val="0"/>
        <w:adjustRightInd/>
        <w:snapToGrid/>
        <w:spacing w:beforeLines="0" w:afterLines="0"/>
        <w:ind w:firstLine="0" w:firstLineChars="0"/>
        <w:textAlignment w:val="auto"/>
        <w:rPr>
          <w:color w:val="auto"/>
          <w:sz w:val="32"/>
          <w:szCs w:val="32"/>
        </w:rPr>
      </w:pPr>
      <w:bookmarkStart w:id="28" w:name="_Toc27538"/>
      <w:bookmarkStart w:id="29" w:name="_Toc25921"/>
      <w:bookmarkStart w:id="30" w:name="_Toc4244"/>
      <w:bookmarkStart w:id="31" w:name="_Toc15177"/>
      <w:r>
        <w:rPr>
          <w:color w:val="auto"/>
          <w:sz w:val="32"/>
          <w:szCs w:val="32"/>
        </w:rPr>
        <w:t>3.1</w:t>
      </w:r>
      <w:bookmarkEnd w:id="28"/>
      <w:r>
        <w:rPr>
          <w:rFonts w:hint="eastAsia"/>
          <w:color w:val="auto"/>
          <w:sz w:val="32"/>
          <w:szCs w:val="32"/>
        </w:rPr>
        <w:t>地理位置及平面布置</w:t>
      </w:r>
      <w:bookmarkEnd w:id="29"/>
      <w:bookmarkEnd w:id="30"/>
      <w:bookmarkEnd w:id="31"/>
    </w:p>
    <w:p>
      <w:pPr>
        <w:pStyle w:val="7"/>
        <w:keepNext/>
        <w:keepLines/>
        <w:pageBreakBefore w:val="0"/>
        <w:widowControl w:val="0"/>
        <w:kinsoku/>
        <w:wordWrap/>
        <w:overflowPunct/>
        <w:topLinePunct w:val="0"/>
        <w:autoSpaceDE/>
        <w:autoSpaceDN/>
        <w:bidi w:val="0"/>
        <w:adjustRightInd/>
        <w:snapToGrid/>
        <w:spacing w:beforeLines="0" w:afterLines="0"/>
        <w:ind w:firstLine="0" w:firstLineChars="0"/>
        <w:textAlignment w:val="auto"/>
        <w:rPr>
          <w:sz w:val="30"/>
          <w:szCs w:val="30"/>
        </w:rPr>
      </w:pPr>
      <w:bookmarkStart w:id="32" w:name="_Toc1255"/>
      <w:r>
        <w:rPr>
          <w:sz w:val="30"/>
          <w:szCs w:val="30"/>
        </w:rPr>
        <w:t>3.1.1</w:t>
      </w:r>
      <w:r>
        <w:rPr>
          <w:rFonts w:hint="eastAsia"/>
          <w:sz w:val="30"/>
          <w:szCs w:val="30"/>
        </w:rPr>
        <w:t>地理</w:t>
      </w:r>
      <w:r>
        <w:rPr>
          <w:sz w:val="30"/>
          <w:szCs w:val="30"/>
        </w:rPr>
        <w:t>位置</w:t>
      </w:r>
      <w:bookmarkEnd w:id="32"/>
    </w:p>
    <w:p>
      <w:pPr>
        <w:ind w:firstLine="480" w:firstLineChars="200"/>
        <w:rPr>
          <w:rFonts w:hint="eastAsia"/>
        </w:rPr>
      </w:pPr>
      <w:r>
        <w:rPr>
          <w:rFonts w:hint="eastAsia" w:ascii="Times New Roman" w:hAnsi="Times New Roman" w:eastAsia="宋体" w:cs="Times New Roman"/>
          <w:lang w:val="en-US" w:eastAsia="zh-CN"/>
        </w:rPr>
        <w:t>本</w:t>
      </w:r>
      <w:r>
        <w:rPr>
          <w:rFonts w:hint="eastAsia" w:ascii="Times New Roman" w:hAnsi="Times New Roman" w:eastAsia="宋体" w:cs="Times New Roman"/>
        </w:rPr>
        <w:t>项目位于安徽省无为</w:t>
      </w:r>
      <w:r>
        <w:rPr>
          <w:rFonts w:hint="eastAsia" w:ascii="Times New Roman" w:hAnsi="Times New Roman" w:eastAsia="宋体" w:cs="Times New Roman"/>
          <w:lang w:eastAsia="zh-CN"/>
        </w:rPr>
        <w:t>市</w:t>
      </w:r>
      <w:r>
        <w:rPr>
          <w:rFonts w:hint="eastAsia" w:ascii="Times New Roman" w:hAnsi="Times New Roman" w:eastAsia="宋体" w:cs="Times New Roman"/>
        </w:rPr>
        <w:t>经济开发区城东工业园区，经四路以西，支一路以南。本项目中心经纬度</w:t>
      </w:r>
      <w:r>
        <w:rPr>
          <w:rFonts w:hint="eastAsia"/>
        </w:rPr>
        <w:t>为东经11</w:t>
      </w:r>
      <w:r>
        <w:rPr>
          <w:rFonts w:hint="eastAsia"/>
          <w:lang w:val="en-US" w:eastAsia="zh-CN"/>
        </w:rPr>
        <w:t>7</w:t>
      </w:r>
      <w:r>
        <w:rPr>
          <w:rFonts w:hint="eastAsia"/>
        </w:rPr>
        <w:t>.</w:t>
      </w:r>
      <w:r>
        <w:rPr>
          <w:rFonts w:hint="eastAsia"/>
          <w:lang w:val="en-US" w:eastAsia="zh-CN"/>
        </w:rPr>
        <w:t>9958</w:t>
      </w:r>
      <w:r>
        <w:t>°，北纬3</w:t>
      </w:r>
      <w:r>
        <w:rPr>
          <w:rFonts w:hint="eastAsia"/>
        </w:rPr>
        <w:t>1.</w:t>
      </w:r>
      <w:r>
        <w:rPr>
          <w:rFonts w:hint="eastAsia"/>
          <w:lang w:val="en-US" w:eastAsia="zh-CN"/>
        </w:rPr>
        <w:t>3179</w:t>
      </w:r>
      <w:r>
        <w:t>°</w:t>
      </w:r>
      <w:r>
        <w:rPr>
          <w:rFonts w:hint="eastAsia"/>
        </w:rPr>
        <w:t>。</w:t>
      </w:r>
      <w:r>
        <w:rPr>
          <w:rFonts w:hint="eastAsia"/>
          <w:lang w:val="en-US" w:eastAsia="zh-CN"/>
        </w:rPr>
        <w:t>本项目地理位置与环评阶段一致，</w:t>
      </w:r>
      <w:r>
        <w:rPr>
          <w:rFonts w:hint="eastAsia"/>
        </w:rPr>
        <w:t>项目地理位置如图</w:t>
      </w:r>
      <w:r>
        <w:rPr>
          <w:rFonts w:hint="eastAsia"/>
          <w:lang w:val="en-US" w:eastAsia="zh-CN"/>
        </w:rPr>
        <w:t>3.1-2</w:t>
      </w:r>
      <w:r>
        <w:rPr>
          <w:rFonts w:hint="eastAsia"/>
        </w:rPr>
        <w:t>。</w:t>
      </w:r>
    </w:p>
    <w:p>
      <w:pPr>
        <w:ind w:firstLine="480" w:firstLineChars="20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根据本项目环评及批复要求，本项目需设置100m卫生防护距离，根据现场实际踏勘，本项目100m卫生防护距离无敏感目标。</w:t>
      </w:r>
    </w:p>
    <w:p>
      <w:pPr>
        <w:pStyle w:val="2"/>
        <w:ind w:left="0" w:leftChars="0" w:firstLine="0" w:firstLineChars="0"/>
        <w:jc w:val="center"/>
        <w:rPr>
          <w:rFonts w:hint="eastAsia"/>
        </w:rPr>
      </w:pPr>
      <w:r>
        <w:rPr>
          <w:sz w:val="24"/>
        </w:rPr>
        <mc:AlternateContent>
          <mc:Choice Requires="wps">
            <w:drawing>
              <wp:anchor distT="0" distB="0" distL="114300" distR="114300" simplePos="0" relativeHeight="251679744" behindDoc="0" locked="0" layoutInCell="1" allowOverlap="1">
                <wp:simplePos x="0" y="0"/>
                <wp:positionH relativeFrom="column">
                  <wp:posOffset>1294130</wp:posOffset>
                </wp:positionH>
                <wp:positionV relativeFrom="paragraph">
                  <wp:posOffset>596900</wp:posOffset>
                </wp:positionV>
                <wp:extent cx="2819400" cy="2733675"/>
                <wp:effectExtent l="6350" t="6350" r="12700" b="22225"/>
                <wp:wrapNone/>
                <wp:docPr id="53" name="椭圆 53"/>
                <wp:cNvGraphicFramePr/>
                <a:graphic xmlns:a="http://schemas.openxmlformats.org/drawingml/2006/main">
                  <a:graphicData uri="http://schemas.microsoft.com/office/word/2010/wordprocessingShape">
                    <wps:wsp>
                      <wps:cNvSpPr/>
                      <wps:spPr>
                        <a:xfrm>
                          <a:off x="2560955" y="4481195"/>
                          <a:ext cx="2819400" cy="2733675"/>
                        </a:xfrm>
                        <a:prstGeom prst="ellipse">
                          <a:avLst/>
                        </a:prstGeom>
                        <a:no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01.9pt;margin-top:47pt;height:215.25pt;width:222pt;z-index:251679744;v-text-anchor:middle;mso-width-relative:page;mso-height-relative:page;" filled="f" stroked="t" coordsize="21600,21600" o:gfxdata="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qsL0KtgAAAAKAQAADwAAAAAAAAABACAAAAAi&#10;AAAAZHJzL2Rvd25yZXYueG1sUEsBAhQAFAAAAAgAh07iQE/uiGt8AgAA3QQAAA4AAAAAAAAAAQAg&#10;AAAAJwEAAGRycy9lMm9Eb2MueG1sUEsFBgAAAAAGAAYAWQEAABUGAAAAAA==&#10;">
                <v:fill on="f" focussize="0,0"/>
                <v:stroke weight="1pt" color="#FFFF00 [3204]" miterlimit="8" joinstyle="miter"/>
                <v:imagedata o:title=""/>
                <o:lock v:ext="edit" aspectratio="f"/>
              </v:shape>
            </w:pict>
          </mc:Fallback>
        </mc:AlternateContent>
      </w:r>
      <w:r>
        <w:drawing>
          <wp:anchor distT="0" distB="0" distL="114300" distR="114300" simplePos="0" relativeHeight="251678720" behindDoc="0" locked="0" layoutInCell="1" allowOverlap="1">
            <wp:simplePos x="0" y="0"/>
            <wp:positionH relativeFrom="column">
              <wp:posOffset>4729480</wp:posOffset>
            </wp:positionH>
            <wp:positionV relativeFrom="paragraph">
              <wp:posOffset>121920</wp:posOffset>
            </wp:positionV>
            <wp:extent cx="638175" cy="666750"/>
            <wp:effectExtent l="0" t="0" r="9525" b="0"/>
            <wp:wrapTopAndBottom/>
            <wp:docPr id="5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2"/>
                    <pic:cNvPicPr>
                      <a:picLocks noChangeAspect="1"/>
                    </pic:cNvPicPr>
                  </pic:nvPicPr>
                  <pic:blipFill>
                    <a:blip r:embed="rId29"/>
                    <a:stretch>
                      <a:fillRect/>
                    </a:stretch>
                  </pic:blipFill>
                  <pic:spPr>
                    <a:xfrm>
                      <a:off x="0" y="0"/>
                      <a:ext cx="638175" cy="666750"/>
                    </a:xfrm>
                    <a:prstGeom prst="rect">
                      <a:avLst/>
                    </a:prstGeom>
                    <a:noFill/>
                    <a:ln>
                      <a:noFill/>
                    </a:ln>
                  </pic:spPr>
                </pic:pic>
              </a:graphicData>
            </a:graphic>
          </wp:anchor>
        </w:drawing>
      </w:r>
      <w:r>
        <w:rPr>
          <w:rFonts w:hint="eastAsia" w:ascii="Times New Roman" w:hAnsi="Times New Roman" w:eastAsia="黑体" w:cs="Times New Roman"/>
          <w:b w:val="0"/>
          <w:bCs w:val="0"/>
          <w:kern w:val="2"/>
          <w:sz w:val="21"/>
          <w:szCs w:val="21"/>
          <w:lang w:val="en-US" w:eastAsia="zh-CN" w:bidi="ar-SA"/>
        </w:rPr>
        <w:drawing>
          <wp:anchor distT="0" distB="0" distL="114300" distR="114300" simplePos="0" relativeHeight="251677696" behindDoc="0" locked="0" layoutInCell="1" allowOverlap="1">
            <wp:simplePos x="0" y="0"/>
            <wp:positionH relativeFrom="column">
              <wp:posOffset>114300</wp:posOffset>
            </wp:positionH>
            <wp:positionV relativeFrom="paragraph">
              <wp:posOffset>125730</wp:posOffset>
            </wp:positionV>
            <wp:extent cx="5271135" cy="3453765"/>
            <wp:effectExtent l="0" t="0" r="5715" b="13335"/>
            <wp:wrapTopAndBottom/>
            <wp:docPr id="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
                    <pic:cNvPicPr>
                      <a:picLocks noChangeAspect="1"/>
                    </pic:cNvPicPr>
                  </pic:nvPicPr>
                  <pic:blipFill>
                    <a:blip r:embed="rId30"/>
                    <a:stretch>
                      <a:fillRect/>
                    </a:stretch>
                  </pic:blipFill>
                  <pic:spPr>
                    <a:xfrm>
                      <a:off x="0" y="0"/>
                      <a:ext cx="5271135" cy="3453765"/>
                    </a:xfrm>
                    <a:prstGeom prst="rect">
                      <a:avLst/>
                    </a:prstGeom>
                    <a:noFill/>
                    <a:ln>
                      <a:noFill/>
                    </a:ln>
                  </pic:spPr>
                </pic:pic>
              </a:graphicData>
            </a:graphic>
          </wp:anchor>
        </w:drawing>
      </w:r>
      <w:r>
        <w:rPr>
          <w:rFonts w:hint="eastAsia" w:ascii="Times New Roman" w:hAnsi="Times New Roman" w:eastAsia="黑体" w:cs="Times New Roman"/>
          <w:b w:val="0"/>
          <w:bCs w:val="0"/>
          <w:kern w:val="2"/>
          <w:sz w:val="21"/>
          <w:szCs w:val="21"/>
          <w:lang w:val="en-US" w:eastAsia="zh-CN" w:bidi="ar-SA"/>
        </w:rPr>
        <w:t>图3.1-1  卫生防护距离图</w:t>
      </w:r>
    </w:p>
    <w:p>
      <w:pPr>
        <w:pStyle w:val="7"/>
        <w:spacing w:beforeLines="0" w:afterLines="0"/>
        <w:ind w:firstLine="281"/>
      </w:pPr>
      <w:bookmarkStart w:id="33" w:name="_Toc30928"/>
      <w:r>
        <w:t>3.1.2厂区总平面布置</w:t>
      </w:r>
      <w:bookmarkEnd w:id="33"/>
    </w:p>
    <w:p>
      <w:pPr>
        <w:ind w:firstLine="480" w:firstLineChars="200"/>
        <w:rPr>
          <w:rFonts w:hint="eastAsia" w:ascii="Times New Roman" w:hAnsi="Times New Roman" w:eastAsia="宋体" w:cs="Times New Roman"/>
          <w:lang w:eastAsia="zh-CN"/>
        </w:rPr>
      </w:pPr>
      <w:r>
        <w:rPr>
          <w:rFonts w:hint="eastAsia" w:ascii="Times New Roman" w:hAnsi="Times New Roman" w:eastAsia="宋体" w:cs="Times New Roman"/>
          <w:lang w:eastAsia="zh-CN"/>
        </w:rPr>
        <w:t>本项目占地面积40亩，总建筑面积</w:t>
      </w:r>
      <w:r>
        <w:rPr>
          <w:rFonts w:hint="default" w:ascii="Times New Roman" w:hAnsi="Times New Roman" w:eastAsia="Arial Unicode MS" w:cs="Times New Roman"/>
          <w:spacing w:val="-1"/>
        </w:rPr>
        <w:t>26655</w:t>
      </w:r>
      <w:r>
        <w:rPr>
          <w:rFonts w:hint="default" w:ascii="Times New Roman" w:hAnsi="Times New Roman" w:eastAsia="Arial Unicode MS" w:cs="Times New Roman"/>
          <w:spacing w:val="1"/>
        </w:rPr>
        <w:t>m</w:t>
      </w:r>
      <w:r>
        <w:rPr>
          <w:rFonts w:hint="default" w:ascii="Times New Roman" w:hAnsi="Times New Roman" w:eastAsia="Arial Unicode MS" w:cs="Times New Roman"/>
          <w:position w:val="6"/>
          <w:sz w:val="16"/>
          <w:szCs w:val="16"/>
        </w:rPr>
        <w:t>2</w:t>
      </w:r>
      <w:r>
        <w:rPr>
          <w:rFonts w:hint="eastAsia" w:ascii="Times New Roman" w:hAnsi="Times New Roman" w:eastAsia="宋体" w:cs="Times New Roman"/>
          <w:lang w:eastAsia="zh-CN"/>
        </w:rPr>
        <w:t>。项目厂区整体呈长方形，厂区设2个出入口，经四路、支一路上各设1个，厂区内分为生产区和生活区两块，西边是生产性厂房和仓库，东边是办公室</w:t>
      </w:r>
      <w:r>
        <w:rPr>
          <w:rFonts w:hint="eastAsia" w:cs="Times New Roman"/>
          <w:lang w:eastAsia="zh-CN"/>
        </w:rPr>
        <w:t>（</w:t>
      </w:r>
      <w:r>
        <w:rPr>
          <w:rFonts w:hint="eastAsia" w:ascii="Times New Roman" w:hAnsi="Times New Roman" w:eastAsia="宋体" w:cs="Times New Roman"/>
          <w:lang w:eastAsia="zh-CN"/>
        </w:rPr>
        <w:t>二层</w:t>
      </w:r>
      <w:r>
        <w:rPr>
          <w:rFonts w:hint="eastAsia" w:cs="Times New Roman"/>
          <w:lang w:eastAsia="zh-CN"/>
        </w:rPr>
        <w:t>）</w:t>
      </w:r>
      <w:r>
        <w:rPr>
          <w:rFonts w:hint="eastAsia" w:ascii="Times New Roman" w:hAnsi="Times New Roman" w:eastAsia="宋体" w:cs="Times New Roman"/>
          <w:lang w:eastAsia="zh-CN"/>
        </w:rPr>
        <w:t>。根据项目平面布置情况，项目各生产单元布置合理，整个厂区功能分区明确，布置紧凑合理。厂区</w:t>
      </w:r>
      <w:r>
        <w:rPr>
          <w:rFonts w:hint="eastAsia" w:ascii="Times New Roman" w:hAnsi="Times New Roman" w:eastAsia="宋体" w:cs="Times New Roman"/>
          <w:lang w:val="en-US" w:eastAsia="zh-CN"/>
        </w:rPr>
        <w:t>整体</w:t>
      </w:r>
      <w:r>
        <w:rPr>
          <w:rFonts w:hint="eastAsia" w:ascii="Times New Roman" w:hAnsi="Times New Roman" w:eastAsia="宋体" w:cs="Times New Roman"/>
          <w:lang w:eastAsia="zh-CN"/>
        </w:rPr>
        <w:t>平面布置见图3.1-</w:t>
      </w:r>
      <w:r>
        <w:rPr>
          <w:rFonts w:hint="eastAsia" w:cs="Times New Roman"/>
          <w:lang w:val="en-US" w:eastAsia="zh-CN"/>
        </w:rPr>
        <w:t>3</w:t>
      </w:r>
      <w:r>
        <w:rPr>
          <w:rFonts w:hint="eastAsia" w:ascii="Times New Roman" w:hAnsi="Times New Roman" w:eastAsia="宋体" w:cs="Times New Roman"/>
          <w:lang w:eastAsia="zh-CN"/>
        </w:rPr>
        <w:t>，</w:t>
      </w:r>
      <w:r>
        <w:rPr>
          <w:rFonts w:hint="eastAsia" w:ascii="Times New Roman" w:hAnsi="Times New Roman" w:eastAsia="宋体" w:cs="Times New Roman"/>
          <w:lang w:val="en-US" w:eastAsia="zh-CN"/>
        </w:rPr>
        <w:t>本次验收</w:t>
      </w:r>
      <w:r>
        <w:rPr>
          <w:rFonts w:hint="eastAsia" w:ascii="Times New Roman" w:hAnsi="Times New Roman" w:eastAsia="宋体" w:cs="Times New Roman"/>
          <w:lang w:eastAsia="zh-CN"/>
        </w:rPr>
        <w:t>项目</w:t>
      </w:r>
      <w:r>
        <w:rPr>
          <w:rFonts w:hint="eastAsia" w:cs="Times New Roman"/>
          <w:lang w:eastAsia="zh-CN"/>
        </w:rPr>
        <w:t>车间范围</w:t>
      </w:r>
      <w:r>
        <w:rPr>
          <w:rFonts w:hint="eastAsia" w:ascii="Times New Roman" w:hAnsi="Times New Roman" w:eastAsia="宋体" w:cs="Times New Roman"/>
          <w:lang w:eastAsia="zh-CN"/>
        </w:rPr>
        <w:t>平面布置见图3.1-</w:t>
      </w:r>
      <w:r>
        <w:rPr>
          <w:rFonts w:hint="eastAsia" w:cs="Times New Roman"/>
          <w:lang w:val="en-US" w:eastAsia="zh-CN"/>
        </w:rPr>
        <w:t>4</w:t>
      </w:r>
      <w:r>
        <w:rPr>
          <w:rFonts w:hint="eastAsia" w:ascii="Times New Roman" w:hAnsi="Times New Roman" w:eastAsia="宋体" w:cs="Times New Roman"/>
          <w:lang w:eastAsia="zh-CN"/>
        </w:rPr>
        <w:t>。</w:t>
      </w:r>
    </w:p>
    <w:p>
      <w:pPr>
        <w:pStyle w:val="21"/>
      </w:pPr>
    </w:p>
    <w:p>
      <w:pPr>
        <w:ind w:firstLine="480" w:firstLineChars="200"/>
        <w:sectPr>
          <w:headerReference r:id="rId9" w:type="default"/>
          <w:footerReference r:id="rId10" w:type="default"/>
          <w:pgSz w:w="11906" w:h="16838"/>
          <w:pgMar w:top="1440" w:right="1800" w:bottom="1440" w:left="1800" w:header="794" w:footer="992" w:gutter="0"/>
          <w:pgNumType w:fmt="decimal" w:start="1"/>
          <w:cols w:space="425" w:num="1"/>
          <w:docGrid w:type="lines" w:linePitch="312" w:charSpace="0"/>
        </w:sectPr>
      </w:pPr>
    </w:p>
    <w:p>
      <w:pPr>
        <w:spacing w:line="240" w:lineRule="auto"/>
        <w:jc w:val="center"/>
        <w:rPr>
          <w:b/>
          <w:bCs/>
        </w:rPr>
        <w:sectPr>
          <w:footerReference r:id="rId11" w:type="default"/>
          <w:pgSz w:w="16838" w:h="11906" w:orient="landscape"/>
          <w:pgMar w:top="1440" w:right="1800" w:bottom="1440" w:left="1800" w:header="794" w:footer="992" w:gutter="0"/>
          <w:pgNumType w:fmt="decimal"/>
          <w:cols w:space="425" w:num="1"/>
          <w:docGrid w:type="lines" w:linePitch="312" w:charSpace="0"/>
        </w:sectPr>
      </w:pPr>
      <w:r>
        <w:rPr>
          <w:sz w:val="24"/>
        </w:rPr>
        <mc:AlternateContent>
          <mc:Choice Requires="wps">
            <w:drawing>
              <wp:anchor distT="0" distB="0" distL="114300" distR="114300" simplePos="0" relativeHeight="251662336" behindDoc="0" locked="0" layoutInCell="1" allowOverlap="1">
                <wp:simplePos x="0" y="0"/>
                <wp:positionH relativeFrom="column">
                  <wp:posOffset>2298065</wp:posOffset>
                </wp:positionH>
                <wp:positionV relativeFrom="paragraph">
                  <wp:posOffset>5568950</wp:posOffset>
                </wp:positionV>
                <wp:extent cx="3705225" cy="381000"/>
                <wp:effectExtent l="0" t="0" r="0" b="0"/>
                <wp:wrapNone/>
                <wp:docPr id="8" name="文本框 9"/>
                <wp:cNvGraphicFramePr/>
                <a:graphic xmlns:a="http://schemas.openxmlformats.org/drawingml/2006/main">
                  <a:graphicData uri="http://schemas.microsoft.com/office/word/2010/wordprocessingShape">
                    <wps:wsp>
                      <wps:cNvSpPr txBox="1"/>
                      <wps:spPr>
                        <a:xfrm>
                          <a:off x="0" y="0"/>
                          <a:ext cx="3705225" cy="381000"/>
                        </a:xfrm>
                        <a:prstGeom prst="rect">
                          <a:avLst/>
                        </a:prstGeom>
                        <a:noFill/>
                        <a:ln>
                          <a:noFill/>
                        </a:ln>
                      </wps:spPr>
                      <wps:txbx>
                        <w:txbxContent>
                          <w:p>
                            <w:pPr>
                              <w:jc w:val="center"/>
                              <w:rPr>
                                <w:rFonts w:hint="eastAsia" w:ascii="Times New Roman" w:hAnsi="Times New Roman" w:eastAsia="黑体" w:cs="Times New Roman"/>
                                <w:b w:val="0"/>
                                <w:bCs w:val="0"/>
                                <w:sz w:val="21"/>
                                <w:szCs w:val="21"/>
                              </w:rPr>
                            </w:pPr>
                            <w:r>
                              <w:rPr>
                                <w:rFonts w:hint="eastAsia" w:ascii="Times New Roman" w:hAnsi="Times New Roman" w:eastAsia="黑体" w:cs="Times New Roman"/>
                                <w:b w:val="0"/>
                                <w:bCs w:val="0"/>
                                <w:sz w:val="21"/>
                                <w:szCs w:val="21"/>
                              </w:rPr>
                              <w:t>图3.1-</w:t>
                            </w:r>
                            <w:r>
                              <w:rPr>
                                <w:rFonts w:hint="eastAsia" w:eastAsia="黑体" w:cs="Times New Roman"/>
                                <w:b w:val="0"/>
                                <w:bCs w:val="0"/>
                                <w:sz w:val="21"/>
                                <w:szCs w:val="21"/>
                                <w:lang w:val="en-US" w:eastAsia="zh-CN"/>
                              </w:rPr>
                              <w:t>2</w:t>
                            </w:r>
                            <w:r>
                              <w:rPr>
                                <w:rFonts w:hint="eastAsia" w:ascii="Times New Roman" w:hAnsi="Times New Roman" w:eastAsia="黑体" w:cs="Times New Roman"/>
                                <w:b w:val="0"/>
                                <w:bCs w:val="0"/>
                                <w:sz w:val="21"/>
                                <w:szCs w:val="21"/>
                                <w:lang w:val="en-US" w:eastAsia="zh-CN"/>
                              </w:rPr>
                              <w:t xml:space="preserve">  </w:t>
                            </w:r>
                            <w:r>
                              <w:rPr>
                                <w:rFonts w:hint="eastAsia" w:ascii="Times New Roman" w:hAnsi="Times New Roman" w:eastAsia="黑体" w:cs="Times New Roman"/>
                                <w:b w:val="0"/>
                                <w:bCs w:val="0"/>
                                <w:sz w:val="21"/>
                                <w:szCs w:val="21"/>
                              </w:rPr>
                              <w:t>项目地理位置图</w:t>
                            </w:r>
                          </w:p>
                        </w:txbxContent>
                      </wps:txbx>
                      <wps:bodyPr upright="1"/>
                    </wps:wsp>
                  </a:graphicData>
                </a:graphic>
              </wp:anchor>
            </w:drawing>
          </mc:Choice>
          <mc:Fallback>
            <w:pict>
              <v:shape id="文本框 9" o:spid="_x0000_s1026" o:spt="202" type="#_x0000_t202" style="position:absolute;left:0pt;margin-left:180.95pt;margin-top:438.5pt;height:30pt;width:291.75pt;z-index:251662336;mso-width-relative:page;mso-height-relative:page;" filled="f" stroked="f" coordsize="21600,21600" o:gfxdata="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jwrV+&#10;2QAAAAsBAAAPAAAAAAAAAAEAIAAAACIAAABkcnMvZG93bnJldi54bWxQSwECFAAUAAAACACHTuJA&#10;3r6y6a4BAABOAwAADgAAAAAAAAABACAAAAAoAQAAZHJzL2Uyb0RvYy54bWxQSwUGAAAAAAYABgBZ&#10;AQAASAUAAAAA&#10;">
                <v:fill on="f" focussize="0,0"/>
                <v:stroke on="f"/>
                <v:imagedata o:title=""/>
                <o:lock v:ext="edit" aspectratio="f"/>
                <v:textbox>
                  <w:txbxContent>
                    <w:p>
                      <w:pPr>
                        <w:jc w:val="center"/>
                        <w:rPr>
                          <w:rFonts w:hint="eastAsia" w:ascii="Times New Roman" w:hAnsi="Times New Roman" w:eastAsia="黑体" w:cs="Times New Roman"/>
                          <w:b w:val="0"/>
                          <w:bCs w:val="0"/>
                          <w:sz w:val="21"/>
                          <w:szCs w:val="21"/>
                        </w:rPr>
                      </w:pPr>
                      <w:r>
                        <w:rPr>
                          <w:rFonts w:hint="eastAsia" w:ascii="Times New Roman" w:hAnsi="Times New Roman" w:eastAsia="黑体" w:cs="Times New Roman"/>
                          <w:b w:val="0"/>
                          <w:bCs w:val="0"/>
                          <w:sz w:val="21"/>
                          <w:szCs w:val="21"/>
                        </w:rPr>
                        <w:t>图3.1-</w:t>
                      </w:r>
                      <w:r>
                        <w:rPr>
                          <w:rFonts w:hint="eastAsia" w:eastAsia="黑体" w:cs="Times New Roman"/>
                          <w:b w:val="0"/>
                          <w:bCs w:val="0"/>
                          <w:sz w:val="21"/>
                          <w:szCs w:val="21"/>
                          <w:lang w:val="en-US" w:eastAsia="zh-CN"/>
                        </w:rPr>
                        <w:t>2</w:t>
                      </w:r>
                      <w:r>
                        <w:rPr>
                          <w:rFonts w:hint="eastAsia" w:ascii="Times New Roman" w:hAnsi="Times New Roman" w:eastAsia="黑体" w:cs="Times New Roman"/>
                          <w:b w:val="0"/>
                          <w:bCs w:val="0"/>
                          <w:sz w:val="21"/>
                          <w:szCs w:val="21"/>
                          <w:lang w:val="en-US" w:eastAsia="zh-CN"/>
                        </w:rPr>
                        <w:t xml:space="preserve">  </w:t>
                      </w:r>
                      <w:r>
                        <w:rPr>
                          <w:rFonts w:hint="eastAsia" w:ascii="Times New Roman" w:hAnsi="Times New Roman" w:eastAsia="黑体" w:cs="Times New Roman"/>
                          <w:b w:val="0"/>
                          <w:bCs w:val="0"/>
                          <w:sz w:val="21"/>
                          <w:szCs w:val="21"/>
                        </w:rPr>
                        <w:t>项目地理位置图</w:t>
                      </w:r>
                    </w:p>
                  </w:txbxContent>
                </v:textbox>
              </v:shape>
            </w:pict>
          </mc:Fallback>
        </mc:AlternateContent>
      </w:r>
      <w:r>
        <w:rPr>
          <w:sz w:val="24"/>
        </w:rPr>
        <mc:AlternateContent>
          <mc:Choice Requires="wps">
            <w:drawing>
              <wp:anchor distT="0" distB="0" distL="114300" distR="114300" simplePos="0" relativeHeight="251682816" behindDoc="0" locked="0" layoutInCell="1" allowOverlap="1">
                <wp:simplePos x="0" y="0"/>
                <wp:positionH relativeFrom="column">
                  <wp:posOffset>6346190</wp:posOffset>
                </wp:positionH>
                <wp:positionV relativeFrom="paragraph">
                  <wp:posOffset>1395095</wp:posOffset>
                </wp:positionV>
                <wp:extent cx="1019175" cy="361950"/>
                <wp:effectExtent l="718820" t="6350" r="14605" b="241300"/>
                <wp:wrapNone/>
                <wp:docPr id="33" name="矩形标注 33"/>
                <wp:cNvGraphicFramePr/>
                <a:graphic xmlns:a="http://schemas.openxmlformats.org/drawingml/2006/main">
                  <a:graphicData uri="http://schemas.microsoft.com/office/word/2010/wordprocessingShape">
                    <wps:wsp>
                      <wps:cNvSpPr/>
                      <wps:spPr>
                        <a:xfrm>
                          <a:off x="7498715" y="3071495"/>
                          <a:ext cx="1019175" cy="361950"/>
                        </a:xfrm>
                        <a:prstGeom prst="wedgeRectCallout">
                          <a:avLst>
                            <a:gd name="adj1" fmla="val -115833"/>
                            <a:gd name="adj2" fmla="val 107192"/>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b/>
                                <w:bCs/>
                                <w:color w:val="FF0000"/>
                                <w:lang w:val="en-US" w:eastAsia="zh-CN"/>
                              </w:rPr>
                            </w:pPr>
                            <w:r>
                              <w:rPr>
                                <w:rFonts w:hint="eastAsia"/>
                                <w:b/>
                                <w:bCs/>
                                <w:color w:val="FF0000"/>
                                <w:lang w:val="en-US" w:eastAsia="zh-CN"/>
                              </w:rPr>
                              <w:t>徽氏新材料</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499.7pt;margin-top:109.85pt;height:28.5pt;width:80.25pt;z-index:251682816;v-text-anchor:middle;mso-width-relative:page;mso-height-relative:page;" filled="f" stroked="t" coordsize="21600,21600" o:gfxdata="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" adj="-14220,33953">
                <v:fill on="f" focussize="0,0"/>
                <v:stroke weight="1pt" color="#41719C [3204]" miterlimit="8" joinstyle="miter"/>
                <v:imagedata o:title=""/>
                <o:lock v:ext="edit" aspectratio="f"/>
                <v:textbox>
                  <w:txbxContent>
                    <w:p>
                      <w:pPr>
                        <w:jc w:val="center"/>
                        <w:rPr>
                          <w:rFonts w:hint="default" w:eastAsia="宋体"/>
                          <w:b/>
                          <w:bCs/>
                          <w:color w:val="FF0000"/>
                          <w:lang w:val="en-US" w:eastAsia="zh-CN"/>
                        </w:rPr>
                      </w:pPr>
                      <w:r>
                        <w:rPr>
                          <w:rFonts w:hint="eastAsia"/>
                          <w:b/>
                          <w:bCs/>
                          <w:color w:val="FF0000"/>
                          <w:lang w:val="en-US" w:eastAsia="zh-CN"/>
                        </w:rPr>
                        <w:t>徽氏新材料</w:t>
                      </w:r>
                    </w:p>
                  </w:txbxContent>
                </v:textbox>
              </v:shape>
            </w:pict>
          </mc:Fallback>
        </mc:AlternateContent>
      </w:r>
      <w:r>
        <w:rPr>
          <w:sz w:val="24"/>
        </w:rPr>
        <mc:AlternateContent>
          <mc:Choice Requires="wps">
            <w:drawing>
              <wp:anchor distT="0" distB="0" distL="114300" distR="114300" simplePos="0" relativeHeight="251681792" behindDoc="0" locked="0" layoutInCell="1" allowOverlap="1">
                <wp:simplePos x="0" y="0"/>
                <wp:positionH relativeFrom="column">
                  <wp:posOffset>5536565</wp:posOffset>
                </wp:positionH>
                <wp:positionV relativeFrom="paragraph">
                  <wp:posOffset>1877695</wp:posOffset>
                </wp:positionV>
                <wp:extent cx="180975" cy="179705"/>
                <wp:effectExtent l="19050" t="21590" r="28575" b="27305"/>
                <wp:wrapNone/>
                <wp:docPr id="15" name="五角星 15"/>
                <wp:cNvGraphicFramePr/>
                <a:graphic xmlns:a="http://schemas.openxmlformats.org/drawingml/2006/main">
                  <a:graphicData uri="http://schemas.microsoft.com/office/word/2010/wordprocessingShape">
                    <wps:wsp>
                      <wps:cNvSpPr/>
                      <wps:spPr>
                        <a:xfrm>
                          <a:off x="6679565" y="2792095"/>
                          <a:ext cx="180975" cy="179705"/>
                        </a:xfrm>
                        <a:prstGeom prst="star5">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435.95pt;margin-top:147.85pt;height:14.15pt;width:14.25pt;z-index:251681792;v-text-anchor:middle;mso-width-relative:page;mso-height-relative:page;" fillcolor="#FF0000" filled="t" stroked="t" coordsize="180975,179705" o:gfxdata="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DsK1302wAAAAsBAAAPAAAAAAAA&#10;AAEAIAAAACIAAABkcnMvZG93bnJldi54bWxQSwECFAAUAAAACACHTuJAkYHCQYECAAAFBQAADgAA&#10;AAAAAAABACAAAAAqAQAAZHJzL2Uyb0RvYy54bWxQSwUGAAAAAAYABgBZAQAAHQYAAAAA&#10;" path="m0,68641l69126,68641,90487,0,111848,68641,180974,68641,125050,111063,146411,179704,90487,137281,34563,179704,55924,111063xe">
                <v:path o:connectlocs="90487,0;0,68641;34563,179704;146411,179704;180974,68641" o:connectangles="247,164,82,82,0"/>
                <v:fill on="t" focussize="0,0"/>
                <v:stroke weight="1pt" color="#FF0000 [3204]" miterlimit="8" joinstyle="miter"/>
                <v:imagedata o:title=""/>
                <o:lock v:ext="edit" aspectratio="f"/>
              </v:shape>
            </w:pict>
          </mc:Fallback>
        </mc:AlternateContent>
      </w:r>
      <w:r>
        <w:rPr>
          <w:rFonts w:hint="eastAsia" w:eastAsia="宋体"/>
          <w:color w:val="FF0000"/>
          <w:lang w:eastAsia="zh-CN"/>
        </w:rPr>
        <w:drawing>
          <wp:inline distT="0" distB="0" distL="114300" distR="114300">
            <wp:extent cx="8268970" cy="5723255"/>
            <wp:effectExtent l="0" t="0" r="17780" b="10795"/>
            <wp:docPr id="6" name="图片 6" descr="013无为市地图（示意地图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013无为市地图（示意地图版）"/>
                    <pic:cNvPicPr>
                      <a:picLocks noChangeAspect="1"/>
                    </pic:cNvPicPr>
                  </pic:nvPicPr>
                  <pic:blipFill>
                    <a:blip r:embed="rId31"/>
                    <a:stretch>
                      <a:fillRect/>
                    </a:stretch>
                  </pic:blipFill>
                  <pic:spPr>
                    <a:xfrm>
                      <a:off x="0" y="0"/>
                      <a:ext cx="8268970" cy="5723255"/>
                    </a:xfrm>
                    <a:prstGeom prst="rect">
                      <a:avLst/>
                    </a:prstGeom>
                  </pic:spPr>
                </pic:pic>
              </a:graphicData>
            </a:graphic>
          </wp:inline>
        </w:drawing>
      </w:r>
    </w:p>
    <w:p>
      <w:pPr>
        <w:pStyle w:val="21"/>
        <w:jc w:val="center"/>
      </w:pPr>
      <w:r>
        <w:rPr>
          <w:sz w:val="24"/>
        </w:rPr>
        <mc:AlternateContent>
          <mc:Choice Requires="wps">
            <w:drawing>
              <wp:anchor distT="0" distB="0" distL="114300" distR="114300" simplePos="0" relativeHeight="251674624" behindDoc="0" locked="0" layoutInCell="1" allowOverlap="1">
                <wp:simplePos x="0" y="0"/>
                <wp:positionH relativeFrom="column">
                  <wp:posOffset>1877695</wp:posOffset>
                </wp:positionH>
                <wp:positionV relativeFrom="paragraph">
                  <wp:posOffset>4196715</wp:posOffset>
                </wp:positionV>
                <wp:extent cx="1685925" cy="391160"/>
                <wp:effectExtent l="0" t="0" r="0" b="0"/>
                <wp:wrapNone/>
                <wp:docPr id="13" name="文本框 11"/>
                <wp:cNvGraphicFramePr/>
                <a:graphic xmlns:a="http://schemas.openxmlformats.org/drawingml/2006/main">
                  <a:graphicData uri="http://schemas.microsoft.com/office/word/2010/wordprocessingShape">
                    <wps:wsp>
                      <wps:cNvSpPr txBox="1"/>
                      <wps:spPr>
                        <a:xfrm>
                          <a:off x="0" y="0"/>
                          <a:ext cx="1685925" cy="391160"/>
                        </a:xfrm>
                        <a:prstGeom prst="rect">
                          <a:avLst/>
                        </a:prstGeom>
                        <a:noFill/>
                        <a:ln w="9525" cap="flat" cmpd="sng">
                          <a:noFill/>
                          <a:prstDash val="solid"/>
                          <a:miter/>
                          <a:headEnd type="none" w="med" len="med"/>
                          <a:tailEnd type="none" w="med" len="med"/>
                        </a:ln>
                      </wps:spPr>
                      <wps:txbx>
                        <w:txbxContent>
                          <w:p>
                            <w:pPr>
                              <w:rPr>
                                <w:rFonts w:hint="default" w:eastAsia="宋体"/>
                                <w:b/>
                                <w:bCs/>
                                <w:color w:val="FF0000"/>
                                <w:sz w:val="21"/>
                                <w:szCs w:val="21"/>
                                <w:lang w:val="en-US" w:eastAsia="zh-CN"/>
                              </w:rPr>
                            </w:pPr>
                            <w:r>
                              <w:rPr>
                                <w:rFonts w:hint="eastAsia"/>
                                <w:b/>
                                <w:bCs/>
                                <w:color w:val="FF0000"/>
                                <w:sz w:val="21"/>
                                <w:szCs w:val="21"/>
                                <w:lang w:eastAsia="zh-CN"/>
                              </w:rPr>
                              <w:t>本次验收</w:t>
                            </w:r>
                            <w:r>
                              <w:rPr>
                                <w:rFonts w:hint="eastAsia"/>
                                <w:b/>
                                <w:bCs/>
                                <w:color w:val="FF0000"/>
                                <w:sz w:val="21"/>
                                <w:szCs w:val="21"/>
                                <w:lang w:val="en-US" w:eastAsia="zh-CN"/>
                              </w:rPr>
                              <w:t>生产线所在范围</w:t>
                            </w:r>
                          </w:p>
                        </w:txbxContent>
                      </wps:txbx>
                      <wps:bodyPr upright="1"/>
                    </wps:wsp>
                  </a:graphicData>
                </a:graphic>
              </wp:anchor>
            </w:drawing>
          </mc:Choice>
          <mc:Fallback>
            <w:pict>
              <v:shape id="文本框 11" o:spid="_x0000_s1026" o:spt="202" type="#_x0000_t202" style="position:absolute;left:0pt;margin-left:147.85pt;margin-top:330.45pt;height:30.8pt;width:132.75pt;z-index:251674624;mso-width-relative:page;mso-height-relative:page;" filled="f" stroked="f" coordsize="21600,21600" o:gfxdata="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S7q+W2AAAAAsBAAAPAAAAAAAAAAEAIAAAACIAAABkcnMvZG93bnJldi54bWxQSwEC&#10;FAAUAAAACACHTuJA0ggQI/QBAADmAwAADgAAAAAAAAABACAAAAAnAQAAZHJzL2Uyb0RvYy54bWxQ&#10;SwUGAAAAAAYABgBZAQAAjQUAAAAA&#10;">
                <v:fill on="f" focussize="0,0"/>
                <v:stroke on="f" joinstyle="miter"/>
                <v:imagedata o:title=""/>
                <o:lock v:ext="edit" aspectratio="f"/>
                <v:textbox>
                  <w:txbxContent>
                    <w:p>
                      <w:pPr>
                        <w:rPr>
                          <w:rFonts w:hint="default" w:eastAsia="宋体"/>
                          <w:b/>
                          <w:bCs/>
                          <w:color w:val="FF0000"/>
                          <w:sz w:val="21"/>
                          <w:szCs w:val="21"/>
                          <w:lang w:val="en-US" w:eastAsia="zh-CN"/>
                        </w:rPr>
                      </w:pPr>
                      <w:r>
                        <w:rPr>
                          <w:rFonts w:hint="eastAsia"/>
                          <w:b/>
                          <w:bCs/>
                          <w:color w:val="FF0000"/>
                          <w:sz w:val="21"/>
                          <w:szCs w:val="21"/>
                          <w:lang w:eastAsia="zh-CN"/>
                        </w:rPr>
                        <w:t>本次验收</w:t>
                      </w:r>
                      <w:r>
                        <w:rPr>
                          <w:rFonts w:hint="eastAsia"/>
                          <w:b/>
                          <w:bCs/>
                          <w:color w:val="FF0000"/>
                          <w:sz w:val="21"/>
                          <w:szCs w:val="21"/>
                          <w:lang w:val="en-US" w:eastAsia="zh-CN"/>
                        </w:rPr>
                        <w:t>生产线所在范围</w:t>
                      </w:r>
                    </w:p>
                  </w:txbxContent>
                </v:textbox>
              </v:shape>
            </w:pict>
          </mc:Fallback>
        </mc:AlternateContent>
      </w:r>
      <w:r>
        <w:rPr>
          <w:sz w:val="24"/>
        </w:rPr>
        <mc:AlternateContent>
          <mc:Choice Requires="wps">
            <w:drawing>
              <wp:anchor distT="0" distB="0" distL="114300" distR="114300" simplePos="0" relativeHeight="251675648" behindDoc="0" locked="0" layoutInCell="1" allowOverlap="1">
                <wp:simplePos x="0" y="0"/>
                <wp:positionH relativeFrom="column">
                  <wp:posOffset>1372870</wp:posOffset>
                </wp:positionH>
                <wp:positionV relativeFrom="paragraph">
                  <wp:posOffset>4130040</wp:posOffset>
                </wp:positionV>
                <wp:extent cx="495935" cy="381000"/>
                <wp:effectExtent l="0" t="0" r="18415" b="38100"/>
                <wp:wrapNone/>
                <wp:docPr id="16" name="直线 12"/>
                <wp:cNvGraphicFramePr/>
                <a:graphic xmlns:a="http://schemas.openxmlformats.org/drawingml/2006/main">
                  <a:graphicData uri="http://schemas.microsoft.com/office/word/2010/wordprocessingShape">
                    <wps:wsp>
                      <wps:cNvCnPr/>
                      <wps:spPr>
                        <a:xfrm flipH="1" flipV="1">
                          <a:off x="0" y="0"/>
                          <a:ext cx="495935" cy="381000"/>
                        </a:xfrm>
                        <a:prstGeom prst="line">
                          <a:avLst/>
                        </a:prstGeom>
                        <a:ln w="57150" cap="flat" cmpd="sng">
                          <a:solidFill>
                            <a:srgbClr val="000000"/>
                          </a:solidFill>
                          <a:prstDash val="solid"/>
                          <a:headEnd type="none" w="med" len="med"/>
                          <a:tailEnd type="arrow" w="med" len="med"/>
                        </a:ln>
                      </wps:spPr>
                      <wps:bodyPr upright="1"/>
                    </wps:wsp>
                  </a:graphicData>
                </a:graphic>
              </wp:anchor>
            </w:drawing>
          </mc:Choice>
          <mc:Fallback>
            <w:pict>
              <v:line id="直线 12" o:spid="_x0000_s1026" o:spt="20" style="position:absolute;left:0pt;flip:x y;margin-left:108.1pt;margin-top:325.2pt;height:30pt;width:39.05pt;z-index:251675648;mso-width-relative:page;mso-height-relative:page;" filled="f" stroked="t" coordsize="21600,21600" o:gfxdata="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wcTXNdwAAAALAQAADwAAAAAAAAABACAAAAAiAAAA&#10;ZHJzL2Rvd25yZXYueG1sUEsBAhQAFAAAAAgAh07iQC2cJZYDAgAA9wMAAA4AAAAAAAAAAQAgAAAA&#10;KwEAAGRycy9lMm9Eb2MueG1sUEsFBgAAAAAGAAYAWQEAAKAFAAAAAA==&#10;">
                <v:fill on="f" focussize="0,0"/>
                <v:stroke weight="4.5pt" color="#000000" joinstyle="round" endarrow="open"/>
                <v:imagedata o:title=""/>
                <o:lock v:ext="edit" aspectratio="f"/>
              </v:line>
            </w:pict>
          </mc:Fallback>
        </mc:AlternateContent>
      </w:r>
      <w:r>
        <w:rPr>
          <w:sz w:val="24"/>
        </w:rPr>
        <mc:AlternateContent>
          <mc:Choice Requires="wps">
            <w:drawing>
              <wp:anchor distT="0" distB="0" distL="114300" distR="114300" simplePos="0" relativeHeight="251674624" behindDoc="0" locked="0" layoutInCell="1" allowOverlap="1">
                <wp:simplePos x="0" y="0"/>
                <wp:positionH relativeFrom="column">
                  <wp:posOffset>264160</wp:posOffset>
                </wp:positionH>
                <wp:positionV relativeFrom="paragraph">
                  <wp:posOffset>2033270</wp:posOffset>
                </wp:positionV>
                <wp:extent cx="3232785" cy="2058035"/>
                <wp:effectExtent l="38100" t="38100" r="43815" b="56515"/>
                <wp:wrapNone/>
                <wp:docPr id="14" name="矩形 10"/>
                <wp:cNvGraphicFramePr/>
                <a:graphic xmlns:a="http://schemas.openxmlformats.org/drawingml/2006/main">
                  <a:graphicData uri="http://schemas.microsoft.com/office/word/2010/wordprocessingShape">
                    <wps:wsp>
                      <wps:cNvSpPr/>
                      <wps:spPr>
                        <a:xfrm>
                          <a:off x="0" y="0"/>
                          <a:ext cx="3232785" cy="2058035"/>
                        </a:xfrm>
                        <a:prstGeom prst="rect">
                          <a:avLst/>
                        </a:prstGeom>
                        <a:noFill/>
                        <a:ln w="76200" cap="flat" cmpd="sng">
                          <a:solidFill>
                            <a:srgbClr val="FF0000"/>
                          </a:solidFill>
                          <a:prstDash val="solid"/>
                          <a:miter/>
                          <a:headEnd type="none" w="med" len="med"/>
                          <a:tailEnd type="none" w="med" len="med"/>
                        </a:ln>
                      </wps:spPr>
                      <wps:txbx>
                        <w:txbxContent>
                          <w:p/>
                        </w:txbxContent>
                      </wps:txbx>
                      <wps:bodyPr upright="1"/>
                    </wps:wsp>
                  </a:graphicData>
                </a:graphic>
              </wp:anchor>
            </w:drawing>
          </mc:Choice>
          <mc:Fallback>
            <w:pict>
              <v:rect id="矩形 10" o:spid="_x0000_s1026" o:spt="1" style="position:absolute;left:0pt;margin-left:20.8pt;margin-top:160.1pt;height:162.05pt;width:254.55pt;z-index:251674624;mso-width-relative:page;mso-height-relative:page;" filled="f" stroked="t" coordsize="21600,21600" o:gfxdata="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aq6djaAAAACgEAAA8AAAAAAAAAAQAgAAAAIgAAAGRycy9k&#10;b3ducmV2LnhtbFBLAQIUABQAAAAIAIdO4kDsGtK1AAIAAAQEAAAOAAAAAAAAAAEAIAAAACkBAABk&#10;cnMvZTJvRG9jLnhtbFBLBQYAAAAABgAGAFkBAACbBQAAAAA=&#10;">
                <v:fill on="f" focussize="0,0"/>
                <v:stroke weight="6pt" color="#FF0000" joinstyle="miter"/>
                <v:imagedata o:title=""/>
                <o:lock v:ext="edit" aspectratio="f"/>
                <v:textbox>
                  <w:txbxContent>
                    <w:p/>
                  </w:txbxContent>
                </v:textbox>
              </v:rect>
            </w:pict>
          </mc:Fallback>
        </mc:AlternateContent>
      </w:r>
      <w:r>
        <w:drawing>
          <wp:inline distT="0" distB="0" distL="114300" distR="114300">
            <wp:extent cx="8406130" cy="4606290"/>
            <wp:effectExtent l="0" t="0" r="13970" b="3810"/>
            <wp:docPr id="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
                    <pic:cNvPicPr>
                      <a:picLocks noChangeAspect="1"/>
                    </pic:cNvPicPr>
                  </pic:nvPicPr>
                  <pic:blipFill>
                    <a:blip r:embed="rId32"/>
                    <a:stretch>
                      <a:fillRect/>
                    </a:stretch>
                  </pic:blipFill>
                  <pic:spPr>
                    <a:xfrm>
                      <a:off x="0" y="0"/>
                      <a:ext cx="8406130" cy="4606290"/>
                    </a:xfrm>
                    <a:prstGeom prst="rect">
                      <a:avLst/>
                    </a:prstGeom>
                    <a:noFill/>
                    <a:ln>
                      <a:noFill/>
                    </a:ln>
                  </pic:spPr>
                </pic:pic>
              </a:graphicData>
            </a:graphic>
          </wp:inline>
        </w:drawing>
      </w:r>
    </w:p>
    <w:p>
      <w:pPr>
        <w:jc w:val="center"/>
        <w:rPr>
          <w:rFonts w:hint="eastAsia" w:ascii="Times New Roman" w:hAnsi="Times New Roman" w:eastAsia="黑体" w:cs="Times New Roman"/>
          <w:b w:val="0"/>
          <w:bCs w:val="0"/>
          <w:sz w:val="21"/>
          <w:szCs w:val="21"/>
        </w:rPr>
      </w:pPr>
      <w:r>
        <w:rPr>
          <w:rFonts w:hint="eastAsia" w:ascii="Times New Roman" w:hAnsi="Times New Roman" w:eastAsia="黑体" w:cs="Times New Roman"/>
          <w:b w:val="0"/>
          <w:bCs w:val="0"/>
          <w:sz w:val="21"/>
          <w:szCs w:val="21"/>
        </w:rPr>
        <w:t>图3.1-</w:t>
      </w:r>
      <w:r>
        <w:rPr>
          <w:rFonts w:hint="eastAsia" w:eastAsia="黑体" w:cs="Times New Roman"/>
          <w:b w:val="0"/>
          <w:bCs w:val="0"/>
          <w:sz w:val="21"/>
          <w:szCs w:val="21"/>
          <w:lang w:val="en-US" w:eastAsia="zh-CN"/>
        </w:rPr>
        <w:t>3</w:t>
      </w:r>
      <w:r>
        <w:rPr>
          <w:rFonts w:hint="eastAsia" w:ascii="Times New Roman" w:hAnsi="Times New Roman" w:eastAsia="黑体" w:cs="Times New Roman"/>
          <w:b w:val="0"/>
          <w:bCs w:val="0"/>
          <w:sz w:val="21"/>
          <w:szCs w:val="21"/>
          <w:lang w:val="en-US" w:eastAsia="zh-CN"/>
        </w:rPr>
        <w:t xml:space="preserve">  </w:t>
      </w:r>
      <w:r>
        <w:rPr>
          <w:rFonts w:hint="eastAsia" w:ascii="Times New Roman" w:hAnsi="Times New Roman" w:eastAsia="黑体" w:cs="Times New Roman"/>
          <w:b w:val="0"/>
          <w:bCs w:val="0"/>
          <w:sz w:val="21"/>
          <w:szCs w:val="21"/>
        </w:rPr>
        <w:t>厂区总平面布置图</w:t>
      </w:r>
    </w:p>
    <w:p>
      <w:pPr>
        <w:pStyle w:val="21"/>
        <w:rPr>
          <w:rFonts w:hint="eastAsia"/>
        </w:rPr>
        <w:sectPr>
          <w:footerReference r:id="rId12" w:type="default"/>
          <w:pgSz w:w="16838" w:h="11906" w:orient="landscape"/>
          <w:pgMar w:top="1440" w:right="1800" w:bottom="1440" w:left="1800" w:header="794" w:footer="992" w:gutter="0"/>
          <w:pgNumType w:fmt="decimal"/>
          <w:cols w:space="425" w:num="1"/>
          <w:docGrid w:type="lines" w:linePitch="312" w:charSpace="0"/>
        </w:sectPr>
      </w:pPr>
    </w:p>
    <w:p>
      <w:pPr>
        <w:pStyle w:val="6"/>
        <w:keepNext/>
        <w:keepLines w:val="0"/>
        <w:pageBreakBefore w:val="0"/>
        <w:widowControl w:val="0"/>
        <w:kinsoku/>
        <w:wordWrap/>
        <w:overflowPunct/>
        <w:topLinePunct w:val="0"/>
        <w:autoSpaceDE/>
        <w:autoSpaceDN/>
        <w:bidi w:val="0"/>
        <w:adjustRightInd/>
        <w:snapToGrid/>
        <w:spacing w:beforeLines="0" w:afterLines="0"/>
        <w:ind w:firstLine="0" w:firstLineChars="0"/>
        <w:textAlignment w:val="auto"/>
        <w:rPr>
          <w:rFonts w:hint="eastAsia" w:ascii="宋体" w:hAnsi="宋体" w:cs="宋体"/>
          <w:spacing w:val="-2"/>
          <w:sz w:val="24"/>
          <w:szCs w:val="24"/>
          <w:lang w:eastAsia="zh-CN"/>
        </w:rPr>
      </w:pPr>
      <w:bookmarkStart w:id="34" w:name="_Toc25081"/>
      <w:bookmarkStart w:id="35" w:name="_Toc13114"/>
      <w:bookmarkStart w:id="36" w:name="_Toc11133"/>
      <w:r>
        <w:rPr>
          <w:color w:val="auto"/>
          <w:sz w:val="36"/>
          <w:szCs w:val="36"/>
        </w:rPr>
        <w:t>3.2</w:t>
      </w:r>
      <w:r>
        <w:rPr>
          <w:rFonts w:hint="eastAsia"/>
          <w:color w:val="auto"/>
          <w:sz w:val="36"/>
          <w:szCs w:val="36"/>
        </w:rPr>
        <w:t>建设内容</w:t>
      </w:r>
      <w:bookmarkEnd w:id="34"/>
      <w:bookmarkEnd w:id="35"/>
      <w:bookmarkEnd w:id="36"/>
      <w:bookmarkStart w:id="37" w:name="_Toc214253112"/>
      <w:bookmarkStart w:id="38" w:name="_Toc307498020"/>
      <w:bookmarkStart w:id="39" w:name="_Toc293296579"/>
      <w:bookmarkStart w:id="40" w:name="_Toc358800878"/>
    </w:p>
    <w:p>
      <w:pPr>
        <w:pStyle w:val="7"/>
        <w:keepNext/>
        <w:pageBreakBefore w:val="0"/>
        <w:widowControl w:val="0"/>
        <w:kinsoku/>
        <w:wordWrap/>
        <w:overflowPunct/>
        <w:topLinePunct w:val="0"/>
        <w:autoSpaceDE/>
        <w:autoSpaceDN/>
        <w:bidi w:val="0"/>
        <w:adjustRightInd/>
        <w:snapToGrid/>
        <w:spacing w:beforeLines="0" w:afterLines="0"/>
        <w:ind w:left="0" w:leftChars="0" w:firstLine="0" w:firstLineChars="0"/>
        <w:textAlignment w:val="auto"/>
        <w:rPr>
          <w:sz w:val="30"/>
          <w:szCs w:val="30"/>
        </w:rPr>
      </w:pPr>
      <w:bookmarkStart w:id="41" w:name="_Toc20172"/>
      <w:r>
        <w:rPr>
          <w:rFonts w:hint="eastAsia"/>
          <w:sz w:val="30"/>
          <w:szCs w:val="30"/>
        </w:rPr>
        <w:t>3.2.</w:t>
      </w:r>
      <w:r>
        <w:rPr>
          <w:rFonts w:hint="eastAsia"/>
          <w:sz w:val="30"/>
          <w:szCs w:val="30"/>
          <w:lang w:val="en-US" w:eastAsia="zh-CN"/>
        </w:rPr>
        <w:t>1</w:t>
      </w:r>
      <w:r>
        <w:rPr>
          <w:rFonts w:hint="eastAsia"/>
          <w:sz w:val="30"/>
          <w:szCs w:val="30"/>
        </w:rPr>
        <w:t>本</w:t>
      </w:r>
      <w:r>
        <w:rPr>
          <w:rFonts w:hint="eastAsia"/>
          <w:sz w:val="30"/>
          <w:szCs w:val="30"/>
          <w:lang w:val="en-US" w:eastAsia="zh-CN"/>
        </w:rPr>
        <w:t>次验收</w:t>
      </w:r>
      <w:r>
        <w:rPr>
          <w:rFonts w:hint="eastAsia"/>
          <w:sz w:val="30"/>
          <w:szCs w:val="30"/>
        </w:rPr>
        <w:t>项目概况</w:t>
      </w:r>
      <w:bookmarkEnd w:id="37"/>
      <w:bookmarkEnd w:id="38"/>
      <w:bookmarkEnd w:id="39"/>
      <w:bookmarkEnd w:id="40"/>
      <w:bookmarkEnd w:id="41"/>
    </w:p>
    <w:p>
      <w:pPr>
        <w:pStyle w:val="8"/>
        <w:keepNext/>
        <w:pageBreakBefore w:val="0"/>
        <w:widowControl w:val="0"/>
        <w:kinsoku/>
        <w:wordWrap/>
        <w:overflowPunct/>
        <w:topLinePunct w:val="0"/>
        <w:autoSpaceDE/>
        <w:autoSpaceDN/>
        <w:bidi w:val="0"/>
        <w:adjustRightInd/>
        <w:snapToGrid/>
        <w:spacing w:beforeLines="0" w:afterLines="0"/>
        <w:ind w:firstLine="0" w:firstLineChars="0"/>
        <w:textAlignment w:val="auto"/>
        <w:rPr>
          <w:sz w:val="28"/>
          <w:szCs w:val="28"/>
        </w:rPr>
      </w:pPr>
      <w:r>
        <w:rPr>
          <w:rFonts w:hint="eastAsia"/>
          <w:sz w:val="28"/>
          <w:szCs w:val="28"/>
        </w:rPr>
        <w:t>3.2.</w:t>
      </w:r>
      <w:r>
        <w:rPr>
          <w:rFonts w:hint="eastAsia"/>
          <w:sz w:val="28"/>
          <w:szCs w:val="28"/>
          <w:lang w:val="en-US" w:eastAsia="zh-CN"/>
        </w:rPr>
        <w:t>1</w:t>
      </w:r>
      <w:r>
        <w:rPr>
          <w:rFonts w:hint="eastAsia"/>
          <w:sz w:val="28"/>
          <w:szCs w:val="28"/>
        </w:rPr>
        <w:t>.1项目概况</w:t>
      </w:r>
    </w:p>
    <w:p>
      <w:pPr>
        <w:ind w:firstLine="480" w:firstLineChars="200"/>
        <w:rPr>
          <w:rFonts w:hint="eastAsia" w:ascii="Times New Roman" w:hAnsi="Times New Roman" w:eastAsia="宋体" w:cs="Times New Roman"/>
          <w:lang w:eastAsia="zh-CN"/>
        </w:rPr>
      </w:pPr>
      <w:r>
        <w:rPr>
          <w:rFonts w:hint="eastAsia" w:ascii="Times New Roman" w:hAnsi="Times New Roman" w:eastAsia="宋体" w:cs="Times New Roman"/>
        </w:rPr>
        <w:t>（1）项目名称：锂电池胶带生产和精加工项目</w:t>
      </w:r>
      <w:r>
        <w:rPr>
          <w:rFonts w:hint="eastAsia" w:cs="Times New Roman"/>
          <w:lang w:val="en-US" w:eastAsia="zh-CN"/>
        </w:rPr>
        <w:t>4、5、6号生产线</w:t>
      </w:r>
      <w:r>
        <w:rPr>
          <w:rFonts w:hint="eastAsia" w:ascii="Times New Roman" w:hAnsi="Times New Roman" w:eastAsia="宋体" w:cs="Times New Roman"/>
          <w:lang w:eastAsia="zh-CN"/>
        </w:rPr>
        <w:t>；</w:t>
      </w:r>
    </w:p>
    <w:p>
      <w:pPr>
        <w:ind w:firstLine="480" w:firstLineChars="200"/>
        <w:rPr>
          <w:rFonts w:hint="eastAsia" w:ascii="Times New Roman" w:hAnsi="Times New Roman" w:eastAsia="宋体" w:cs="Times New Roman"/>
        </w:rPr>
      </w:pPr>
      <w:r>
        <w:rPr>
          <w:rFonts w:hint="eastAsia" w:ascii="Times New Roman" w:hAnsi="Times New Roman" w:eastAsia="宋体" w:cs="Times New Roman"/>
        </w:rPr>
        <w:t>（2）建设性质：</w:t>
      </w:r>
      <w:r>
        <w:rPr>
          <w:rFonts w:hint="eastAsia" w:ascii="Times New Roman" w:hAnsi="Times New Roman" w:eastAsia="宋体" w:cs="Times New Roman"/>
          <w:lang w:eastAsia="zh-CN"/>
        </w:rPr>
        <w:t>新建</w:t>
      </w:r>
      <w:r>
        <w:rPr>
          <w:rFonts w:hint="eastAsia" w:ascii="Times New Roman" w:hAnsi="Times New Roman" w:eastAsia="宋体" w:cs="Times New Roman"/>
        </w:rPr>
        <w:t>；</w:t>
      </w:r>
    </w:p>
    <w:p>
      <w:pPr>
        <w:ind w:firstLine="480" w:firstLineChars="200"/>
        <w:rPr>
          <w:rFonts w:hint="eastAsia" w:ascii="Times New Roman" w:hAnsi="Times New Roman" w:eastAsia="宋体" w:cs="Times New Roman"/>
        </w:rPr>
      </w:pPr>
      <w:r>
        <w:rPr>
          <w:rFonts w:hint="eastAsia" w:ascii="Times New Roman" w:hAnsi="Times New Roman" w:eastAsia="宋体" w:cs="Times New Roman"/>
        </w:rPr>
        <w:t>（3）项目</w:t>
      </w:r>
      <w:r>
        <w:rPr>
          <w:rFonts w:hint="eastAsia" w:cs="Times New Roman"/>
          <w:lang w:eastAsia="zh-CN"/>
        </w:rPr>
        <w:t>总</w:t>
      </w:r>
      <w:r>
        <w:rPr>
          <w:rFonts w:hint="eastAsia" w:ascii="Times New Roman" w:hAnsi="Times New Roman" w:eastAsia="宋体" w:cs="Times New Roman"/>
        </w:rPr>
        <w:t>投资：实际总投资5000万元，环保投资600万元。现已建成</w:t>
      </w:r>
      <w:r>
        <w:rPr>
          <w:rFonts w:hint="eastAsia" w:cs="Times New Roman"/>
          <w:lang w:val="en-US" w:eastAsia="zh-CN"/>
        </w:rPr>
        <w:t>2</w:t>
      </w:r>
      <w:r>
        <w:rPr>
          <w:rFonts w:hint="eastAsia" w:ascii="Times New Roman" w:hAnsi="Times New Roman" w:eastAsia="宋体" w:cs="Times New Roman"/>
        </w:rPr>
        <w:t>座生产车间、1座仓库、临时办公室等及配套环保设施</w:t>
      </w:r>
      <w:r>
        <w:rPr>
          <w:rFonts w:hint="eastAsia" w:cs="Times New Roman"/>
          <w:lang w:eastAsia="zh-CN"/>
        </w:rPr>
        <w:t>，</w:t>
      </w:r>
      <w:r>
        <w:rPr>
          <w:rFonts w:hint="eastAsia" w:cs="Times New Roman"/>
          <w:lang w:val="en-US" w:eastAsia="zh-CN"/>
        </w:rPr>
        <w:t>本次验收内容投资额为1200万元，其中环保投资170万元</w:t>
      </w:r>
      <w:r>
        <w:rPr>
          <w:rFonts w:hint="eastAsia" w:ascii="Times New Roman" w:hAnsi="Times New Roman" w:eastAsia="宋体" w:cs="Times New Roman"/>
        </w:rPr>
        <w:t>；</w:t>
      </w:r>
    </w:p>
    <w:p>
      <w:pPr>
        <w:ind w:firstLine="480" w:firstLineChars="200"/>
        <w:rPr>
          <w:rFonts w:hint="eastAsia" w:ascii="Times New Roman" w:hAnsi="Times New Roman" w:eastAsia="宋体" w:cs="Times New Roman"/>
        </w:rPr>
      </w:pPr>
      <w:r>
        <w:rPr>
          <w:rFonts w:hint="eastAsia" w:ascii="Times New Roman" w:hAnsi="Times New Roman" w:eastAsia="宋体" w:cs="Times New Roman"/>
        </w:rPr>
        <w:t>（4）建设单位：芜湖徽氏新材料科技有限公司；</w:t>
      </w:r>
    </w:p>
    <w:p>
      <w:pPr>
        <w:ind w:firstLine="480" w:firstLineChars="200"/>
        <w:rPr>
          <w:rFonts w:hint="eastAsia" w:ascii="Times New Roman" w:hAnsi="Times New Roman" w:eastAsia="宋体" w:cs="Times New Roman"/>
          <w:lang w:eastAsia="zh-CN"/>
        </w:rPr>
      </w:pPr>
      <w:r>
        <w:rPr>
          <w:rFonts w:hint="eastAsia" w:ascii="Times New Roman" w:hAnsi="Times New Roman" w:eastAsia="宋体" w:cs="Times New Roman"/>
        </w:rPr>
        <w:t>（5）建设地点：安徽</w:t>
      </w:r>
      <w:r>
        <w:rPr>
          <w:rFonts w:hint="eastAsia" w:ascii="Times New Roman" w:hAnsi="Times New Roman" w:eastAsia="宋体" w:cs="Times New Roman"/>
          <w:lang w:eastAsia="zh-CN"/>
        </w:rPr>
        <w:t>无为市</w:t>
      </w:r>
      <w:r>
        <w:rPr>
          <w:rFonts w:hint="eastAsia" w:ascii="Times New Roman" w:hAnsi="Times New Roman" w:eastAsia="宋体" w:cs="Times New Roman"/>
        </w:rPr>
        <w:t>经济开发区城东工业园区，经四路西，支一路南</w:t>
      </w:r>
      <w:r>
        <w:rPr>
          <w:rFonts w:hint="eastAsia" w:ascii="Times New Roman" w:hAnsi="Times New Roman" w:eastAsia="宋体" w:cs="Times New Roman"/>
          <w:lang w:eastAsia="zh-CN"/>
        </w:rPr>
        <w:t>；</w:t>
      </w:r>
    </w:p>
    <w:p>
      <w:pPr>
        <w:ind w:firstLine="480" w:firstLineChars="200"/>
        <w:rPr>
          <w:rFonts w:hint="eastAsia" w:ascii="Times New Roman" w:hAnsi="Times New Roman" w:eastAsia="宋体" w:cs="Times New Roman"/>
          <w:lang w:eastAsia="zh-CN"/>
        </w:rPr>
      </w:pPr>
      <w:r>
        <w:rPr>
          <w:rFonts w:hint="eastAsia" w:ascii="Times New Roman" w:hAnsi="Times New Roman" w:eastAsia="宋体" w:cs="Times New Roman"/>
        </w:rPr>
        <w:t>（6）建设规模：</w:t>
      </w:r>
      <w:r>
        <w:rPr>
          <w:rFonts w:hint="eastAsia" w:ascii="Times New Roman" w:hAnsi="Times New Roman" w:eastAsia="宋体" w:cs="Times New Roman"/>
          <w:lang w:eastAsia="zh-CN"/>
        </w:rPr>
        <w:t>第一阶段</w:t>
      </w:r>
      <w:r>
        <w:rPr>
          <w:rFonts w:hint="eastAsia" w:ascii="Times New Roman" w:hAnsi="Times New Roman" w:eastAsia="宋体" w:cs="Times New Roman"/>
        </w:rPr>
        <w:t>规模为</w:t>
      </w:r>
      <w:r>
        <w:rPr>
          <w:rFonts w:hint="eastAsia" w:ascii="Times New Roman" w:hAnsi="Times New Roman" w:eastAsia="宋体" w:cs="Times New Roman"/>
          <w:lang w:val="en-US" w:eastAsia="zh-CN"/>
        </w:rPr>
        <w:t>两条锂电池胶带生产线</w:t>
      </w:r>
      <w:r>
        <w:rPr>
          <w:rFonts w:hint="eastAsia" w:ascii="Times New Roman" w:hAnsi="Times New Roman" w:eastAsia="宋体" w:cs="Times New Roman"/>
        </w:rPr>
        <w:t>，</w:t>
      </w:r>
      <w:r>
        <w:rPr>
          <w:rFonts w:hint="eastAsia" w:ascii="Times New Roman" w:hAnsi="Times New Roman" w:eastAsia="宋体" w:cs="Times New Roman"/>
          <w:lang w:eastAsia="zh-CN"/>
        </w:rPr>
        <w:t>产能为</w:t>
      </w:r>
      <w:r>
        <w:rPr>
          <w:rFonts w:hint="eastAsia" w:ascii="Times New Roman" w:hAnsi="Times New Roman" w:eastAsia="宋体" w:cs="Times New Roman"/>
          <w:lang w:val="en-US" w:eastAsia="zh-CN"/>
        </w:rPr>
        <w:t>1200万平方米胶带</w:t>
      </w:r>
      <w:r>
        <w:rPr>
          <w:rFonts w:hint="eastAsia" w:cs="Times New Roman"/>
          <w:lang w:val="en-US" w:eastAsia="zh-CN"/>
        </w:rPr>
        <w:t>（已验收）</w:t>
      </w:r>
      <w:r>
        <w:rPr>
          <w:rFonts w:hint="eastAsia" w:ascii="Times New Roman" w:hAnsi="Times New Roman" w:eastAsia="宋体" w:cs="Times New Roman"/>
        </w:rPr>
        <w:t>，</w:t>
      </w:r>
      <w:r>
        <w:rPr>
          <w:rFonts w:hint="eastAsia" w:ascii="Times New Roman" w:hAnsi="Times New Roman" w:eastAsia="宋体" w:cs="Times New Roman"/>
          <w:lang w:eastAsia="zh-CN"/>
        </w:rPr>
        <w:t>第二阶段</w:t>
      </w:r>
      <w:r>
        <w:rPr>
          <w:rFonts w:hint="eastAsia" w:ascii="Times New Roman" w:hAnsi="Times New Roman" w:eastAsia="宋体" w:cs="Times New Roman"/>
        </w:rPr>
        <w:t>规模为</w:t>
      </w:r>
      <w:r>
        <w:rPr>
          <w:rFonts w:hint="eastAsia" w:ascii="Times New Roman" w:hAnsi="Times New Roman" w:eastAsia="宋体" w:cs="Times New Roman"/>
          <w:lang w:val="en-US" w:eastAsia="zh-CN"/>
        </w:rPr>
        <w:t>一条锂电池胶带生产线</w:t>
      </w:r>
      <w:r>
        <w:rPr>
          <w:rFonts w:hint="eastAsia" w:ascii="Times New Roman" w:hAnsi="Times New Roman" w:eastAsia="宋体" w:cs="Times New Roman"/>
        </w:rPr>
        <w:t>，</w:t>
      </w:r>
      <w:r>
        <w:rPr>
          <w:rFonts w:hint="eastAsia" w:ascii="Times New Roman" w:hAnsi="Times New Roman" w:eastAsia="宋体" w:cs="Times New Roman"/>
          <w:lang w:eastAsia="zh-CN"/>
        </w:rPr>
        <w:t>产能为</w:t>
      </w:r>
      <w:r>
        <w:rPr>
          <w:rFonts w:hint="eastAsia" w:ascii="Times New Roman" w:hAnsi="Times New Roman" w:eastAsia="宋体" w:cs="Times New Roman"/>
          <w:lang w:val="en-US" w:eastAsia="zh-CN"/>
        </w:rPr>
        <w:t>600万平方米胶带</w:t>
      </w:r>
      <w:r>
        <w:rPr>
          <w:rFonts w:hint="eastAsia" w:cs="Times New Roman"/>
          <w:lang w:val="en-US" w:eastAsia="zh-CN"/>
        </w:rPr>
        <w:t>（已验收）</w:t>
      </w:r>
      <w:r>
        <w:rPr>
          <w:rFonts w:hint="eastAsia" w:ascii="Times New Roman" w:hAnsi="Times New Roman" w:eastAsia="宋体" w:cs="Times New Roman"/>
          <w:lang w:val="en-US" w:eastAsia="zh-CN"/>
        </w:rPr>
        <w:t>。</w:t>
      </w:r>
      <w:r>
        <w:rPr>
          <w:rFonts w:hint="eastAsia" w:ascii="Times New Roman" w:hAnsi="Times New Roman" w:eastAsia="宋体" w:cs="Times New Roman"/>
          <w:lang w:eastAsia="zh-CN"/>
        </w:rPr>
        <w:t>本次验收范围为第</w:t>
      </w:r>
      <w:r>
        <w:rPr>
          <w:rFonts w:hint="eastAsia" w:cs="Times New Roman"/>
          <w:lang w:val="en-US" w:eastAsia="zh-CN"/>
        </w:rPr>
        <w:t>三</w:t>
      </w:r>
      <w:r>
        <w:rPr>
          <w:rFonts w:hint="eastAsia" w:ascii="Times New Roman" w:hAnsi="Times New Roman" w:eastAsia="宋体" w:cs="Times New Roman"/>
          <w:lang w:eastAsia="zh-CN"/>
        </w:rPr>
        <w:t>阶段</w:t>
      </w:r>
      <w:r>
        <w:rPr>
          <w:rFonts w:hint="eastAsia" w:cs="Times New Roman"/>
          <w:lang w:val="en-US" w:eastAsia="zh-CN"/>
        </w:rPr>
        <w:t>4、5、6号生产线，产能为1800</w:t>
      </w:r>
      <w:r>
        <w:rPr>
          <w:rFonts w:hint="eastAsia" w:ascii="Times New Roman" w:hAnsi="Times New Roman" w:eastAsia="宋体" w:cs="Times New Roman"/>
          <w:lang w:val="en-US" w:eastAsia="zh-CN"/>
        </w:rPr>
        <w:t>万平方米胶带</w:t>
      </w:r>
      <w:r>
        <w:rPr>
          <w:rFonts w:hint="eastAsia" w:cs="Times New Roman"/>
          <w:lang w:val="en-US" w:eastAsia="zh-CN"/>
        </w:rPr>
        <w:t>。</w:t>
      </w:r>
    </w:p>
    <w:p>
      <w:pPr>
        <w:ind w:firstLine="480" w:firstLineChars="200"/>
        <w:rPr>
          <w:rFonts w:hint="eastAsia" w:ascii="Times New Roman" w:hAnsi="Times New Roman" w:eastAsia="宋体" w:cs="Times New Roman"/>
          <w:lang w:eastAsia="zh-CN"/>
        </w:rPr>
      </w:pPr>
      <w:r>
        <w:rPr>
          <w:rFonts w:hint="eastAsia" w:ascii="Times New Roman" w:hAnsi="Times New Roman" w:eastAsia="宋体" w:cs="Times New Roman"/>
        </w:rPr>
        <w:t>（7）占地面积：原有厂区占地范围内，不新增占地</w:t>
      </w:r>
      <w:r>
        <w:rPr>
          <w:rFonts w:hint="eastAsia" w:ascii="Times New Roman" w:hAnsi="Times New Roman" w:eastAsia="宋体" w:cs="Times New Roman"/>
          <w:lang w:eastAsia="zh-CN"/>
        </w:rPr>
        <w:t>；</w:t>
      </w:r>
    </w:p>
    <w:p>
      <w:pPr>
        <w:ind w:firstLine="480" w:firstLineChars="200"/>
        <w:rPr>
          <w:rFonts w:hint="eastAsia" w:ascii="Times New Roman" w:hAnsi="Times New Roman" w:eastAsia="宋体" w:cs="Times New Roman"/>
          <w:lang w:val="en-US" w:eastAsia="zh-CN"/>
        </w:rPr>
      </w:pPr>
      <w:r>
        <w:rPr>
          <w:rFonts w:hint="eastAsia" w:ascii="Times New Roman" w:hAnsi="Times New Roman" w:eastAsia="宋体" w:cs="Times New Roman"/>
        </w:rPr>
        <w:t>（8）劳动定员：项目劳动员工67人，全年生产天数为300天，一班制，每班10小时，全年工作时为3000小时。</w:t>
      </w:r>
    </w:p>
    <w:p>
      <w:pPr>
        <w:pStyle w:val="8"/>
        <w:spacing w:beforeLines="0" w:afterLines="0"/>
        <w:ind w:firstLine="482"/>
        <w:rPr>
          <w:sz w:val="28"/>
          <w:szCs w:val="28"/>
        </w:rPr>
      </w:pPr>
      <w:r>
        <w:rPr>
          <w:rFonts w:hint="eastAsia"/>
          <w:sz w:val="28"/>
          <w:szCs w:val="28"/>
        </w:rPr>
        <w:t>3.2.2.2项目组成</w:t>
      </w:r>
    </w:p>
    <w:p>
      <w:pPr>
        <w:ind w:firstLine="480" w:firstLineChars="200"/>
        <w:rPr>
          <w:rFonts w:hint="eastAsia" w:ascii="Times New Roman" w:hAnsi="Times New Roman" w:eastAsia="宋体" w:cs="Times New Roman"/>
        </w:rPr>
        <w:sectPr>
          <w:footerReference r:id="rId13" w:type="default"/>
          <w:pgSz w:w="11906" w:h="16838"/>
          <w:pgMar w:top="1440" w:right="1800" w:bottom="1440" w:left="1800" w:header="794" w:footer="992" w:gutter="0"/>
          <w:pgNumType w:fmt="decimal"/>
          <w:cols w:space="425" w:num="1"/>
          <w:docGrid w:type="lines" w:linePitch="312" w:charSpace="0"/>
        </w:sectPr>
      </w:pPr>
      <w:r>
        <w:rPr>
          <w:rFonts w:hint="eastAsia" w:ascii="Times New Roman" w:hAnsi="Times New Roman" w:eastAsia="宋体" w:cs="Times New Roman"/>
        </w:rPr>
        <w:t>本项目主要由主体工程、公用工程、储运工程及环保工程等内容组成，项目工程建设内容见表3.2-</w:t>
      </w:r>
      <w:r>
        <w:rPr>
          <w:rFonts w:hint="eastAsia" w:cs="Times New Roman"/>
          <w:lang w:val="en-US" w:eastAsia="zh-CN"/>
        </w:rPr>
        <w:t>1</w:t>
      </w:r>
      <w:r>
        <w:rPr>
          <w:rFonts w:hint="eastAsia" w:ascii="Times New Roman" w:hAnsi="Times New Roman" w:eastAsia="宋体" w:cs="Times New Roman"/>
        </w:rPr>
        <w:t>。</w:t>
      </w:r>
    </w:p>
    <w:p>
      <w:pPr>
        <w:jc w:val="center"/>
        <w:rPr>
          <w:rFonts w:hint="default" w:ascii="Times New Roman" w:hAnsi="Times New Roman" w:eastAsia="黑体" w:cs="Times New Roman"/>
          <w:b w:val="0"/>
          <w:bCs w:val="0"/>
          <w:sz w:val="21"/>
          <w:szCs w:val="21"/>
          <w:lang w:val="en-US" w:eastAsia="zh-CN"/>
        </w:rPr>
      </w:pPr>
      <w:r>
        <w:rPr>
          <w:rFonts w:hint="default" w:ascii="Times New Roman" w:hAnsi="Times New Roman" w:eastAsia="黑体" w:cs="Times New Roman"/>
          <w:b w:val="0"/>
          <w:bCs w:val="0"/>
          <w:sz w:val="21"/>
          <w:szCs w:val="21"/>
          <w:lang w:val="en-US" w:eastAsia="zh-CN"/>
        </w:rPr>
        <w:t>表3.2-</w:t>
      </w:r>
      <w:r>
        <w:rPr>
          <w:rFonts w:hint="eastAsia" w:ascii="Times New Roman" w:hAnsi="Times New Roman" w:eastAsia="黑体" w:cs="Times New Roman"/>
          <w:b w:val="0"/>
          <w:bCs w:val="0"/>
          <w:sz w:val="21"/>
          <w:szCs w:val="21"/>
          <w:lang w:val="en-US" w:eastAsia="zh-CN"/>
        </w:rPr>
        <w:t xml:space="preserve">1  </w:t>
      </w:r>
      <w:r>
        <w:rPr>
          <w:rFonts w:hint="default" w:ascii="Times New Roman" w:hAnsi="Times New Roman" w:eastAsia="黑体" w:cs="Times New Roman"/>
          <w:b w:val="0"/>
          <w:bCs w:val="0"/>
          <w:sz w:val="21"/>
          <w:szCs w:val="21"/>
          <w:lang w:val="en-US" w:eastAsia="zh-CN"/>
        </w:rPr>
        <w:t>项目组成一览表</w:t>
      </w:r>
    </w:p>
    <w:tbl>
      <w:tblPr>
        <w:tblStyle w:val="18"/>
        <w:tblW w:w="4998" w:type="pct"/>
        <w:tblInd w:w="0" w:type="dxa"/>
        <w:tblLayout w:type="autofit"/>
        <w:tblCellMar>
          <w:top w:w="0" w:type="dxa"/>
          <w:left w:w="0" w:type="dxa"/>
          <w:bottom w:w="0" w:type="dxa"/>
          <w:right w:w="0" w:type="dxa"/>
        </w:tblCellMar>
      </w:tblPr>
      <w:tblGrid>
        <w:gridCol w:w="564"/>
        <w:gridCol w:w="1083"/>
        <w:gridCol w:w="1310"/>
        <w:gridCol w:w="974"/>
        <w:gridCol w:w="932"/>
        <w:gridCol w:w="1559"/>
        <w:gridCol w:w="3989"/>
        <w:gridCol w:w="2822"/>
      </w:tblGrid>
      <w:tr>
        <w:tblPrEx>
          <w:tblCellMar>
            <w:top w:w="0" w:type="dxa"/>
            <w:left w:w="0" w:type="dxa"/>
            <w:bottom w:w="0" w:type="dxa"/>
            <w:right w:w="0" w:type="dxa"/>
          </w:tblCellMar>
        </w:tblPrEx>
        <w:trPr>
          <w:trHeight w:val="984" w:hRule="exact"/>
        </w:trPr>
        <w:tc>
          <w:tcPr>
            <w:tcW w:w="213" w:type="pct"/>
            <w:tcBorders>
              <w:top w:val="single" w:color="000000" w:sz="12" w:space="0"/>
              <w:left w:val="nil"/>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工程</w:t>
            </w:r>
          </w:p>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类别</w:t>
            </w:r>
          </w:p>
        </w:tc>
        <w:tc>
          <w:tcPr>
            <w:tcW w:w="2213" w:type="pct"/>
            <w:gridSpan w:val="5"/>
            <w:tcBorders>
              <w:top w:val="single" w:color="000000" w:sz="12"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eastAsia="zh-CN"/>
              </w:rPr>
              <w:t>环评建设内容</w:t>
            </w:r>
          </w:p>
        </w:tc>
        <w:tc>
          <w:tcPr>
            <w:tcW w:w="1507" w:type="pct"/>
            <w:tcBorders>
              <w:top w:val="single" w:color="000000" w:sz="12" w:space="0"/>
              <w:left w:val="single" w:color="000000" w:sz="4" w:space="0"/>
              <w:bottom w:val="single" w:color="000000" w:sz="4" w:space="0"/>
              <w:right w:val="nil"/>
            </w:tcBorders>
            <w:vAlign w:val="center"/>
          </w:tcPr>
          <w:p>
            <w:pPr>
              <w:spacing w:after="0" w:line="240" w:lineRule="auto"/>
              <w:jc w:val="center"/>
              <w:rPr>
                <w:rFonts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eastAsia="zh-CN"/>
              </w:rPr>
              <w:t>实际建设内容</w:t>
            </w:r>
          </w:p>
        </w:tc>
        <w:tc>
          <w:tcPr>
            <w:tcW w:w="1066" w:type="pct"/>
            <w:tcBorders>
              <w:top w:val="single" w:color="000000" w:sz="12" w:space="0"/>
              <w:left w:val="single" w:color="000000" w:sz="4" w:space="0"/>
              <w:bottom w:val="single" w:color="000000" w:sz="4" w:space="0"/>
              <w:right w:val="nil"/>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备注</w:t>
            </w:r>
          </w:p>
        </w:tc>
      </w:tr>
      <w:tr>
        <w:tblPrEx>
          <w:tblCellMar>
            <w:top w:w="0" w:type="dxa"/>
            <w:left w:w="0" w:type="dxa"/>
            <w:bottom w:w="0" w:type="dxa"/>
            <w:right w:w="0" w:type="dxa"/>
          </w:tblCellMar>
        </w:tblPrEx>
        <w:trPr>
          <w:trHeight w:val="832" w:hRule="exact"/>
        </w:trPr>
        <w:tc>
          <w:tcPr>
            <w:tcW w:w="213" w:type="pct"/>
            <w:vMerge w:val="restart"/>
            <w:tcBorders>
              <w:top w:val="single" w:color="000000" w:sz="4" w:space="0"/>
              <w:left w:val="nil"/>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主体工程</w:t>
            </w:r>
          </w:p>
        </w:tc>
        <w:tc>
          <w:tcPr>
            <w:tcW w:w="904" w:type="pct"/>
            <w:gridSpan w:val="2"/>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生产车间1</w:t>
            </w:r>
          </w:p>
        </w:tc>
        <w:tc>
          <w:tcPr>
            <w:tcW w:w="720" w:type="pct"/>
            <w:gridSpan w:val="2"/>
            <w:vMerge w:val="restart"/>
            <w:tcBorders>
              <w:top w:val="single" w:color="000000" w:sz="4" w:space="0"/>
              <w:left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共设置6条生产线</w:t>
            </w:r>
          </w:p>
        </w:tc>
        <w:tc>
          <w:tcPr>
            <w:tcW w:w="589" w:type="pct"/>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设置两条线</w:t>
            </w:r>
          </w:p>
        </w:tc>
        <w:tc>
          <w:tcPr>
            <w:tcW w:w="1507" w:type="pct"/>
            <w:tcBorders>
              <w:top w:val="single" w:color="000000" w:sz="4" w:space="0"/>
              <w:left w:val="single" w:color="000000" w:sz="4" w:space="0"/>
              <w:bottom w:val="single" w:color="000000" w:sz="4" w:space="0"/>
              <w:right w:val="nil"/>
            </w:tcBorders>
            <w:vAlign w:val="center"/>
          </w:tcPr>
          <w:p>
            <w:pPr>
              <w:spacing w:after="0" w:line="240" w:lineRule="auto"/>
              <w:jc w:val="center"/>
              <w:rPr>
                <w:rFonts w:hint="default" w:ascii="Times New Roman" w:hAnsi="Times New Roman" w:eastAsia="宋体" w:cs="Times New Roman"/>
                <w:kern w:val="2"/>
                <w:sz w:val="21"/>
                <w:szCs w:val="21"/>
                <w:vertAlign w:val="baseline"/>
                <w:lang w:val="en-US" w:eastAsia="zh-CN"/>
              </w:rPr>
            </w:pPr>
            <w:r>
              <w:rPr>
                <w:rFonts w:hint="eastAsia" w:ascii="Times New Roman" w:hAnsi="Times New Roman" w:eastAsia="宋体" w:cs="Times New Roman"/>
                <w:kern w:val="2"/>
                <w:sz w:val="21"/>
                <w:szCs w:val="21"/>
                <w:lang w:eastAsia="zh-CN"/>
              </w:rPr>
              <w:t>生产车间</w:t>
            </w:r>
            <w:r>
              <w:rPr>
                <w:rFonts w:hint="eastAsia" w:ascii="Times New Roman" w:hAnsi="Times New Roman" w:eastAsia="宋体" w:cs="Times New Roman"/>
                <w:kern w:val="2"/>
                <w:sz w:val="21"/>
                <w:szCs w:val="21"/>
                <w:lang w:val="en-US" w:eastAsia="zh-CN"/>
              </w:rPr>
              <w:t>1设置三条线</w:t>
            </w:r>
            <w:r>
              <w:rPr>
                <w:rFonts w:hint="eastAsia" w:cs="Times New Roman"/>
                <w:kern w:val="2"/>
                <w:sz w:val="21"/>
                <w:szCs w:val="21"/>
                <w:lang w:val="en-US" w:eastAsia="zh-CN"/>
              </w:rPr>
              <w:t>，分别为第1、2、3号生产线，</w:t>
            </w:r>
            <w:r>
              <w:rPr>
                <w:rFonts w:hint="eastAsia" w:ascii="Times New Roman" w:hAnsi="Times New Roman" w:eastAsia="宋体" w:cs="Times New Roman"/>
                <w:kern w:val="2"/>
                <w:sz w:val="21"/>
                <w:szCs w:val="21"/>
                <w:lang w:val="en-US" w:eastAsia="zh-CN"/>
              </w:rPr>
              <w:t>共2023m</w:t>
            </w:r>
            <w:r>
              <w:rPr>
                <w:rFonts w:hint="eastAsia" w:ascii="Times New Roman" w:hAnsi="Times New Roman" w:eastAsia="宋体" w:cs="Times New Roman"/>
                <w:kern w:val="2"/>
                <w:sz w:val="21"/>
                <w:szCs w:val="21"/>
                <w:vertAlign w:val="superscript"/>
                <w:lang w:val="en-US" w:eastAsia="zh-CN"/>
              </w:rPr>
              <w:t>2</w:t>
            </w:r>
            <w:r>
              <w:rPr>
                <w:rFonts w:hint="eastAsia" w:cs="Times New Roman"/>
                <w:kern w:val="2"/>
                <w:sz w:val="21"/>
                <w:szCs w:val="21"/>
                <w:vertAlign w:val="baseline"/>
                <w:lang w:val="en-US" w:eastAsia="zh-CN"/>
              </w:rPr>
              <w:t>（已验收）</w:t>
            </w:r>
          </w:p>
        </w:tc>
        <w:tc>
          <w:tcPr>
            <w:tcW w:w="1066" w:type="pct"/>
            <w:vMerge w:val="restart"/>
            <w:tcBorders>
              <w:top w:val="single" w:color="000000" w:sz="4" w:space="0"/>
              <w:left w:val="single" w:color="000000" w:sz="4" w:space="0"/>
              <w:right w:val="nil"/>
            </w:tcBorders>
            <w:vAlign w:val="center"/>
          </w:tcPr>
          <w:p>
            <w:pPr>
              <w:spacing w:after="0" w:line="240" w:lineRule="auto"/>
              <w:jc w:val="center"/>
              <w:rPr>
                <w:rFonts w:ascii="Times New Roman" w:hAnsi="Times New Roman" w:eastAsia="宋体" w:cs="Times New Roman"/>
                <w:kern w:val="2"/>
                <w:sz w:val="21"/>
                <w:szCs w:val="21"/>
                <w:lang w:eastAsia="zh-CN"/>
              </w:rPr>
            </w:pPr>
            <w:r>
              <w:rPr>
                <w:rFonts w:hint="eastAsia" w:cs="Times New Roman"/>
                <w:kern w:val="2"/>
                <w:sz w:val="21"/>
                <w:szCs w:val="21"/>
                <w:lang w:val="en-US" w:eastAsia="zh-CN"/>
              </w:rPr>
              <w:t>原环评中设置</w:t>
            </w:r>
            <w:r>
              <w:rPr>
                <w:rFonts w:hint="eastAsia" w:ascii="Times New Roman" w:hAnsi="Times New Roman" w:eastAsia="宋体" w:cs="Times New Roman"/>
                <w:kern w:val="2"/>
                <w:sz w:val="21"/>
                <w:szCs w:val="21"/>
                <w:lang w:eastAsia="zh-CN"/>
              </w:rPr>
              <w:t>三个车间</w:t>
            </w:r>
            <w:r>
              <w:rPr>
                <w:rFonts w:hint="eastAsia" w:cs="Times New Roman"/>
                <w:kern w:val="2"/>
                <w:sz w:val="21"/>
                <w:szCs w:val="21"/>
                <w:lang w:eastAsia="zh-CN"/>
              </w:rPr>
              <w:t>，</w:t>
            </w:r>
            <w:r>
              <w:rPr>
                <w:rFonts w:hint="eastAsia" w:cs="Times New Roman"/>
                <w:kern w:val="2"/>
                <w:sz w:val="21"/>
                <w:szCs w:val="21"/>
                <w:lang w:val="en-US" w:eastAsia="zh-CN"/>
              </w:rPr>
              <w:t>每个车间两条生产线，实际建设调整为</w:t>
            </w:r>
            <w:r>
              <w:rPr>
                <w:rFonts w:hint="eastAsia" w:ascii="Times New Roman" w:hAnsi="Times New Roman" w:eastAsia="宋体" w:cs="Times New Roman"/>
                <w:kern w:val="2"/>
                <w:sz w:val="21"/>
                <w:szCs w:val="21"/>
                <w:lang w:eastAsia="zh-CN"/>
              </w:rPr>
              <w:t>两个车间</w:t>
            </w:r>
            <w:r>
              <w:rPr>
                <w:rFonts w:hint="eastAsia" w:cs="Times New Roman"/>
                <w:kern w:val="2"/>
                <w:sz w:val="21"/>
                <w:szCs w:val="21"/>
                <w:lang w:eastAsia="zh-CN"/>
              </w:rPr>
              <w:t>，</w:t>
            </w:r>
            <w:r>
              <w:rPr>
                <w:rFonts w:hint="eastAsia" w:cs="Times New Roman"/>
                <w:kern w:val="2"/>
                <w:sz w:val="21"/>
                <w:szCs w:val="21"/>
                <w:lang w:val="en-US" w:eastAsia="zh-CN"/>
              </w:rPr>
              <w:t>每个车间三条生产</w:t>
            </w:r>
            <w:r>
              <w:rPr>
                <w:rFonts w:hint="eastAsia" w:ascii="Times New Roman" w:hAnsi="Times New Roman" w:eastAsia="宋体" w:cs="Times New Roman"/>
                <w:kern w:val="2"/>
                <w:sz w:val="21"/>
                <w:szCs w:val="21"/>
                <w:lang w:eastAsia="zh-CN"/>
              </w:rPr>
              <w:t>线</w:t>
            </w:r>
          </w:p>
        </w:tc>
      </w:tr>
      <w:tr>
        <w:trPr>
          <w:trHeight w:val="762" w:hRule="exact"/>
        </w:trPr>
        <w:tc>
          <w:tcPr>
            <w:tcW w:w="213" w:type="pct"/>
            <w:vMerge w:val="continue"/>
            <w:tcBorders>
              <w:left w:val="nil"/>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p>
        </w:tc>
        <w:tc>
          <w:tcPr>
            <w:tcW w:w="904" w:type="pct"/>
            <w:gridSpan w:val="2"/>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生产车间2</w:t>
            </w:r>
          </w:p>
        </w:tc>
        <w:tc>
          <w:tcPr>
            <w:tcW w:w="720" w:type="pct"/>
            <w:gridSpan w:val="2"/>
            <w:vMerge w:val="continue"/>
            <w:tcBorders>
              <w:left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p>
        </w:tc>
        <w:tc>
          <w:tcPr>
            <w:tcW w:w="589" w:type="pct"/>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设置两条线</w:t>
            </w:r>
          </w:p>
        </w:tc>
        <w:tc>
          <w:tcPr>
            <w:tcW w:w="1507" w:type="pct"/>
            <w:tcBorders>
              <w:top w:val="single" w:color="000000" w:sz="4" w:space="0"/>
              <w:left w:val="single" w:color="000000" w:sz="4" w:space="0"/>
              <w:bottom w:val="single" w:color="000000" w:sz="4" w:space="0"/>
              <w:right w:val="nil"/>
            </w:tcBorders>
            <w:vAlign w:val="center"/>
          </w:tcPr>
          <w:p>
            <w:pPr>
              <w:spacing w:after="0" w:line="240" w:lineRule="auto"/>
              <w:jc w:val="center"/>
              <w:rPr>
                <w:rFonts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eastAsia="zh-CN"/>
              </w:rPr>
              <w:t>生产车间</w:t>
            </w:r>
            <w:r>
              <w:rPr>
                <w:rFonts w:hint="eastAsia" w:ascii="Times New Roman" w:hAnsi="Times New Roman" w:eastAsia="宋体" w:cs="Times New Roman"/>
                <w:kern w:val="2"/>
                <w:sz w:val="21"/>
                <w:szCs w:val="21"/>
                <w:lang w:val="en-US" w:eastAsia="zh-CN"/>
              </w:rPr>
              <w:t>2设置三条线</w:t>
            </w:r>
            <w:r>
              <w:rPr>
                <w:rFonts w:hint="eastAsia" w:cs="Times New Roman"/>
                <w:kern w:val="2"/>
                <w:sz w:val="21"/>
                <w:szCs w:val="21"/>
                <w:lang w:val="en-US" w:eastAsia="zh-CN"/>
              </w:rPr>
              <w:t>，分别为第4、5、6号生产线</w:t>
            </w:r>
            <w:r>
              <w:rPr>
                <w:rFonts w:hint="eastAsia" w:ascii="Times New Roman" w:hAnsi="Times New Roman" w:eastAsia="宋体" w:cs="Times New Roman"/>
                <w:kern w:val="2"/>
                <w:sz w:val="21"/>
                <w:szCs w:val="21"/>
                <w:lang w:val="en-US" w:eastAsia="zh-CN"/>
              </w:rPr>
              <w:t>（</w:t>
            </w:r>
            <w:r>
              <w:rPr>
                <w:rFonts w:hint="eastAsia" w:cs="Times New Roman"/>
                <w:kern w:val="2"/>
                <w:sz w:val="21"/>
                <w:szCs w:val="21"/>
                <w:lang w:val="en-US" w:eastAsia="zh-CN"/>
              </w:rPr>
              <w:t>本次验收范围</w:t>
            </w:r>
            <w:r>
              <w:rPr>
                <w:rFonts w:hint="eastAsia" w:ascii="Times New Roman" w:hAnsi="Times New Roman" w:eastAsia="宋体" w:cs="Times New Roman"/>
                <w:kern w:val="2"/>
                <w:sz w:val="21"/>
                <w:szCs w:val="21"/>
                <w:lang w:val="en-US" w:eastAsia="zh-CN"/>
              </w:rPr>
              <w:t>）</w:t>
            </w:r>
          </w:p>
        </w:tc>
        <w:tc>
          <w:tcPr>
            <w:tcW w:w="1066" w:type="pct"/>
            <w:vMerge w:val="continue"/>
            <w:tcBorders>
              <w:left w:val="single" w:color="000000" w:sz="4" w:space="0"/>
              <w:right w:val="nil"/>
            </w:tcBorders>
            <w:vAlign w:val="center"/>
          </w:tcPr>
          <w:p>
            <w:pPr>
              <w:spacing w:after="0" w:line="240" w:lineRule="auto"/>
              <w:jc w:val="center"/>
              <w:rPr>
                <w:rFonts w:ascii="Times New Roman" w:hAnsi="Times New Roman" w:eastAsia="宋体" w:cs="Times New Roman"/>
                <w:kern w:val="2"/>
                <w:sz w:val="21"/>
                <w:szCs w:val="21"/>
                <w:lang w:eastAsia="zh-CN"/>
              </w:rPr>
            </w:pPr>
          </w:p>
        </w:tc>
      </w:tr>
      <w:tr>
        <w:tblPrEx>
          <w:tblCellMar>
            <w:top w:w="0" w:type="dxa"/>
            <w:left w:w="0" w:type="dxa"/>
            <w:bottom w:w="0" w:type="dxa"/>
            <w:right w:w="0" w:type="dxa"/>
          </w:tblCellMar>
        </w:tblPrEx>
        <w:trPr>
          <w:trHeight w:val="822" w:hRule="exact"/>
        </w:trPr>
        <w:tc>
          <w:tcPr>
            <w:tcW w:w="213" w:type="pct"/>
            <w:vMerge w:val="continue"/>
            <w:tcBorders>
              <w:left w:val="nil"/>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p>
        </w:tc>
        <w:tc>
          <w:tcPr>
            <w:tcW w:w="904" w:type="pct"/>
            <w:gridSpan w:val="2"/>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生产车间3</w:t>
            </w:r>
          </w:p>
        </w:tc>
        <w:tc>
          <w:tcPr>
            <w:tcW w:w="720" w:type="pct"/>
            <w:gridSpan w:val="2"/>
            <w:vMerge w:val="continue"/>
            <w:tcBorders>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p>
        </w:tc>
        <w:tc>
          <w:tcPr>
            <w:tcW w:w="589" w:type="pct"/>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设置两条线</w:t>
            </w:r>
          </w:p>
        </w:tc>
        <w:tc>
          <w:tcPr>
            <w:tcW w:w="1507" w:type="pct"/>
            <w:tcBorders>
              <w:top w:val="single" w:color="000000" w:sz="4" w:space="0"/>
              <w:left w:val="single" w:color="000000" w:sz="4" w:space="0"/>
              <w:bottom w:val="single" w:color="000000" w:sz="4" w:space="0"/>
              <w:right w:val="nil"/>
            </w:tcBorders>
            <w:vAlign w:val="center"/>
          </w:tcPr>
          <w:p>
            <w:pPr>
              <w:spacing w:after="0" w:line="240" w:lineRule="auto"/>
              <w:jc w:val="center"/>
              <w:rPr>
                <w:rFonts w:ascii="Times New Roman" w:hAnsi="Times New Roman" w:eastAsia="宋体" w:cs="Times New Roman"/>
                <w:kern w:val="2"/>
                <w:sz w:val="21"/>
                <w:szCs w:val="21"/>
                <w:lang w:eastAsia="zh-CN"/>
              </w:rPr>
            </w:pPr>
            <w:r>
              <w:rPr>
                <w:rFonts w:hint="eastAsia" w:cs="Times New Roman"/>
                <w:kern w:val="2"/>
                <w:sz w:val="21"/>
                <w:szCs w:val="21"/>
                <w:lang w:val="en-US" w:eastAsia="zh-CN"/>
              </w:rPr>
              <w:t>/</w:t>
            </w:r>
          </w:p>
        </w:tc>
        <w:tc>
          <w:tcPr>
            <w:tcW w:w="1066" w:type="pct"/>
            <w:vMerge w:val="continue"/>
            <w:tcBorders>
              <w:left w:val="single" w:color="000000" w:sz="4" w:space="0"/>
              <w:bottom w:val="single" w:color="000000" w:sz="4" w:space="0"/>
              <w:right w:val="nil"/>
            </w:tcBorders>
            <w:vAlign w:val="center"/>
          </w:tcPr>
          <w:p>
            <w:pPr>
              <w:spacing w:after="0" w:line="240" w:lineRule="auto"/>
              <w:jc w:val="center"/>
              <w:rPr>
                <w:rFonts w:ascii="Times New Roman" w:hAnsi="Times New Roman" w:eastAsia="宋体" w:cs="Times New Roman"/>
                <w:kern w:val="2"/>
                <w:sz w:val="21"/>
                <w:szCs w:val="21"/>
                <w:lang w:eastAsia="zh-CN"/>
              </w:rPr>
            </w:pPr>
          </w:p>
        </w:tc>
      </w:tr>
      <w:tr>
        <w:tblPrEx>
          <w:tblCellMar>
            <w:top w:w="0" w:type="dxa"/>
            <w:left w:w="0" w:type="dxa"/>
            <w:bottom w:w="0" w:type="dxa"/>
            <w:right w:w="0" w:type="dxa"/>
          </w:tblCellMar>
        </w:tblPrEx>
        <w:trPr>
          <w:trHeight w:val="492" w:hRule="exact"/>
        </w:trPr>
        <w:tc>
          <w:tcPr>
            <w:tcW w:w="213" w:type="pct"/>
            <w:vMerge w:val="continue"/>
            <w:tcBorders>
              <w:left w:val="nil"/>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p>
        </w:tc>
        <w:tc>
          <w:tcPr>
            <w:tcW w:w="904" w:type="pct"/>
            <w:gridSpan w:val="2"/>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食堂</w:t>
            </w:r>
          </w:p>
        </w:tc>
        <w:tc>
          <w:tcPr>
            <w:tcW w:w="1309" w:type="pct"/>
            <w:gridSpan w:val="3"/>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1座</w:t>
            </w:r>
          </w:p>
        </w:tc>
        <w:tc>
          <w:tcPr>
            <w:tcW w:w="1507" w:type="pct"/>
            <w:tcBorders>
              <w:top w:val="single" w:color="000000" w:sz="4" w:space="0"/>
              <w:left w:val="single" w:color="000000" w:sz="4" w:space="0"/>
              <w:bottom w:val="single" w:color="000000" w:sz="4" w:space="0"/>
              <w:right w:val="nil"/>
            </w:tcBorders>
            <w:vAlign w:val="center"/>
          </w:tcPr>
          <w:p>
            <w:pPr>
              <w:spacing w:after="0" w:line="240" w:lineRule="auto"/>
              <w:jc w:val="center"/>
              <w:rPr>
                <w:rFonts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eastAsia="zh-CN"/>
              </w:rPr>
              <w:t>已建成</w:t>
            </w:r>
          </w:p>
        </w:tc>
        <w:tc>
          <w:tcPr>
            <w:tcW w:w="1066" w:type="pct"/>
            <w:tcBorders>
              <w:top w:val="single" w:color="000000" w:sz="4" w:space="0"/>
              <w:left w:val="single" w:color="000000" w:sz="4" w:space="0"/>
              <w:bottom w:val="single" w:color="000000" w:sz="4" w:space="0"/>
              <w:right w:val="nil"/>
            </w:tcBorders>
            <w:vAlign w:val="center"/>
          </w:tcPr>
          <w:p>
            <w:pPr>
              <w:spacing w:after="0" w:line="240" w:lineRule="auto"/>
              <w:jc w:val="center"/>
              <w:rPr>
                <w:rFonts w:ascii="Times New Roman" w:hAnsi="Times New Roman" w:eastAsia="宋体" w:cs="Times New Roman"/>
                <w:kern w:val="2"/>
                <w:sz w:val="21"/>
                <w:szCs w:val="21"/>
                <w:lang w:eastAsia="zh-CN"/>
              </w:rPr>
            </w:pPr>
            <w:r>
              <w:rPr>
                <w:rFonts w:hint="eastAsia" w:cs="Times New Roman"/>
                <w:kern w:val="2"/>
                <w:sz w:val="21"/>
                <w:szCs w:val="21"/>
                <w:lang w:val="en-US" w:eastAsia="zh-CN"/>
              </w:rPr>
              <w:t>已验收</w:t>
            </w:r>
          </w:p>
        </w:tc>
      </w:tr>
      <w:tr>
        <w:tblPrEx>
          <w:tblCellMar>
            <w:top w:w="0" w:type="dxa"/>
            <w:left w:w="0" w:type="dxa"/>
            <w:bottom w:w="0" w:type="dxa"/>
            <w:right w:w="0" w:type="dxa"/>
          </w:tblCellMar>
        </w:tblPrEx>
        <w:trPr>
          <w:trHeight w:val="492" w:hRule="exact"/>
        </w:trPr>
        <w:tc>
          <w:tcPr>
            <w:tcW w:w="213" w:type="pct"/>
            <w:vMerge w:val="continue"/>
            <w:tcBorders>
              <w:left w:val="nil"/>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p>
        </w:tc>
        <w:tc>
          <w:tcPr>
            <w:tcW w:w="904" w:type="pct"/>
            <w:gridSpan w:val="2"/>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职工宿舍</w:t>
            </w:r>
          </w:p>
        </w:tc>
        <w:tc>
          <w:tcPr>
            <w:tcW w:w="1309" w:type="pct"/>
            <w:gridSpan w:val="3"/>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1幢</w:t>
            </w:r>
          </w:p>
        </w:tc>
        <w:tc>
          <w:tcPr>
            <w:tcW w:w="1507" w:type="pct"/>
            <w:tcBorders>
              <w:top w:val="single" w:color="000000" w:sz="4" w:space="0"/>
              <w:left w:val="single" w:color="000000" w:sz="4" w:space="0"/>
              <w:bottom w:val="single" w:color="000000" w:sz="4" w:space="0"/>
              <w:right w:val="nil"/>
            </w:tcBorders>
            <w:vAlign w:val="center"/>
          </w:tcPr>
          <w:p>
            <w:pPr>
              <w:spacing w:after="0" w:line="240" w:lineRule="auto"/>
              <w:jc w:val="center"/>
              <w:rPr>
                <w:rFonts w:ascii="Times New Roman" w:hAnsi="Times New Roman" w:eastAsia="宋体" w:cs="Times New Roman"/>
                <w:kern w:val="2"/>
                <w:sz w:val="21"/>
                <w:szCs w:val="21"/>
                <w:lang w:eastAsia="zh-CN"/>
              </w:rPr>
            </w:pPr>
            <w:r>
              <w:rPr>
                <w:rFonts w:hint="eastAsia" w:cs="Times New Roman"/>
                <w:kern w:val="2"/>
                <w:sz w:val="21"/>
                <w:szCs w:val="21"/>
                <w:lang w:eastAsia="zh-CN"/>
              </w:rPr>
              <w:t>本阶段</w:t>
            </w:r>
            <w:r>
              <w:rPr>
                <w:rFonts w:hint="eastAsia" w:ascii="Times New Roman" w:hAnsi="Times New Roman" w:eastAsia="宋体" w:cs="Times New Roman"/>
                <w:kern w:val="2"/>
                <w:sz w:val="21"/>
                <w:szCs w:val="21"/>
                <w:lang w:eastAsia="zh-CN"/>
              </w:rPr>
              <w:t>未建设</w:t>
            </w:r>
          </w:p>
        </w:tc>
        <w:tc>
          <w:tcPr>
            <w:tcW w:w="1066" w:type="pct"/>
            <w:tcBorders>
              <w:top w:val="single" w:color="000000" w:sz="4" w:space="0"/>
              <w:left w:val="single" w:color="000000" w:sz="4" w:space="0"/>
              <w:bottom w:val="single" w:color="000000" w:sz="4" w:space="0"/>
              <w:right w:val="nil"/>
            </w:tcBorders>
            <w:vAlign w:val="center"/>
          </w:tcPr>
          <w:p>
            <w:pPr>
              <w:spacing w:after="0" w:line="240" w:lineRule="auto"/>
              <w:jc w:val="center"/>
              <w:rPr>
                <w:rFonts w:hint="default" w:ascii="Times New Roman" w:hAnsi="Times New Roman" w:eastAsia="宋体" w:cs="Times New Roman"/>
                <w:kern w:val="2"/>
                <w:sz w:val="21"/>
                <w:szCs w:val="21"/>
                <w:lang w:val="en-US" w:eastAsia="zh-CN"/>
              </w:rPr>
            </w:pPr>
            <w:r>
              <w:rPr>
                <w:rFonts w:hint="eastAsia" w:ascii="Times New Roman" w:hAnsi="Times New Roman" w:eastAsia="宋体" w:cs="Times New Roman"/>
                <w:kern w:val="2"/>
                <w:sz w:val="21"/>
                <w:szCs w:val="21"/>
                <w:lang w:val="en-US" w:eastAsia="zh-CN"/>
              </w:rPr>
              <w:t>/</w:t>
            </w:r>
          </w:p>
        </w:tc>
      </w:tr>
      <w:tr>
        <w:tblPrEx>
          <w:tblCellMar>
            <w:top w:w="0" w:type="dxa"/>
            <w:left w:w="0" w:type="dxa"/>
            <w:bottom w:w="0" w:type="dxa"/>
            <w:right w:w="0" w:type="dxa"/>
          </w:tblCellMar>
        </w:tblPrEx>
        <w:trPr>
          <w:trHeight w:val="492" w:hRule="exact"/>
        </w:trPr>
        <w:tc>
          <w:tcPr>
            <w:tcW w:w="213" w:type="pct"/>
            <w:vMerge w:val="continue"/>
            <w:tcBorders>
              <w:left w:val="nil"/>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p>
        </w:tc>
        <w:tc>
          <w:tcPr>
            <w:tcW w:w="904" w:type="pct"/>
            <w:gridSpan w:val="2"/>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办公楼</w:t>
            </w:r>
          </w:p>
        </w:tc>
        <w:tc>
          <w:tcPr>
            <w:tcW w:w="1309" w:type="pct"/>
            <w:gridSpan w:val="3"/>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1座</w:t>
            </w:r>
          </w:p>
        </w:tc>
        <w:tc>
          <w:tcPr>
            <w:tcW w:w="1507" w:type="pct"/>
            <w:tcBorders>
              <w:top w:val="single" w:color="000000" w:sz="4" w:space="0"/>
              <w:left w:val="single" w:color="000000" w:sz="4" w:space="0"/>
              <w:bottom w:val="single" w:color="000000" w:sz="4" w:space="0"/>
              <w:right w:val="nil"/>
            </w:tcBorders>
            <w:vAlign w:val="center"/>
          </w:tcPr>
          <w:p>
            <w:pPr>
              <w:spacing w:after="0" w:line="240" w:lineRule="auto"/>
              <w:jc w:val="center"/>
              <w:rPr>
                <w:rFonts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eastAsia="zh-CN"/>
              </w:rPr>
              <w:t>已建成</w:t>
            </w:r>
          </w:p>
        </w:tc>
        <w:tc>
          <w:tcPr>
            <w:tcW w:w="1066" w:type="pct"/>
            <w:tcBorders>
              <w:top w:val="single" w:color="000000" w:sz="4" w:space="0"/>
              <w:left w:val="single" w:color="000000" w:sz="4" w:space="0"/>
              <w:bottom w:val="single" w:color="000000" w:sz="4" w:space="0"/>
              <w:right w:val="nil"/>
            </w:tcBorders>
            <w:vAlign w:val="center"/>
          </w:tcPr>
          <w:p>
            <w:pPr>
              <w:spacing w:after="0" w:line="240" w:lineRule="auto"/>
              <w:jc w:val="center"/>
              <w:rPr>
                <w:rFonts w:ascii="Times New Roman" w:hAnsi="Times New Roman" w:eastAsia="宋体" w:cs="Times New Roman"/>
                <w:kern w:val="2"/>
                <w:sz w:val="21"/>
                <w:szCs w:val="21"/>
                <w:lang w:eastAsia="zh-CN"/>
              </w:rPr>
            </w:pPr>
            <w:r>
              <w:rPr>
                <w:rFonts w:hint="eastAsia" w:cs="Times New Roman"/>
                <w:kern w:val="2"/>
                <w:sz w:val="21"/>
                <w:szCs w:val="21"/>
                <w:lang w:val="en-US" w:eastAsia="zh-CN"/>
              </w:rPr>
              <w:t>已验收</w:t>
            </w:r>
          </w:p>
        </w:tc>
      </w:tr>
      <w:tr>
        <w:trPr>
          <w:trHeight w:val="492" w:hRule="exact"/>
        </w:trPr>
        <w:tc>
          <w:tcPr>
            <w:tcW w:w="213" w:type="pct"/>
            <w:vMerge w:val="restart"/>
            <w:tcBorders>
              <w:top w:val="single" w:color="000000" w:sz="4" w:space="0"/>
              <w:left w:val="nil"/>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公用工程</w:t>
            </w:r>
          </w:p>
        </w:tc>
        <w:tc>
          <w:tcPr>
            <w:tcW w:w="904" w:type="pct"/>
            <w:gridSpan w:val="2"/>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给水</w:t>
            </w:r>
          </w:p>
        </w:tc>
        <w:tc>
          <w:tcPr>
            <w:tcW w:w="1309" w:type="pct"/>
            <w:gridSpan w:val="3"/>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市政给水管网</w:t>
            </w:r>
          </w:p>
        </w:tc>
        <w:tc>
          <w:tcPr>
            <w:tcW w:w="1507" w:type="pct"/>
            <w:tcBorders>
              <w:top w:val="single" w:color="000000" w:sz="4" w:space="0"/>
              <w:left w:val="single" w:color="000000" w:sz="4" w:space="0"/>
              <w:bottom w:val="single" w:color="000000" w:sz="4" w:space="0"/>
              <w:right w:val="nil"/>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市政给水管网</w:t>
            </w:r>
          </w:p>
        </w:tc>
        <w:tc>
          <w:tcPr>
            <w:tcW w:w="1066" w:type="pct"/>
            <w:tcBorders>
              <w:top w:val="single" w:color="000000" w:sz="4" w:space="0"/>
              <w:left w:val="single" w:color="000000" w:sz="4" w:space="0"/>
              <w:bottom w:val="single" w:color="000000" w:sz="4" w:space="0"/>
              <w:right w:val="nil"/>
            </w:tcBorders>
            <w:vAlign w:val="center"/>
          </w:tcPr>
          <w:p>
            <w:pPr>
              <w:spacing w:after="0" w:line="240" w:lineRule="auto"/>
              <w:jc w:val="center"/>
              <w:rPr>
                <w:rFonts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eastAsia="zh-CN"/>
              </w:rPr>
              <w:t>与环评一致</w:t>
            </w:r>
          </w:p>
        </w:tc>
      </w:tr>
      <w:tr>
        <w:tblPrEx>
          <w:tblCellMar>
            <w:top w:w="0" w:type="dxa"/>
            <w:left w:w="0" w:type="dxa"/>
            <w:bottom w:w="0" w:type="dxa"/>
            <w:right w:w="0" w:type="dxa"/>
          </w:tblCellMar>
        </w:tblPrEx>
        <w:trPr>
          <w:trHeight w:val="492" w:hRule="exact"/>
        </w:trPr>
        <w:tc>
          <w:tcPr>
            <w:tcW w:w="213" w:type="pct"/>
            <w:vMerge w:val="continue"/>
            <w:tcBorders>
              <w:left w:val="nil"/>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p>
        </w:tc>
        <w:tc>
          <w:tcPr>
            <w:tcW w:w="904" w:type="pct"/>
            <w:gridSpan w:val="2"/>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排水</w:t>
            </w:r>
          </w:p>
        </w:tc>
        <w:tc>
          <w:tcPr>
            <w:tcW w:w="1309" w:type="pct"/>
            <w:gridSpan w:val="3"/>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无为城东污水处理厂</w:t>
            </w:r>
          </w:p>
        </w:tc>
        <w:tc>
          <w:tcPr>
            <w:tcW w:w="1507" w:type="pct"/>
            <w:tcBorders>
              <w:top w:val="single" w:color="000000" w:sz="4" w:space="0"/>
              <w:left w:val="single" w:color="000000" w:sz="4" w:space="0"/>
              <w:bottom w:val="single" w:color="000000" w:sz="4" w:space="0"/>
              <w:right w:val="nil"/>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无为城东污水处理厂</w:t>
            </w:r>
          </w:p>
        </w:tc>
        <w:tc>
          <w:tcPr>
            <w:tcW w:w="1066" w:type="pct"/>
            <w:tcBorders>
              <w:top w:val="single" w:color="000000" w:sz="4" w:space="0"/>
              <w:left w:val="single" w:color="000000" w:sz="4" w:space="0"/>
              <w:bottom w:val="single" w:color="000000" w:sz="4" w:space="0"/>
              <w:right w:val="nil"/>
            </w:tcBorders>
            <w:vAlign w:val="center"/>
          </w:tcPr>
          <w:p>
            <w:pPr>
              <w:spacing w:after="0" w:line="240" w:lineRule="auto"/>
              <w:jc w:val="center"/>
              <w:rPr>
                <w:rFonts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eastAsia="zh-CN"/>
              </w:rPr>
              <w:t>与环评一致</w:t>
            </w:r>
          </w:p>
        </w:tc>
      </w:tr>
      <w:tr>
        <w:tblPrEx>
          <w:tblCellMar>
            <w:top w:w="0" w:type="dxa"/>
            <w:left w:w="0" w:type="dxa"/>
            <w:bottom w:w="0" w:type="dxa"/>
            <w:right w:w="0" w:type="dxa"/>
          </w:tblCellMar>
        </w:tblPrEx>
        <w:trPr>
          <w:trHeight w:val="492" w:hRule="exact"/>
        </w:trPr>
        <w:tc>
          <w:tcPr>
            <w:tcW w:w="213" w:type="pct"/>
            <w:vMerge w:val="continue"/>
            <w:tcBorders>
              <w:left w:val="nil"/>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p>
        </w:tc>
        <w:tc>
          <w:tcPr>
            <w:tcW w:w="904" w:type="pct"/>
            <w:gridSpan w:val="2"/>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供电</w:t>
            </w:r>
          </w:p>
        </w:tc>
        <w:tc>
          <w:tcPr>
            <w:tcW w:w="1309" w:type="pct"/>
            <w:gridSpan w:val="3"/>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园区市政电网</w:t>
            </w:r>
          </w:p>
        </w:tc>
        <w:tc>
          <w:tcPr>
            <w:tcW w:w="1507" w:type="pct"/>
            <w:tcBorders>
              <w:top w:val="single" w:color="000000" w:sz="4" w:space="0"/>
              <w:left w:val="single" w:color="000000" w:sz="4" w:space="0"/>
              <w:bottom w:val="single" w:color="000000" w:sz="4" w:space="0"/>
              <w:right w:val="nil"/>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园区市政电网</w:t>
            </w:r>
          </w:p>
        </w:tc>
        <w:tc>
          <w:tcPr>
            <w:tcW w:w="1066" w:type="pct"/>
            <w:tcBorders>
              <w:top w:val="single" w:color="000000" w:sz="4" w:space="0"/>
              <w:left w:val="single" w:color="000000" w:sz="4" w:space="0"/>
              <w:bottom w:val="single" w:color="000000" w:sz="4" w:space="0"/>
              <w:right w:val="nil"/>
            </w:tcBorders>
            <w:vAlign w:val="center"/>
          </w:tcPr>
          <w:p>
            <w:pPr>
              <w:spacing w:after="0" w:line="240" w:lineRule="auto"/>
              <w:jc w:val="center"/>
              <w:rPr>
                <w:rFonts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eastAsia="zh-CN"/>
              </w:rPr>
              <w:t>与环评一致</w:t>
            </w:r>
          </w:p>
        </w:tc>
      </w:tr>
      <w:tr>
        <w:tblPrEx>
          <w:tblCellMar>
            <w:top w:w="0" w:type="dxa"/>
            <w:left w:w="0" w:type="dxa"/>
            <w:bottom w:w="0" w:type="dxa"/>
            <w:right w:w="0" w:type="dxa"/>
          </w:tblCellMar>
        </w:tblPrEx>
        <w:trPr>
          <w:trHeight w:val="492" w:hRule="exact"/>
        </w:trPr>
        <w:tc>
          <w:tcPr>
            <w:tcW w:w="213" w:type="pct"/>
            <w:vMerge w:val="continue"/>
            <w:tcBorders>
              <w:left w:val="nil"/>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p>
        </w:tc>
        <w:tc>
          <w:tcPr>
            <w:tcW w:w="904" w:type="pct"/>
            <w:gridSpan w:val="2"/>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绿化</w:t>
            </w:r>
          </w:p>
        </w:tc>
        <w:tc>
          <w:tcPr>
            <w:tcW w:w="1309" w:type="pct"/>
            <w:gridSpan w:val="3"/>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绿化率10%</w:t>
            </w:r>
          </w:p>
        </w:tc>
        <w:tc>
          <w:tcPr>
            <w:tcW w:w="1507" w:type="pct"/>
            <w:tcBorders>
              <w:top w:val="single" w:color="000000" w:sz="4" w:space="0"/>
              <w:left w:val="single" w:color="000000" w:sz="4" w:space="0"/>
              <w:bottom w:val="single" w:color="000000" w:sz="4" w:space="0"/>
              <w:right w:val="nil"/>
            </w:tcBorders>
            <w:vAlign w:val="center"/>
          </w:tcPr>
          <w:p>
            <w:pPr>
              <w:spacing w:after="0" w:line="240" w:lineRule="auto"/>
              <w:jc w:val="center"/>
              <w:rPr>
                <w:rFonts w:hint="default" w:ascii="Times New Roman" w:hAnsi="Times New Roman" w:eastAsia="宋体" w:cs="Times New Roman"/>
                <w:kern w:val="2"/>
                <w:sz w:val="21"/>
                <w:szCs w:val="21"/>
                <w:lang w:val="en-US" w:eastAsia="zh-CN"/>
              </w:rPr>
            </w:pPr>
            <w:r>
              <w:rPr>
                <w:rFonts w:ascii="宋体" w:hAnsi="宋体" w:eastAsia="宋体" w:cs="宋体"/>
                <w:spacing w:val="-6"/>
                <w:position w:val="1"/>
                <w:sz w:val="21"/>
                <w:szCs w:val="21"/>
              </w:rPr>
              <w:t>厂区绿</w:t>
            </w:r>
            <w:r>
              <w:rPr>
                <w:rFonts w:ascii="宋体" w:hAnsi="宋体" w:eastAsia="宋体" w:cs="宋体"/>
                <w:spacing w:val="-5"/>
                <w:position w:val="1"/>
                <w:sz w:val="21"/>
                <w:szCs w:val="21"/>
              </w:rPr>
              <w:t>化</w:t>
            </w:r>
            <w:r>
              <w:rPr>
                <w:rFonts w:ascii="宋体" w:hAnsi="宋体" w:eastAsia="宋体" w:cs="宋体"/>
                <w:spacing w:val="-3"/>
                <w:position w:val="1"/>
                <w:sz w:val="21"/>
                <w:szCs w:val="21"/>
              </w:rPr>
              <w:t>面积约</w:t>
            </w:r>
            <w:r>
              <w:rPr>
                <w:rFonts w:ascii="Times New Roman" w:hAnsi="Times New Roman" w:eastAsia="Times New Roman" w:cs="Times New Roman"/>
                <w:spacing w:val="-3"/>
                <w:position w:val="1"/>
                <w:sz w:val="21"/>
                <w:szCs w:val="21"/>
              </w:rPr>
              <w:t>2665.5m</w:t>
            </w:r>
            <w:r>
              <w:rPr>
                <w:rFonts w:ascii="Times New Roman" w:hAnsi="Times New Roman" w:eastAsia="Times New Roman" w:cs="Times New Roman"/>
                <w:spacing w:val="-3"/>
                <w:position w:val="10"/>
                <w:sz w:val="13"/>
                <w:szCs w:val="13"/>
              </w:rPr>
              <w:t>2</w:t>
            </w:r>
            <w:r>
              <w:rPr>
                <w:rFonts w:hint="eastAsia" w:ascii="Times New Roman" w:hAnsi="Times New Roman" w:eastAsia="宋体" w:cs="Times New Roman"/>
                <w:kern w:val="2"/>
                <w:sz w:val="21"/>
                <w:szCs w:val="21"/>
                <w:lang w:eastAsia="zh-CN"/>
              </w:rPr>
              <w:t>，达到</w:t>
            </w:r>
            <w:r>
              <w:rPr>
                <w:rFonts w:hint="eastAsia" w:ascii="Times New Roman" w:hAnsi="Times New Roman" w:eastAsia="宋体" w:cs="Times New Roman"/>
                <w:kern w:val="2"/>
                <w:sz w:val="21"/>
                <w:szCs w:val="21"/>
                <w:lang w:val="en-US" w:eastAsia="zh-CN"/>
              </w:rPr>
              <w:t>10%</w:t>
            </w:r>
          </w:p>
        </w:tc>
        <w:tc>
          <w:tcPr>
            <w:tcW w:w="1066" w:type="pct"/>
            <w:tcBorders>
              <w:top w:val="single" w:color="000000" w:sz="4" w:space="0"/>
              <w:left w:val="single" w:color="000000" w:sz="4" w:space="0"/>
              <w:bottom w:val="single" w:color="000000" w:sz="4" w:space="0"/>
              <w:right w:val="nil"/>
            </w:tcBorders>
            <w:vAlign w:val="center"/>
          </w:tcPr>
          <w:p>
            <w:pPr>
              <w:spacing w:after="0" w:line="240" w:lineRule="auto"/>
              <w:jc w:val="center"/>
              <w:rPr>
                <w:rFonts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eastAsia="zh-CN"/>
              </w:rPr>
              <w:t>与环评一致</w:t>
            </w:r>
          </w:p>
        </w:tc>
      </w:tr>
      <w:tr>
        <w:tblPrEx>
          <w:tblCellMar>
            <w:top w:w="0" w:type="dxa"/>
            <w:left w:w="0" w:type="dxa"/>
            <w:bottom w:w="0" w:type="dxa"/>
            <w:right w:w="0" w:type="dxa"/>
          </w:tblCellMar>
        </w:tblPrEx>
        <w:trPr>
          <w:trHeight w:val="647" w:hRule="exact"/>
        </w:trPr>
        <w:tc>
          <w:tcPr>
            <w:tcW w:w="213" w:type="pct"/>
            <w:vMerge w:val="restart"/>
            <w:tcBorders>
              <w:top w:val="single" w:color="000000" w:sz="4" w:space="0"/>
              <w:left w:val="nil"/>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储运</w:t>
            </w:r>
          </w:p>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工程</w:t>
            </w:r>
          </w:p>
        </w:tc>
        <w:tc>
          <w:tcPr>
            <w:tcW w:w="904" w:type="pct"/>
            <w:gridSpan w:val="2"/>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原料仓库</w:t>
            </w:r>
          </w:p>
        </w:tc>
        <w:tc>
          <w:tcPr>
            <w:tcW w:w="1309" w:type="pct"/>
            <w:gridSpan w:val="3"/>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1386m</w:t>
            </w:r>
            <w:r>
              <w:rPr>
                <w:rFonts w:ascii="Times New Roman" w:hAnsi="Times New Roman" w:eastAsia="宋体" w:cs="Times New Roman"/>
                <w:kern w:val="2"/>
                <w:sz w:val="21"/>
                <w:szCs w:val="21"/>
                <w:vertAlign w:val="superscript"/>
                <w:lang w:eastAsia="zh-CN"/>
              </w:rPr>
              <w:t>2</w:t>
            </w:r>
          </w:p>
        </w:tc>
        <w:tc>
          <w:tcPr>
            <w:tcW w:w="1507" w:type="pct"/>
            <w:tcBorders>
              <w:top w:val="single" w:color="000000" w:sz="4" w:space="0"/>
              <w:left w:val="single" w:color="000000" w:sz="4" w:space="0"/>
              <w:bottom w:val="single" w:color="000000" w:sz="4" w:space="0"/>
              <w:right w:val="nil"/>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实际占地面积约693m</w:t>
            </w:r>
            <w:r>
              <w:rPr>
                <w:rFonts w:ascii="Times New Roman" w:hAnsi="Times New Roman" w:eastAsia="宋体" w:cs="Times New Roman"/>
                <w:kern w:val="2"/>
                <w:sz w:val="21"/>
                <w:szCs w:val="21"/>
                <w:vertAlign w:val="superscript"/>
                <w:lang w:eastAsia="zh-CN"/>
              </w:rPr>
              <w:t>2</w:t>
            </w:r>
          </w:p>
        </w:tc>
        <w:tc>
          <w:tcPr>
            <w:tcW w:w="1066" w:type="pct"/>
            <w:tcBorders>
              <w:top w:val="single" w:color="000000" w:sz="4" w:space="0"/>
              <w:left w:val="single" w:color="000000" w:sz="4" w:space="0"/>
              <w:bottom w:val="single" w:color="000000" w:sz="4" w:space="0"/>
              <w:right w:val="nil"/>
            </w:tcBorders>
            <w:vAlign w:val="center"/>
          </w:tcPr>
          <w:p>
            <w:pPr>
              <w:spacing w:after="0" w:line="240" w:lineRule="auto"/>
              <w:jc w:val="center"/>
              <w:rPr>
                <w:rFonts w:hint="default" w:ascii="Times New Roman" w:hAnsi="Times New Roman" w:eastAsia="宋体" w:cs="Times New Roman"/>
                <w:kern w:val="2"/>
                <w:sz w:val="21"/>
                <w:szCs w:val="21"/>
                <w:lang w:val="en-US" w:eastAsia="zh-CN"/>
              </w:rPr>
            </w:pPr>
            <w:r>
              <w:rPr>
                <w:rFonts w:hint="eastAsia" w:cs="Times New Roman"/>
                <w:kern w:val="2"/>
                <w:sz w:val="21"/>
                <w:szCs w:val="21"/>
                <w:lang w:val="en-US" w:eastAsia="zh-CN"/>
              </w:rPr>
              <w:t>依托厂区仓库</w:t>
            </w:r>
          </w:p>
        </w:tc>
      </w:tr>
      <w:tr>
        <w:tblPrEx>
          <w:tblCellMar>
            <w:top w:w="0" w:type="dxa"/>
            <w:left w:w="0" w:type="dxa"/>
            <w:bottom w:w="0" w:type="dxa"/>
            <w:right w:w="0" w:type="dxa"/>
          </w:tblCellMar>
        </w:tblPrEx>
        <w:trPr>
          <w:trHeight w:val="1106" w:hRule="exact"/>
        </w:trPr>
        <w:tc>
          <w:tcPr>
            <w:tcW w:w="213" w:type="pct"/>
            <w:vMerge w:val="continue"/>
            <w:tcBorders>
              <w:left w:val="nil"/>
              <w:bottom w:val="single" w:color="000000" w:sz="12"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p>
        </w:tc>
        <w:tc>
          <w:tcPr>
            <w:tcW w:w="904" w:type="pct"/>
            <w:gridSpan w:val="2"/>
            <w:tcBorders>
              <w:top w:val="single" w:color="000000" w:sz="4" w:space="0"/>
              <w:left w:val="single" w:color="000000" w:sz="4" w:space="0"/>
              <w:bottom w:val="single" w:color="000000" w:sz="12"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仓库</w:t>
            </w:r>
          </w:p>
        </w:tc>
        <w:tc>
          <w:tcPr>
            <w:tcW w:w="1309" w:type="pct"/>
            <w:gridSpan w:val="3"/>
            <w:tcBorders>
              <w:top w:val="single" w:color="000000" w:sz="4" w:space="0"/>
              <w:left w:val="single" w:color="000000" w:sz="4" w:space="0"/>
              <w:bottom w:val="single" w:color="000000" w:sz="12"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4389m</w:t>
            </w:r>
            <w:r>
              <w:rPr>
                <w:rFonts w:ascii="Times New Roman" w:hAnsi="Times New Roman" w:eastAsia="宋体" w:cs="Times New Roman"/>
                <w:kern w:val="2"/>
                <w:sz w:val="21"/>
                <w:szCs w:val="21"/>
                <w:vertAlign w:val="superscript"/>
                <w:lang w:eastAsia="zh-CN"/>
              </w:rPr>
              <w:t>2</w:t>
            </w:r>
          </w:p>
        </w:tc>
        <w:tc>
          <w:tcPr>
            <w:tcW w:w="1507" w:type="pct"/>
            <w:tcBorders>
              <w:top w:val="single" w:color="000000" w:sz="4" w:space="0"/>
              <w:left w:val="single" w:color="000000" w:sz="4" w:space="0"/>
              <w:bottom w:val="single" w:color="000000" w:sz="12" w:space="0"/>
              <w:right w:val="nil"/>
            </w:tcBorders>
            <w:vAlign w:val="center"/>
          </w:tcPr>
          <w:p>
            <w:pPr>
              <w:spacing w:after="0" w:line="240" w:lineRule="auto"/>
              <w:jc w:val="center"/>
              <w:rPr>
                <w:rFonts w:ascii="Times New Roman" w:hAnsi="Times New Roman" w:eastAsia="宋体" w:cs="Times New Roman"/>
                <w:kern w:val="2"/>
                <w:sz w:val="21"/>
                <w:szCs w:val="21"/>
                <w:lang w:eastAsia="zh-CN"/>
              </w:rPr>
            </w:pPr>
            <w:r>
              <w:rPr>
                <w:rFonts w:hint="eastAsia" w:cs="Times New Roman"/>
                <w:kern w:val="2"/>
                <w:sz w:val="21"/>
                <w:szCs w:val="21"/>
                <w:lang w:eastAsia="zh-CN"/>
              </w:rPr>
              <w:t>用作</w:t>
            </w:r>
            <w:r>
              <w:rPr>
                <w:rFonts w:hint="eastAsia" w:ascii="Times New Roman" w:hAnsi="Times New Roman" w:eastAsia="宋体" w:cs="Times New Roman"/>
                <w:kern w:val="2"/>
                <w:sz w:val="21"/>
                <w:szCs w:val="21"/>
                <w:lang w:val="en-US" w:eastAsia="zh-CN"/>
              </w:rPr>
              <w:t>3</w:t>
            </w:r>
            <w:r>
              <w:rPr>
                <w:rFonts w:ascii="Times New Roman" w:hAnsi="Times New Roman" w:eastAsia="宋体" w:cs="Times New Roman"/>
                <w:kern w:val="2"/>
                <w:sz w:val="21"/>
                <w:szCs w:val="21"/>
                <w:lang w:eastAsia="zh-CN"/>
              </w:rPr>
              <w:t>#车间，建设复卷、模切、分切车间及半成品仓库。实际占地面积2290m</w:t>
            </w:r>
            <w:r>
              <w:rPr>
                <w:rFonts w:ascii="Times New Roman" w:hAnsi="Times New Roman" w:eastAsia="宋体" w:cs="Times New Roman"/>
                <w:kern w:val="2"/>
                <w:sz w:val="21"/>
                <w:szCs w:val="21"/>
                <w:vertAlign w:val="superscript"/>
                <w:lang w:eastAsia="zh-CN"/>
              </w:rPr>
              <w:t>2</w:t>
            </w:r>
          </w:p>
        </w:tc>
        <w:tc>
          <w:tcPr>
            <w:tcW w:w="1066" w:type="pct"/>
            <w:tcBorders>
              <w:top w:val="single" w:color="000000" w:sz="4" w:space="0"/>
              <w:left w:val="single" w:color="000000" w:sz="4" w:space="0"/>
              <w:bottom w:val="single" w:color="000000" w:sz="12" w:space="0"/>
              <w:right w:val="nil"/>
            </w:tcBorders>
            <w:vAlign w:val="center"/>
          </w:tcPr>
          <w:p>
            <w:pPr>
              <w:spacing w:after="0" w:line="240" w:lineRule="auto"/>
              <w:jc w:val="center"/>
              <w:rPr>
                <w:rFonts w:hint="default" w:ascii="Times New Roman" w:hAnsi="Times New Roman" w:eastAsia="宋体" w:cs="Times New Roman"/>
                <w:kern w:val="2"/>
                <w:sz w:val="21"/>
                <w:szCs w:val="21"/>
                <w:lang w:val="en-US" w:eastAsia="zh-CN"/>
              </w:rPr>
            </w:pPr>
            <w:r>
              <w:rPr>
                <w:rFonts w:hint="eastAsia" w:cs="Times New Roman"/>
                <w:kern w:val="2"/>
                <w:sz w:val="21"/>
                <w:szCs w:val="21"/>
                <w:lang w:val="en-US" w:eastAsia="zh-CN"/>
              </w:rPr>
              <w:t>依托厂区原有仓库</w:t>
            </w:r>
          </w:p>
        </w:tc>
      </w:tr>
      <w:tr>
        <w:tblPrEx>
          <w:tblCellMar>
            <w:top w:w="0" w:type="dxa"/>
            <w:left w:w="0" w:type="dxa"/>
            <w:bottom w:w="0" w:type="dxa"/>
            <w:right w:w="0" w:type="dxa"/>
          </w:tblCellMar>
        </w:tblPrEx>
        <w:trPr>
          <w:trHeight w:val="1476" w:hRule="exact"/>
        </w:trPr>
        <w:tc>
          <w:tcPr>
            <w:tcW w:w="213" w:type="pct"/>
            <w:vMerge w:val="restart"/>
            <w:tcBorders>
              <w:top w:val="single" w:color="000000" w:sz="16" w:space="0"/>
              <w:left w:val="nil"/>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环保工程</w:t>
            </w:r>
          </w:p>
        </w:tc>
        <w:tc>
          <w:tcPr>
            <w:tcW w:w="409" w:type="pct"/>
            <w:vMerge w:val="restart"/>
            <w:tcBorders>
              <w:top w:val="single" w:color="000000" w:sz="16" w:space="0"/>
              <w:left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废气处理系统</w:t>
            </w:r>
          </w:p>
        </w:tc>
        <w:tc>
          <w:tcPr>
            <w:tcW w:w="494" w:type="pct"/>
            <w:tcBorders>
              <w:top w:val="single" w:color="000000" w:sz="16"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有机废气</w:t>
            </w:r>
          </w:p>
        </w:tc>
        <w:tc>
          <w:tcPr>
            <w:tcW w:w="368" w:type="pct"/>
            <w:tcBorders>
              <w:top w:val="single" w:color="000000" w:sz="16"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催化燃烧</w:t>
            </w:r>
          </w:p>
        </w:tc>
        <w:tc>
          <w:tcPr>
            <w:tcW w:w="941" w:type="pct"/>
            <w:gridSpan w:val="2"/>
            <w:tcBorders>
              <w:top w:val="single" w:color="000000" w:sz="16"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3套</w:t>
            </w:r>
          </w:p>
        </w:tc>
        <w:tc>
          <w:tcPr>
            <w:tcW w:w="1507" w:type="pct"/>
            <w:tcBorders>
              <w:top w:val="single" w:color="000000" w:sz="16" w:space="0"/>
              <w:left w:val="single" w:color="000000" w:sz="4" w:space="0"/>
              <w:bottom w:val="single" w:color="000000" w:sz="4" w:space="0"/>
              <w:right w:val="nil"/>
            </w:tcBorders>
            <w:vAlign w:val="center"/>
          </w:tcPr>
          <w:p>
            <w:pPr>
              <w:spacing w:after="0" w:line="240" w:lineRule="auto"/>
              <w:jc w:val="center"/>
              <w:rPr>
                <w:rFonts w:hint="eastAsia" w:ascii="Times New Roman" w:hAnsi="Times New Roman" w:eastAsia="宋体" w:cs="Times New Roman"/>
                <w:kern w:val="2"/>
                <w:sz w:val="21"/>
                <w:szCs w:val="21"/>
                <w:lang w:eastAsia="zh-CN"/>
              </w:rPr>
            </w:pPr>
            <w:r>
              <w:rPr>
                <w:rFonts w:hint="eastAsia" w:cs="Times New Roman"/>
                <w:kern w:val="2"/>
                <w:sz w:val="21"/>
                <w:szCs w:val="21"/>
                <w:lang w:val="en-US" w:eastAsia="zh-CN"/>
              </w:rPr>
              <w:t>建设单位通过调整生产线布置，将第4、5、6生产线布设在2号厂房内，三条生产线废气通过一套废气处理设施（RTO燃烧）处理后排放。</w:t>
            </w:r>
          </w:p>
        </w:tc>
        <w:tc>
          <w:tcPr>
            <w:tcW w:w="1066" w:type="pct"/>
            <w:tcBorders>
              <w:top w:val="single" w:color="000000" w:sz="16" w:space="0"/>
              <w:left w:val="single" w:color="000000" w:sz="4" w:space="0"/>
              <w:bottom w:val="single" w:color="000000" w:sz="4" w:space="0"/>
              <w:right w:val="nil"/>
            </w:tcBorders>
            <w:vAlign w:val="center"/>
          </w:tcPr>
          <w:p>
            <w:pPr>
              <w:spacing w:after="0" w:line="240" w:lineRule="auto"/>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rPr>
              <w:t>实际废气处理措施由</w:t>
            </w:r>
            <w:r>
              <w:rPr>
                <w:rFonts w:hint="eastAsia"/>
                <w:sz w:val="21"/>
                <w:szCs w:val="21"/>
                <w:lang w:val="en-US" w:eastAsia="zh-CN"/>
              </w:rPr>
              <w:t>催化燃烧（RCO）变成蓄热燃烧RTO.处理效率提高，经监测废气处理效率为98%，达标排放。</w:t>
            </w:r>
          </w:p>
        </w:tc>
      </w:tr>
      <w:tr>
        <w:tblPrEx>
          <w:tblCellMar>
            <w:top w:w="0" w:type="dxa"/>
            <w:left w:w="0" w:type="dxa"/>
            <w:bottom w:w="0" w:type="dxa"/>
            <w:right w:w="0" w:type="dxa"/>
          </w:tblCellMar>
        </w:tblPrEx>
        <w:trPr>
          <w:trHeight w:val="1287" w:hRule="exact"/>
        </w:trPr>
        <w:tc>
          <w:tcPr>
            <w:tcW w:w="213" w:type="pct"/>
            <w:vMerge w:val="continue"/>
            <w:tcBorders>
              <w:left w:val="nil"/>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p>
        </w:tc>
        <w:tc>
          <w:tcPr>
            <w:tcW w:w="409" w:type="pct"/>
            <w:vMerge w:val="continue"/>
            <w:tcBorders>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p>
        </w:tc>
        <w:tc>
          <w:tcPr>
            <w:tcW w:w="862" w:type="pct"/>
            <w:gridSpan w:val="2"/>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hint="eastAsia" w:cs="Times New Roman"/>
                <w:kern w:val="2"/>
                <w:sz w:val="21"/>
                <w:szCs w:val="21"/>
                <w:lang w:eastAsia="zh-CN"/>
              </w:rPr>
              <w:t>换风系统</w:t>
            </w:r>
          </w:p>
        </w:tc>
        <w:tc>
          <w:tcPr>
            <w:tcW w:w="941" w:type="pct"/>
            <w:gridSpan w:val="2"/>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3套</w:t>
            </w:r>
          </w:p>
        </w:tc>
        <w:tc>
          <w:tcPr>
            <w:tcW w:w="1507" w:type="pct"/>
            <w:tcBorders>
              <w:top w:val="single" w:color="000000" w:sz="4" w:space="0"/>
              <w:left w:val="single" w:color="000000" w:sz="4" w:space="0"/>
              <w:bottom w:val="single" w:color="000000" w:sz="4" w:space="0"/>
              <w:right w:val="nil"/>
            </w:tcBorders>
            <w:vAlign w:val="center"/>
          </w:tcPr>
          <w:p>
            <w:pPr>
              <w:spacing w:after="0" w:line="240" w:lineRule="auto"/>
              <w:jc w:val="center"/>
              <w:rPr>
                <w:rFonts w:ascii="Times New Roman" w:hAnsi="Times New Roman" w:eastAsia="宋体" w:cs="Times New Roman"/>
                <w:kern w:val="2"/>
                <w:sz w:val="21"/>
                <w:szCs w:val="21"/>
                <w:lang w:eastAsia="zh-CN"/>
              </w:rPr>
            </w:pPr>
            <w:r>
              <w:rPr>
                <w:rFonts w:hint="eastAsia" w:cs="Times New Roman"/>
                <w:kern w:val="2"/>
                <w:sz w:val="21"/>
                <w:szCs w:val="21"/>
                <w:lang w:val="en-US" w:eastAsia="zh-CN"/>
              </w:rPr>
              <w:t>1#和2#车间各设置一套换风系统</w:t>
            </w:r>
            <w:r>
              <w:rPr>
                <w:rFonts w:hint="eastAsia" w:ascii="Times New Roman" w:hAnsi="Times New Roman" w:eastAsia="宋体" w:cs="Times New Roman"/>
                <w:kern w:val="2"/>
                <w:sz w:val="21"/>
                <w:szCs w:val="21"/>
                <w:lang w:eastAsia="zh-CN"/>
              </w:rPr>
              <w:t>，本次验收</w:t>
            </w:r>
            <w:r>
              <w:rPr>
                <w:rFonts w:hint="eastAsia" w:cs="Times New Roman"/>
                <w:kern w:val="2"/>
                <w:sz w:val="21"/>
                <w:szCs w:val="21"/>
                <w:lang w:eastAsia="zh-CN"/>
              </w:rPr>
              <w:t>，</w:t>
            </w:r>
            <w:r>
              <w:rPr>
                <w:rFonts w:hint="eastAsia" w:cs="Times New Roman"/>
                <w:kern w:val="2"/>
                <w:sz w:val="21"/>
                <w:szCs w:val="21"/>
                <w:lang w:val="en-US" w:eastAsia="zh-CN"/>
              </w:rPr>
              <w:t>2#车间已</w:t>
            </w:r>
            <w:r>
              <w:rPr>
                <w:rFonts w:ascii="Times New Roman" w:hAnsi="Times New Roman" w:eastAsia="宋体" w:cs="Times New Roman"/>
                <w:kern w:val="2"/>
                <w:sz w:val="21"/>
                <w:szCs w:val="21"/>
                <w:lang w:eastAsia="zh-CN"/>
              </w:rPr>
              <w:t>建设1套车间换风系统</w:t>
            </w:r>
            <w:r>
              <w:rPr>
                <w:rFonts w:hint="eastAsia" w:cs="Times New Roman"/>
                <w:kern w:val="2"/>
                <w:sz w:val="21"/>
                <w:szCs w:val="21"/>
                <w:lang w:eastAsia="zh-CN"/>
              </w:rPr>
              <w:t>。</w:t>
            </w:r>
          </w:p>
        </w:tc>
        <w:tc>
          <w:tcPr>
            <w:tcW w:w="1066" w:type="pct"/>
            <w:tcBorders>
              <w:top w:val="single" w:color="000000" w:sz="4" w:space="0"/>
              <w:left w:val="single" w:color="000000" w:sz="4" w:space="0"/>
              <w:bottom w:val="single" w:color="000000" w:sz="4" w:space="0"/>
              <w:right w:val="nil"/>
            </w:tcBorders>
            <w:vAlign w:val="center"/>
          </w:tcPr>
          <w:p>
            <w:pPr>
              <w:spacing w:after="0" w:line="240" w:lineRule="auto"/>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已按照环评要求建设换风系统</w:t>
            </w:r>
          </w:p>
        </w:tc>
      </w:tr>
      <w:tr>
        <w:tblPrEx>
          <w:tblCellMar>
            <w:top w:w="0" w:type="dxa"/>
            <w:left w:w="0" w:type="dxa"/>
            <w:bottom w:w="0" w:type="dxa"/>
            <w:right w:w="0" w:type="dxa"/>
          </w:tblCellMar>
        </w:tblPrEx>
        <w:trPr>
          <w:trHeight w:val="812" w:hRule="exact"/>
        </w:trPr>
        <w:tc>
          <w:tcPr>
            <w:tcW w:w="213" w:type="pct"/>
            <w:vMerge w:val="continue"/>
            <w:tcBorders>
              <w:left w:val="nil"/>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p>
        </w:tc>
        <w:tc>
          <w:tcPr>
            <w:tcW w:w="1272" w:type="pct"/>
            <w:gridSpan w:val="3"/>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噪声防治</w:t>
            </w:r>
          </w:p>
        </w:tc>
        <w:tc>
          <w:tcPr>
            <w:tcW w:w="941" w:type="pct"/>
            <w:gridSpan w:val="2"/>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基础减震、隔声</w:t>
            </w:r>
          </w:p>
        </w:tc>
        <w:tc>
          <w:tcPr>
            <w:tcW w:w="1507" w:type="pct"/>
            <w:tcBorders>
              <w:top w:val="single" w:color="000000" w:sz="4" w:space="0"/>
              <w:left w:val="single" w:color="000000" w:sz="4" w:space="0"/>
              <w:bottom w:val="single" w:color="000000" w:sz="4" w:space="0"/>
              <w:right w:val="nil"/>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基础减震、隔声</w:t>
            </w:r>
          </w:p>
        </w:tc>
        <w:tc>
          <w:tcPr>
            <w:tcW w:w="1066" w:type="pct"/>
            <w:tcBorders>
              <w:top w:val="single" w:color="000000" w:sz="4" w:space="0"/>
              <w:left w:val="single" w:color="000000" w:sz="4" w:space="0"/>
              <w:bottom w:val="single" w:color="000000" w:sz="4" w:space="0"/>
              <w:right w:val="nil"/>
            </w:tcBorders>
            <w:vAlign w:val="center"/>
          </w:tcPr>
          <w:p>
            <w:pPr>
              <w:spacing w:after="0" w:line="240" w:lineRule="auto"/>
              <w:jc w:val="center"/>
              <w:rPr>
                <w:rFonts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eastAsia="zh-CN"/>
              </w:rPr>
              <w:t>与环评一致</w:t>
            </w:r>
          </w:p>
        </w:tc>
      </w:tr>
      <w:tr>
        <w:tblPrEx>
          <w:tblCellMar>
            <w:top w:w="0" w:type="dxa"/>
            <w:left w:w="0" w:type="dxa"/>
            <w:bottom w:w="0" w:type="dxa"/>
            <w:right w:w="0" w:type="dxa"/>
          </w:tblCellMar>
        </w:tblPrEx>
        <w:trPr>
          <w:trHeight w:val="812" w:hRule="exact"/>
        </w:trPr>
        <w:tc>
          <w:tcPr>
            <w:tcW w:w="213" w:type="pct"/>
            <w:vMerge w:val="continue"/>
            <w:tcBorders>
              <w:left w:val="nil"/>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p>
        </w:tc>
        <w:tc>
          <w:tcPr>
            <w:tcW w:w="409" w:type="pct"/>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废水处理</w:t>
            </w:r>
          </w:p>
        </w:tc>
        <w:tc>
          <w:tcPr>
            <w:tcW w:w="862" w:type="pct"/>
            <w:gridSpan w:val="2"/>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生活废水</w:t>
            </w:r>
          </w:p>
        </w:tc>
        <w:tc>
          <w:tcPr>
            <w:tcW w:w="941" w:type="pct"/>
            <w:gridSpan w:val="2"/>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化粪池</w:t>
            </w:r>
          </w:p>
        </w:tc>
        <w:tc>
          <w:tcPr>
            <w:tcW w:w="1507" w:type="pct"/>
            <w:tcBorders>
              <w:top w:val="single" w:color="000000" w:sz="4" w:space="0"/>
              <w:left w:val="single" w:color="000000" w:sz="4" w:space="0"/>
              <w:bottom w:val="single" w:color="000000" w:sz="4" w:space="0"/>
              <w:right w:val="nil"/>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化粪池</w:t>
            </w:r>
          </w:p>
        </w:tc>
        <w:tc>
          <w:tcPr>
            <w:tcW w:w="1066" w:type="pct"/>
            <w:tcBorders>
              <w:top w:val="single" w:color="000000" w:sz="4" w:space="0"/>
              <w:left w:val="single" w:color="000000" w:sz="4" w:space="0"/>
              <w:bottom w:val="single" w:color="000000" w:sz="4" w:space="0"/>
              <w:right w:val="nil"/>
            </w:tcBorders>
            <w:vAlign w:val="center"/>
          </w:tcPr>
          <w:p>
            <w:pPr>
              <w:spacing w:after="0" w:line="240" w:lineRule="auto"/>
              <w:jc w:val="center"/>
              <w:rPr>
                <w:rFonts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eastAsia="zh-CN"/>
              </w:rPr>
              <w:t>与环评一致</w:t>
            </w:r>
          </w:p>
        </w:tc>
      </w:tr>
      <w:tr>
        <w:tblPrEx>
          <w:tblCellMar>
            <w:top w:w="0" w:type="dxa"/>
            <w:left w:w="0" w:type="dxa"/>
            <w:bottom w:w="0" w:type="dxa"/>
            <w:right w:w="0" w:type="dxa"/>
          </w:tblCellMar>
        </w:tblPrEx>
        <w:trPr>
          <w:trHeight w:val="812" w:hRule="exact"/>
        </w:trPr>
        <w:tc>
          <w:tcPr>
            <w:tcW w:w="213" w:type="pct"/>
            <w:vMerge w:val="continue"/>
            <w:tcBorders>
              <w:left w:val="nil"/>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p>
        </w:tc>
        <w:tc>
          <w:tcPr>
            <w:tcW w:w="409" w:type="pct"/>
            <w:vMerge w:val="restart"/>
            <w:tcBorders>
              <w:top w:val="single" w:color="000000" w:sz="4" w:space="0"/>
              <w:left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固废处置</w:t>
            </w:r>
          </w:p>
        </w:tc>
        <w:tc>
          <w:tcPr>
            <w:tcW w:w="862" w:type="pct"/>
            <w:gridSpan w:val="2"/>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危险废物专用容器、堆场</w:t>
            </w:r>
          </w:p>
        </w:tc>
        <w:tc>
          <w:tcPr>
            <w:tcW w:w="941" w:type="pct"/>
            <w:gridSpan w:val="2"/>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仓库内东北角，10m</w:t>
            </w:r>
            <w:r>
              <w:rPr>
                <w:rFonts w:ascii="Times New Roman" w:hAnsi="Times New Roman" w:eastAsia="宋体" w:cs="Times New Roman"/>
                <w:kern w:val="2"/>
                <w:sz w:val="21"/>
                <w:szCs w:val="21"/>
                <w:vertAlign w:val="superscript"/>
                <w:lang w:eastAsia="zh-CN"/>
              </w:rPr>
              <w:t>2</w:t>
            </w:r>
          </w:p>
        </w:tc>
        <w:tc>
          <w:tcPr>
            <w:tcW w:w="1507" w:type="pct"/>
            <w:tcBorders>
              <w:top w:val="single" w:color="000000" w:sz="4" w:space="0"/>
              <w:left w:val="single" w:color="000000" w:sz="4" w:space="0"/>
              <w:bottom w:val="single" w:color="000000" w:sz="4" w:space="0"/>
              <w:right w:val="nil"/>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仓库内东北角，10m</w:t>
            </w:r>
            <w:r>
              <w:rPr>
                <w:rFonts w:ascii="Times New Roman" w:hAnsi="Times New Roman" w:eastAsia="宋体" w:cs="Times New Roman"/>
                <w:kern w:val="2"/>
                <w:sz w:val="21"/>
                <w:szCs w:val="21"/>
                <w:vertAlign w:val="superscript"/>
                <w:lang w:eastAsia="zh-CN"/>
              </w:rPr>
              <w:t>2</w:t>
            </w:r>
          </w:p>
        </w:tc>
        <w:tc>
          <w:tcPr>
            <w:tcW w:w="1066" w:type="pct"/>
            <w:tcBorders>
              <w:top w:val="single" w:color="000000" w:sz="4" w:space="0"/>
              <w:left w:val="single" w:color="000000" w:sz="4" w:space="0"/>
              <w:bottom w:val="single" w:color="000000" w:sz="4" w:space="0"/>
              <w:right w:val="nil"/>
            </w:tcBorders>
            <w:vAlign w:val="center"/>
          </w:tcPr>
          <w:p>
            <w:pPr>
              <w:spacing w:after="0" w:line="240" w:lineRule="auto"/>
              <w:jc w:val="center"/>
              <w:rPr>
                <w:rFonts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eastAsia="zh-CN"/>
              </w:rPr>
              <w:t>与环评一致</w:t>
            </w:r>
          </w:p>
        </w:tc>
      </w:tr>
      <w:tr>
        <w:tblPrEx>
          <w:tblCellMar>
            <w:top w:w="0" w:type="dxa"/>
            <w:left w:w="0" w:type="dxa"/>
            <w:bottom w:w="0" w:type="dxa"/>
            <w:right w:w="0" w:type="dxa"/>
          </w:tblCellMar>
        </w:tblPrEx>
        <w:trPr>
          <w:trHeight w:val="913" w:hRule="exact"/>
        </w:trPr>
        <w:tc>
          <w:tcPr>
            <w:tcW w:w="213" w:type="pct"/>
            <w:vMerge w:val="continue"/>
            <w:tcBorders>
              <w:left w:val="nil"/>
              <w:bottom w:val="single" w:color="000000" w:sz="12"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p>
        </w:tc>
        <w:tc>
          <w:tcPr>
            <w:tcW w:w="409" w:type="pct"/>
            <w:vMerge w:val="continue"/>
            <w:tcBorders>
              <w:left w:val="single" w:color="000000" w:sz="4" w:space="0"/>
              <w:bottom w:val="single" w:color="000000" w:sz="12"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p>
        </w:tc>
        <w:tc>
          <w:tcPr>
            <w:tcW w:w="862" w:type="pct"/>
            <w:gridSpan w:val="2"/>
            <w:tcBorders>
              <w:top w:val="single" w:color="000000" w:sz="4" w:space="0"/>
              <w:left w:val="single" w:color="000000" w:sz="4" w:space="0"/>
              <w:bottom w:val="single" w:color="000000" w:sz="12"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一般固废</w:t>
            </w:r>
          </w:p>
        </w:tc>
        <w:tc>
          <w:tcPr>
            <w:tcW w:w="941" w:type="pct"/>
            <w:gridSpan w:val="2"/>
            <w:tcBorders>
              <w:top w:val="single" w:color="000000" w:sz="4" w:space="0"/>
              <w:left w:val="single" w:color="000000" w:sz="4" w:space="0"/>
              <w:bottom w:val="single" w:color="000000" w:sz="12" w:space="0"/>
              <w:right w:val="single" w:color="000000" w:sz="4" w:space="0"/>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仓库西北角，20m</w:t>
            </w:r>
            <w:r>
              <w:rPr>
                <w:rFonts w:ascii="Times New Roman" w:hAnsi="Times New Roman" w:eastAsia="宋体" w:cs="Times New Roman"/>
                <w:kern w:val="2"/>
                <w:sz w:val="21"/>
                <w:szCs w:val="21"/>
                <w:vertAlign w:val="superscript"/>
                <w:lang w:eastAsia="zh-CN"/>
              </w:rPr>
              <w:t>2</w:t>
            </w:r>
          </w:p>
        </w:tc>
        <w:tc>
          <w:tcPr>
            <w:tcW w:w="1507" w:type="pct"/>
            <w:tcBorders>
              <w:top w:val="single" w:color="000000" w:sz="4" w:space="0"/>
              <w:left w:val="single" w:color="000000" w:sz="4" w:space="0"/>
              <w:bottom w:val="single" w:color="000000" w:sz="12" w:space="0"/>
              <w:right w:val="nil"/>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仓库西北角，20m</w:t>
            </w:r>
            <w:r>
              <w:rPr>
                <w:rFonts w:ascii="Times New Roman" w:hAnsi="Times New Roman" w:eastAsia="宋体" w:cs="Times New Roman"/>
                <w:kern w:val="2"/>
                <w:sz w:val="21"/>
                <w:szCs w:val="21"/>
                <w:vertAlign w:val="superscript"/>
                <w:lang w:eastAsia="zh-CN"/>
              </w:rPr>
              <w:t>2</w:t>
            </w:r>
          </w:p>
        </w:tc>
        <w:tc>
          <w:tcPr>
            <w:tcW w:w="1066" w:type="pct"/>
            <w:tcBorders>
              <w:top w:val="single" w:color="000000" w:sz="4" w:space="0"/>
              <w:left w:val="single" w:color="000000" w:sz="4" w:space="0"/>
              <w:bottom w:val="single" w:color="000000" w:sz="12" w:space="0"/>
              <w:right w:val="nil"/>
            </w:tcBorders>
            <w:vAlign w:val="center"/>
          </w:tcPr>
          <w:p>
            <w:pPr>
              <w:spacing w:after="0" w:line="240" w:lineRule="auto"/>
              <w:jc w:val="center"/>
              <w:rPr>
                <w:rFonts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eastAsia="zh-CN"/>
              </w:rPr>
              <w:t>与环评一致</w:t>
            </w:r>
          </w:p>
        </w:tc>
      </w:tr>
    </w:tbl>
    <w:p>
      <w:pPr>
        <w:rPr>
          <w:rFonts w:hint="eastAsia"/>
        </w:rPr>
        <w:sectPr>
          <w:footerReference r:id="rId14" w:type="default"/>
          <w:pgSz w:w="16838" w:h="11906" w:orient="landscape"/>
          <w:pgMar w:top="1440" w:right="1800" w:bottom="1440" w:left="1800" w:header="794" w:footer="992" w:gutter="0"/>
          <w:pgNumType w:fmt="decimal"/>
          <w:cols w:space="425" w:num="1"/>
          <w:docGrid w:type="lines" w:linePitch="312" w:charSpace="0"/>
        </w:sectPr>
      </w:pPr>
    </w:p>
    <w:p>
      <w:pPr>
        <w:pStyle w:val="8"/>
        <w:spacing w:beforeLines="0" w:afterLines="0"/>
        <w:ind w:firstLine="482"/>
        <w:rPr>
          <w:sz w:val="28"/>
          <w:szCs w:val="28"/>
        </w:rPr>
      </w:pPr>
      <w:r>
        <w:rPr>
          <w:rFonts w:hint="eastAsia"/>
          <w:sz w:val="28"/>
          <w:szCs w:val="28"/>
        </w:rPr>
        <w:t>3.2.2.3项目产品方案</w:t>
      </w:r>
    </w:p>
    <w:p>
      <w:pPr>
        <w:ind w:firstLine="480" w:firstLineChars="200"/>
        <w:rPr>
          <w:rFonts w:hint="eastAsia" w:ascii="Times New Roman" w:hAnsi="Times New Roman" w:eastAsia="宋体" w:cs="Times New Roman"/>
        </w:rPr>
      </w:pPr>
      <w:r>
        <w:rPr>
          <w:rFonts w:hint="eastAsia" w:ascii="Times New Roman" w:hAnsi="Times New Roman" w:eastAsia="宋体" w:cs="Times New Roman"/>
        </w:rPr>
        <w:t>根据统计，</w:t>
      </w:r>
      <w:r>
        <w:rPr>
          <w:rFonts w:hint="eastAsia" w:cs="Times New Roman"/>
          <w:lang w:val="en-US" w:eastAsia="zh-CN"/>
        </w:rPr>
        <w:t>本次验收的3条生产线</w:t>
      </w:r>
      <w:r>
        <w:rPr>
          <w:rFonts w:hint="eastAsia" w:ascii="Times New Roman" w:hAnsi="Times New Roman" w:eastAsia="宋体" w:cs="Times New Roman"/>
        </w:rPr>
        <w:fldChar w:fldCharType="begin"/>
      </w:r>
      <w:r>
        <w:rPr>
          <w:rFonts w:hint="eastAsia" w:ascii="Times New Roman" w:hAnsi="Times New Roman" w:eastAsia="宋体" w:cs="Times New Roman"/>
        </w:rPr>
        <w:instrText xml:space="preserve"> HYPERLINK \l "_bookmark53" </w:instrText>
      </w:r>
      <w:r>
        <w:rPr>
          <w:rFonts w:hint="eastAsia" w:ascii="Times New Roman" w:hAnsi="Times New Roman" w:eastAsia="宋体" w:cs="Times New Roman"/>
        </w:rPr>
        <w:fldChar w:fldCharType="separate"/>
      </w:r>
      <w:r>
        <w:rPr>
          <w:rFonts w:hint="eastAsia" w:ascii="Times New Roman" w:hAnsi="Times New Roman" w:eastAsia="宋体" w:cs="Times New Roman"/>
        </w:rPr>
        <w:t>产品方案见表</w:t>
      </w:r>
      <w:r>
        <w:rPr>
          <w:rFonts w:hint="eastAsia" w:ascii="Times New Roman" w:hAnsi="Times New Roman" w:eastAsia="宋体" w:cs="Times New Roman"/>
          <w:lang w:val="en-US" w:eastAsia="zh-CN"/>
        </w:rPr>
        <w:t>3.2</w:t>
      </w:r>
      <w:r>
        <w:rPr>
          <w:rFonts w:hint="eastAsia" w:ascii="Times New Roman" w:hAnsi="Times New Roman" w:eastAsia="宋体" w:cs="Times New Roman"/>
        </w:rPr>
        <w:t>-2</w:t>
      </w:r>
      <w:r>
        <w:rPr>
          <w:rFonts w:hint="eastAsia" w:ascii="Times New Roman" w:hAnsi="Times New Roman" w:eastAsia="宋体" w:cs="Times New Roman"/>
        </w:rPr>
        <w:fldChar w:fldCharType="end"/>
      </w:r>
      <w:r>
        <w:rPr>
          <w:rFonts w:hint="eastAsia" w:ascii="Times New Roman" w:hAnsi="Times New Roman" w:eastAsia="宋体" w:cs="Times New Roman"/>
        </w:rPr>
        <w:t>。</w:t>
      </w:r>
    </w:p>
    <w:p>
      <w:pPr>
        <w:jc w:val="center"/>
        <w:rPr>
          <w:rFonts w:hint="default" w:ascii="Times New Roman" w:hAnsi="Times New Roman" w:eastAsia="黑体" w:cs="Times New Roman"/>
          <w:b w:val="0"/>
          <w:bCs w:val="0"/>
          <w:sz w:val="21"/>
          <w:szCs w:val="21"/>
          <w:lang w:val="en-US" w:eastAsia="zh-CN"/>
        </w:rPr>
      </w:pPr>
      <w:bookmarkStart w:id="42" w:name="_bookmark53"/>
      <w:bookmarkEnd w:id="42"/>
      <w:r>
        <w:rPr>
          <w:rFonts w:hint="default" w:ascii="Times New Roman" w:hAnsi="Times New Roman" w:eastAsia="黑体" w:cs="Times New Roman"/>
          <w:b w:val="0"/>
          <w:bCs w:val="0"/>
          <w:sz w:val="21"/>
          <w:szCs w:val="21"/>
          <w:lang w:val="en-US" w:eastAsia="zh-CN"/>
        </w:rPr>
        <w:t>表3</w:t>
      </w:r>
      <w:r>
        <w:rPr>
          <w:rFonts w:hint="eastAsia" w:ascii="Times New Roman" w:hAnsi="Times New Roman" w:eastAsia="黑体" w:cs="Times New Roman"/>
          <w:b w:val="0"/>
          <w:bCs w:val="0"/>
          <w:sz w:val="21"/>
          <w:szCs w:val="21"/>
          <w:lang w:val="en-US" w:eastAsia="zh-CN"/>
        </w:rPr>
        <w:t>.2</w:t>
      </w:r>
      <w:r>
        <w:rPr>
          <w:rFonts w:hint="default" w:ascii="Times New Roman" w:hAnsi="Times New Roman" w:eastAsia="黑体" w:cs="Times New Roman"/>
          <w:b w:val="0"/>
          <w:bCs w:val="0"/>
          <w:sz w:val="21"/>
          <w:szCs w:val="21"/>
          <w:lang w:val="en-US" w:eastAsia="zh-CN"/>
        </w:rPr>
        <w:t>-2项目产品方案</w:t>
      </w:r>
      <w:r>
        <w:rPr>
          <w:rFonts w:hint="eastAsia" w:eastAsia="黑体" w:cs="Times New Roman"/>
          <w:b w:val="0"/>
          <w:bCs w:val="0"/>
          <w:sz w:val="21"/>
          <w:szCs w:val="21"/>
          <w:lang w:val="en-US" w:eastAsia="zh-CN"/>
        </w:rPr>
        <w:t>（单位 万平方米）</w:t>
      </w:r>
    </w:p>
    <w:tbl>
      <w:tblPr>
        <w:tblStyle w:val="26"/>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744"/>
        <w:gridCol w:w="1246"/>
        <w:gridCol w:w="1246"/>
        <w:gridCol w:w="1246"/>
        <w:gridCol w:w="1248"/>
        <w:gridCol w:w="157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0" w:hRule="atLeast"/>
        </w:trPr>
        <w:tc>
          <w:tcPr>
            <w:tcW w:w="1050" w:type="pct"/>
            <w:tcBorders>
              <w:left w:val="nil"/>
            </w:tcBorders>
            <w:vAlign w:val="center"/>
          </w:tcPr>
          <w:p>
            <w:pPr>
              <w:spacing w:line="240" w:lineRule="auto"/>
              <w:jc w:val="center"/>
              <w:rPr>
                <w:sz w:val="21"/>
                <w:szCs w:val="21"/>
              </w:rPr>
            </w:pPr>
            <w:r>
              <w:rPr>
                <w:sz w:val="21"/>
                <w:szCs w:val="21"/>
              </w:rPr>
              <w:t>产品名称</w:t>
            </w:r>
          </w:p>
        </w:tc>
        <w:tc>
          <w:tcPr>
            <w:tcW w:w="750" w:type="pct"/>
            <w:vAlign w:val="center"/>
          </w:tcPr>
          <w:p>
            <w:pPr>
              <w:spacing w:line="240" w:lineRule="auto"/>
              <w:jc w:val="center"/>
              <w:rPr>
                <w:sz w:val="21"/>
                <w:szCs w:val="21"/>
              </w:rPr>
            </w:pPr>
            <w:r>
              <w:rPr>
                <w:rFonts w:hint="eastAsia"/>
                <w:sz w:val="21"/>
                <w:szCs w:val="21"/>
                <w:lang w:val="en-US" w:eastAsia="zh-CN"/>
              </w:rPr>
              <w:t>环评中总设计产能</w:t>
            </w:r>
          </w:p>
        </w:tc>
        <w:tc>
          <w:tcPr>
            <w:tcW w:w="750" w:type="pct"/>
            <w:vAlign w:val="center"/>
          </w:tcPr>
          <w:p>
            <w:pPr>
              <w:spacing w:line="240" w:lineRule="auto"/>
              <w:jc w:val="center"/>
              <w:rPr>
                <w:sz w:val="21"/>
                <w:szCs w:val="21"/>
              </w:rPr>
            </w:pPr>
            <w:r>
              <w:rPr>
                <w:rFonts w:hint="eastAsia"/>
                <w:sz w:val="21"/>
                <w:szCs w:val="21"/>
                <w:lang w:val="en-US" w:eastAsia="zh-CN"/>
              </w:rPr>
              <w:t>第一阶段（1、2生产线）已验收产能</w:t>
            </w:r>
          </w:p>
        </w:tc>
        <w:tc>
          <w:tcPr>
            <w:tcW w:w="750" w:type="pct"/>
            <w:vAlign w:val="center"/>
          </w:tcPr>
          <w:p>
            <w:pPr>
              <w:spacing w:line="240" w:lineRule="auto"/>
              <w:jc w:val="center"/>
              <w:rPr>
                <w:rFonts w:hint="default" w:eastAsia="宋体"/>
                <w:sz w:val="21"/>
                <w:szCs w:val="21"/>
                <w:lang w:val="en-US" w:eastAsia="zh-CN"/>
              </w:rPr>
            </w:pPr>
            <w:r>
              <w:rPr>
                <w:rFonts w:hint="eastAsia"/>
                <w:sz w:val="21"/>
                <w:szCs w:val="21"/>
                <w:lang w:val="en-US" w:eastAsia="zh-CN"/>
              </w:rPr>
              <w:t>第二阶段（3生产线）设计产能</w:t>
            </w:r>
          </w:p>
        </w:tc>
        <w:tc>
          <w:tcPr>
            <w:tcW w:w="751" w:type="pct"/>
            <w:vAlign w:val="center"/>
          </w:tcPr>
          <w:p>
            <w:pPr>
              <w:spacing w:line="240" w:lineRule="auto"/>
              <w:jc w:val="center"/>
              <w:rPr>
                <w:rFonts w:hint="default" w:eastAsia="宋体"/>
                <w:sz w:val="21"/>
                <w:szCs w:val="21"/>
                <w:lang w:val="en-US" w:eastAsia="zh-CN"/>
              </w:rPr>
            </w:pPr>
            <w:r>
              <w:rPr>
                <w:rFonts w:hint="eastAsia"/>
                <w:sz w:val="21"/>
                <w:szCs w:val="21"/>
                <w:lang w:val="en-US" w:eastAsia="zh-CN"/>
              </w:rPr>
              <w:t>本次验收产能</w:t>
            </w:r>
          </w:p>
        </w:tc>
        <w:tc>
          <w:tcPr>
            <w:tcW w:w="947" w:type="pct"/>
            <w:tcBorders>
              <w:right w:val="nil"/>
            </w:tcBorders>
            <w:vAlign w:val="center"/>
          </w:tcPr>
          <w:p>
            <w:pPr>
              <w:spacing w:line="240" w:lineRule="auto"/>
              <w:jc w:val="center"/>
              <w:rPr>
                <w:sz w:val="21"/>
                <w:szCs w:val="21"/>
              </w:rPr>
            </w:pPr>
            <w:r>
              <w:rPr>
                <w:sz w:val="21"/>
                <w:szCs w:val="21"/>
              </w:rPr>
              <w:t>年运行时数(h)</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8" w:hRule="atLeast"/>
        </w:trPr>
        <w:tc>
          <w:tcPr>
            <w:tcW w:w="1050" w:type="pct"/>
            <w:tcBorders>
              <w:left w:val="nil"/>
            </w:tcBorders>
            <w:vAlign w:val="top"/>
          </w:tcPr>
          <w:p>
            <w:pPr>
              <w:jc w:val="center"/>
              <w:rPr>
                <w:sz w:val="21"/>
                <w:szCs w:val="21"/>
              </w:rPr>
            </w:pPr>
            <w:r>
              <w:rPr>
                <w:sz w:val="21"/>
                <w:szCs w:val="21"/>
              </w:rPr>
              <w:t>锂电池终止胶带</w:t>
            </w:r>
          </w:p>
        </w:tc>
        <w:tc>
          <w:tcPr>
            <w:tcW w:w="750" w:type="pct"/>
            <w:vAlign w:val="top"/>
          </w:tcPr>
          <w:p>
            <w:pPr>
              <w:jc w:val="center"/>
              <w:rPr>
                <w:rFonts w:hint="default" w:eastAsia="宋体"/>
                <w:sz w:val="21"/>
                <w:szCs w:val="21"/>
                <w:lang w:val="en-US" w:eastAsia="zh-CN"/>
              </w:rPr>
            </w:pPr>
            <w:r>
              <w:rPr>
                <w:rFonts w:hint="eastAsia"/>
                <w:sz w:val="21"/>
                <w:szCs w:val="21"/>
                <w:lang w:val="en-US" w:eastAsia="zh-CN"/>
              </w:rPr>
              <w:t>1300</w:t>
            </w:r>
          </w:p>
        </w:tc>
        <w:tc>
          <w:tcPr>
            <w:tcW w:w="750" w:type="pct"/>
            <w:vAlign w:val="top"/>
          </w:tcPr>
          <w:p>
            <w:pPr>
              <w:jc w:val="center"/>
              <w:rPr>
                <w:rFonts w:hint="default" w:eastAsia="宋体"/>
                <w:sz w:val="21"/>
                <w:szCs w:val="21"/>
                <w:lang w:val="en-US" w:eastAsia="zh-CN"/>
              </w:rPr>
            </w:pPr>
            <w:r>
              <w:rPr>
                <w:rFonts w:hint="eastAsia"/>
                <w:sz w:val="21"/>
                <w:szCs w:val="21"/>
                <w:lang w:val="en-US" w:eastAsia="zh-CN"/>
              </w:rPr>
              <w:t>400</w:t>
            </w:r>
          </w:p>
        </w:tc>
        <w:tc>
          <w:tcPr>
            <w:tcW w:w="750" w:type="pct"/>
            <w:vAlign w:val="top"/>
          </w:tcPr>
          <w:p>
            <w:pPr>
              <w:jc w:val="center"/>
              <w:rPr>
                <w:rFonts w:hint="default"/>
                <w:sz w:val="21"/>
                <w:szCs w:val="21"/>
                <w:lang w:val="en-US" w:eastAsia="zh-CN"/>
              </w:rPr>
            </w:pPr>
            <w:r>
              <w:rPr>
                <w:rFonts w:hint="eastAsia"/>
                <w:sz w:val="21"/>
                <w:szCs w:val="21"/>
                <w:lang w:val="en-US" w:eastAsia="zh-CN"/>
              </w:rPr>
              <w:t>217</w:t>
            </w:r>
          </w:p>
        </w:tc>
        <w:tc>
          <w:tcPr>
            <w:tcW w:w="1248" w:type="dxa"/>
            <w:vAlign w:val="top"/>
          </w:tcPr>
          <w:p>
            <w:pPr>
              <w:jc w:val="center"/>
              <w:rPr>
                <w:rFonts w:hint="default"/>
                <w:sz w:val="21"/>
                <w:szCs w:val="21"/>
                <w:lang w:val="en-US" w:eastAsia="zh-CN"/>
              </w:rPr>
            </w:pPr>
            <w:r>
              <w:rPr>
                <w:rFonts w:hint="eastAsia"/>
                <w:sz w:val="21"/>
                <w:szCs w:val="21"/>
                <w:lang w:val="en-US" w:eastAsia="zh-CN"/>
              </w:rPr>
              <w:t>683</w:t>
            </w:r>
          </w:p>
        </w:tc>
        <w:tc>
          <w:tcPr>
            <w:tcW w:w="947" w:type="pct"/>
            <w:vMerge w:val="restart"/>
            <w:tcBorders>
              <w:right w:val="nil"/>
            </w:tcBorders>
            <w:vAlign w:val="center"/>
          </w:tcPr>
          <w:p>
            <w:pPr>
              <w:jc w:val="center"/>
              <w:rPr>
                <w:sz w:val="21"/>
                <w:szCs w:val="21"/>
              </w:rPr>
            </w:pPr>
            <w:r>
              <w:rPr>
                <w:sz w:val="21"/>
                <w:szCs w:val="21"/>
              </w:rPr>
              <w:t>3000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0" w:hRule="atLeast"/>
        </w:trPr>
        <w:tc>
          <w:tcPr>
            <w:tcW w:w="1050" w:type="pct"/>
            <w:tcBorders>
              <w:left w:val="nil"/>
            </w:tcBorders>
            <w:vAlign w:val="top"/>
          </w:tcPr>
          <w:p>
            <w:pPr>
              <w:jc w:val="center"/>
              <w:rPr>
                <w:sz w:val="21"/>
                <w:szCs w:val="21"/>
              </w:rPr>
            </w:pPr>
            <w:r>
              <w:rPr>
                <w:sz w:val="21"/>
                <w:szCs w:val="21"/>
              </w:rPr>
              <w:t>锂电池极耳胶带</w:t>
            </w:r>
          </w:p>
        </w:tc>
        <w:tc>
          <w:tcPr>
            <w:tcW w:w="750" w:type="pct"/>
            <w:vAlign w:val="top"/>
          </w:tcPr>
          <w:p>
            <w:pPr>
              <w:jc w:val="center"/>
              <w:rPr>
                <w:rFonts w:hint="default" w:eastAsia="宋体"/>
                <w:sz w:val="21"/>
                <w:szCs w:val="21"/>
                <w:lang w:val="en-US" w:eastAsia="zh-CN"/>
              </w:rPr>
            </w:pPr>
            <w:r>
              <w:rPr>
                <w:rFonts w:hint="eastAsia"/>
                <w:sz w:val="21"/>
                <w:szCs w:val="21"/>
                <w:lang w:val="en-US" w:eastAsia="zh-CN"/>
              </w:rPr>
              <w:t>1000</w:t>
            </w:r>
          </w:p>
        </w:tc>
        <w:tc>
          <w:tcPr>
            <w:tcW w:w="750" w:type="pct"/>
            <w:vAlign w:val="top"/>
          </w:tcPr>
          <w:p>
            <w:pPr>
              <w:jc w:val="center"/>
              <w:rPr>
                <w:rFonts w:hint="default" w:eastAsia="宋体"/>
                <w:sz w:val="21"/>
                <w:szCs w:val="21"/>
                <w:lang w:val="en-US" w:eastAsia="zh-CN"/>
              </w:rPr>
            </w:pPr>
            <w:r>
              <w:rPr>
                <w:rFonts w:hint="eastAsia"/>
                <w:sz w:val="21"/>
                <w:szCs w:val="21"/>
                <w:lang w:val="en-US" w:eastAsia="zh-CN"/>
              </w:rPr>
              <w:t>350</w:t>
            </w:r>
          </w:p>
        </w:tc>
        <w:tc>
          <w:tcPr>
            <w:tcW w:w="750" w:type="pct"/>
            <w:vAlign w:val="top"/>
          </w:tcPr>
          <w:p>
            <w:pPr>
              <w:jc w:val="center"/>
              <w:rPr>
                <w:rFonts w:hint="default"/>
                <w:sz w:val="21"/>
                <w:szCs w:val="21"/>
                <w:lang w:val="en-US" w:eastAsia="zh-CN"/>
              </w:rPr>
            </w:pPr>
            <w:r>
              <w:rPr>
                <w:rFonts w:hint="eastAsia"/>
                <w:sz w:val="21"/>
                <w:szCs w:val="21"/>
                <w:lang w:val="en-US" w:eastAsia="zh-CN"/>
              </w:rPr>
              <w:t>167</w:t>
            </w:r>
          </w:p>
        </w:tc>
        <w:tc>
          <w:tcPr>
            <w:tcW w:w="1248" w:type="dxa"/>
            <w:vAlign w:val="top"/>
          </w:tcPr>
          <w:p>
            <w:pPr>
              <w:jc w:val="center"/>
              <w:rPr>
                <w:rFonts w:hint="default"/>
                <w:sz w:val="21"/>
                <w:szCs w:val="21"/>
                <w:lang w:val="en-US" w:eastAsia="zh-CN"/>
              </w:rPr>
            </w:pPr>
            <w:r>
              <w:rPr>
                <w:rFonts w:hint="eastAsia"/>
                <w:sz w:val="21"/>
                <w:szCs w:val="21"/>
                <w:lang w:val="en-US" w:eastAsia="zh-CN"/>
              </w:rPr>
              <w:t>483</w:t>
            </w:r>
          </w:p>
        </w:tc>
        <w:tc>
          <w:tcPr>
            <w:tcW w:w="947" w:type="pct"/>
            <w:vMerge w:val="continue"/>
            <w:tcBorders>
              <w:right w:val="nil"/>
            </w:tcBorders>
            <w:vAlign w:val="top"/>
          </w:tcPr>
          <w:p>
            <w:pPr>
              <w:jc w:val="center"/>
              <w:rPr>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050" w:type="pct"/>
            <w:tcBorders>
              <w:left w:val="nil"/>
            </w:tcBorders>
            <w:vAlign w:val="top"/>
          </w:tcPr>
          <w:p>
            <w:pPr>
              <w:jc w:val="center"/>
              <w:rPr>
                <w:sz w:val="21"/>
                <w:szCs w:val="21"/>
              </w:rPr>
            </w:pPr>
            <w:r>
              <w:rPr>
                <w:sz w:val="21"/>
                <w:szCs w:val="21"/>
              </w:rPr>
              <w:t>锂电池PACK胶带</w:t>
            </w:r>
          </w:p>
        </w:tc>
        <w:tc>
          <w:tcPr>
            <w:tcW w:w="750" w:type="pct"/>
            <w:vAlign w:val="top"/>
          </w:tcPr>
          <w:p>
            <w:pPr>
              <w:jc w:val="center"/>
              <w:rPr>
                <w:rFonts w:hint="default" w:eastAsia="宋体"/>
                <w:sz w:val="21"/>
                <w:szCs w:val="21"/>
                <w:lang w:val="en-US" w:eastAsia="zh-CN"/>
              </w:rPr>
            </w:pPr>
            <w:r>
              <w:rPr>
                <w:rFonts w:hint="eastAsia"/>
                <w:sz w:val="21"/>
                <w:szCs w:val="21"/>
                <w:lang w:val="en-US" w:eastAsia="zh-CN"/>
              </w:rPr>
              <w:t>1000</w:t>
            </w:r>
          </w:p>
        </w:tc>
        <w:tc>
          <w:tcPr>
            <w:tcW w:w="750" w:type="pct"/>
            <w:vAlign w:val="top"/>
          </w:tcPr>
          <w:p>
            <w:pPr>
              <w:jc w:val="center"/>
              <w:rPr>
                <w:rFonts w:hint="default" w:eastAsia="宋体"/>
                <w:sz w:val="21"/>
                <w:szCs w:val="21"/>
                <w:lang w:val="en-US" w:eastAsia="zh-CN"/>
              </w:rPr>
            </w:pPr>
            <w:r>
              <w:rPr>
                <w:rFonts w:hint="eastAsia"/>
                <w:sz w:val="21"/>
                <w:szCs w:val="21"/>
                <w:lang w:val="en-US" w:eastAsia="zh-CN"/>
              </w:rPr>
              <w:t>350</w:t>
            </w:r>
          </w:p>
        </w:tc>
        <w:tc>
          <w:tcPr>
            <w:tcW w:w="750" w:type="pct"/>
            <w:vAlign w:val="top"/>
          </w:tcPr>
          <w:p>
            <w:pPr>
              <w:jc w:val="center"/>
              <w:rPr>
                <w:rFonts w:hint="default"/>
                <w:sz w:val="21"/>
                <w:szCs w:val="21"/>
                <w:lang w:val="en-US" w:eastAsia="zh-CN"/>
              </w:rPr>
            </w:pPr>
            <w:r>
              <w:rPr>
                <w:rFonts w:hint="eastAsia"/>
                <w:sz w:val="21"/>
                <w:szCs w:val="21"/>
                <w:lang w:val="en-US" w:eastAsia="zh-CN"/>
              </w:rPr>
              <w:t>166</w:t>
            </w:r>
          </w:p>
        </w:tc>
        <w:tc>
          <w:tcPr>
            <w:tcW w:w="1248" w:type="dxa"/>
            <w:vAlign w:val="top"/>
          </w:tcPr>
          <w:p>
            <w:pPr>
              <w:jc w:val="center"/>
              <w:rPr>
                <w:rFonts w:hint="default"/>
                <w:sz w:val="21"/>
                <w:szCs w:val="21"/>
                <w:lang w:val="en-US" w:eastAsia="zh-CN"/>
              </w:rPr>
            </w:pPr>
            <w:r>
              <w:rPr>
                <w:rFonts w:hint="eastAsia"/>
                <w:sz w:val="21"/>
                <w:szCs w:val="21"/>
                <w:lang w:val="en-US" w:eastAsia="zh-CN"/>
              </w:rPr>
              <w:t>484</w:t>
            </w:r>
          </w:p>
        </w:tc>
        <w:tc>
          <w:tcPr>
            <w:tcW w:w="947" w:type="pct"/>
            <w:vMerge w:val="continue"/>
            <w:tcBorders>
              <w:right w:val="nil"/>
            </w:tcBorders>
            <w:vAlign w:val="top"/>
          </w:tcPr>
          <w:p>
            <w:pPr>
              <w:jc w:val="center"/>
              <w:rPr>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050" w:type="pct"/>
            <w:tcBorders>
              <w:left w:val="nil"/>
            </w:tcBorders>
            <w:vAlign w:val="top"/>
          </w:tcPr>
          <w:p>
            <w:pPr>
              <w:jc w:val="center"/>
              <w:rPr>
                <w:rFonts w:hint="eastAsia" w:eastAsia="宋体"/>
                <w:sz w:val="21"/>
                <w:szCs w:val="21"/>
                <w:lang w:eastAsia="zh-CN"/>
              </w:rPr>
            </w:pPr>
            <w:r>
              <w:rPr>
                <w:rFonts w:hint="eastAsia"/>
                <w:sz w:val="21"/>
                <w:szCs w:val="21"/>
                <w:lang w:eastAsia="zh-CN"/>
              </w:rPr>
              <w:t>其他胶带</w:t>
            </w:r>
          </w:p>
        </w:tc>
        <w:tc>
          <w:tcPr>
            <w:tcW w:w="750" w:type="pct"/>
            <w:vAlign w:val="top"/>
          </w:tcPr>
          <w:p>
            <w:pPr>
              <w:jc w:val="center"/>
              <w:rPr>
                <w:rFonts w:hint="default" w:eastAsia="宋体"/>
                <w:sz w:val="21"/>
                <w:szCs w:val="21"/>
                <w:lang w:val="en-US" w:eastAsia="zh-CN"/>
              </w:rPr>
            </w:pPr>
            <w:r>
              <w:rPr>
                <w:rFonts w:hint="eastAsia"/>
                <w:sz w:val="21"/>
                <w:szCs w:val="21"/>
                <w:lang w:val="en-US" w:eastAsia="zh-CN"/>
              </w:rPr>
              <w:t>300</w:t>
            </w:r>
          </w:p>
        </w:tc>
        <w:tc>
          <w:tcPr>
            <w:tcW w:w="750" w:type="pct"/>
            <w:vAlign w:val="top"/>
          </w:tcPr>
          <w:p>
            <w:pPr>
              <w:jc w:val="center"/>
              <w:rPr>
                <w:rFonts w:hint="default"/>
                <w:sz w:val="21"/>
                <w:szCs w:val="21"/>
                <w:lang w:val="en-US" w:eastAsia="zh-CN"/>
              </w:rPr>
            </w:pPr>
            <w:r>
              <w:rPr>
                <w:rFonts w:hint="eastAsia"/>
                <w:sz w:val="21"/>
                <w:szCs w:val="21"/>
                <w:lang w:val="en-US" w:eastAsia="zh-CN"/>
              </w:rPr>
              <w:t>100</w:t>
            </w:r>
          </w:p>
        </w:tc>
        <w:tc>
          <w:tcPr>
            <w:tcW w:w="750" w:type="pct"/>
            <w:vAlign w:val="top"/>
          </w:tcPr>
          <w:p>
            <w:pPr>
              <w:jc w:val="center"/>
              <w:rPr>
                <w:rFonts w:hint="default"/>
                <w:sz w:val="21"/>
                <w:szCs w:val="21"/>
                <w:lang w:val="en-US" w:eastAsia="zh-CN"/>
              </w:rPr>
            </w:pPr>
            <w:r>
              <w:rPr>
                <w:rFonts w:hint="eastAsia"/>
                <w:sz w:val="21"/>
                <w:szCs w:val="21"/>
                <w:lang w:val="en-US" w:eastAsia="zh-CN"/>
              </w:rPr>
              <w:t>50</w:t>
            </w:r>
          </w:p>
        </w:tc>
        <w:tc>
          <w:tcPr>
            <w:tcW w:w="1248" w:type="dxa"/>
            <w:vAlign w:val="top"/>
          </w:tcPr>
          <w:p>
            <w:pPr>
              <w:jc w:val="center"/>
              <w:rPr>
                <w:rFonts w:hint="default"/>
                <w:sz w:val="21"/>
                <w:szCs w:val="21"/>
                <w:lang w:val="en-US" w:eastAsia="zh-CN"/>
              </w:rPr>
            </w:pPr>
            <w:r>
              <w:rPr>
                <w:rFonts w:hint="eastAsia"/>
                <w:sz w:val="21"/>
                <w:szCs w:val="21"/>
                <w:lang w:val="en-US" w:eastAsia="zh-CN"/>
              </w:rPr>
              <w:t>150</w:t>
            </w:r>
          </w:p>
        </w:tc>
        <w:tc>
          <w:tcPr>
            <w:tcW w:w="947" w:type="pct"/>
            <w:vMerge w:val="continue"/>
            <w:tcBorders>
              <w:right w:val="nil"/>
            </w:tcBorders>
            <w:vAlign w:val="top"/>
          </w:tcPr>
          <w:p>
            <w:pPr>
              <w:jc w:val="center"/>
              <w:rPr>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050" w:type="pct"/>
            <w:tcBorders>
              <w:left w:val="nil"/>
            </w:tcBorders>
            <w:vAlign w:val="top"/>
          </w:tcPr>
          <w:p>
            <w:pPr>
              <w:jc w:val="center"/>
              <w:rPr>
                <w:rFonts w:hint="default"/>
                <w:sz w:val="21"/>
                <w:szCs w:val="21"/>
                <w:lang w:val="en-US" w:eastAsia="zh-CN"/>
              </w:rPr>
            </w:pPr>
            <w:r>
              <w:rPr>
                <w:rFonts w:hint="eastAsia"/>
                <w:sz w:val="21"/>
                <w:szCs w:val="21"/>
                <w:lang w:val="en-US" w:eastAsia="zh-CN"/>
              </w:rPr>
              <w:t>合计</w:t>
            </w:r>
          </w:p>
        </w:tc>
        <w:tc>
          <w:tcPr>
            <w:tcW w:w="750" w:type="pct"/>
            <w:vAlign w:val="top"/>
          </w:tcPr>
          <w:p>
            <w:pPr>
              <w:jc w:val="center"/>
              <w:rPr>
                <w:rFonts w:hint="default"/>
                <w:sz w:val="21"/>
                <w:szCs w:val="21"/>
                <w:lang w:val="en-US" w:eastAsia="zh-CN"/>
              </w:rPr>
            </w:pPr>
            <w:r>
              <w:rPr>
                <w:rFonts w:hint="eastAsia"/>
                <w:sz w:val="21"/>
                <w:szCs w:val="21"/>
                <w:lang w:val="en-US" w:eastAsia="zh-CN"/>
              </w:rPr>
              <w:t>3600</w:t>
            </w:r>
          </w:p>
        </w:tc>
        <w:tc>
          <w:tcPr>
            <w:tcW w:w="750" w:type="pct"/>
            <w:vAlign w:val="top"/>
          </w:tcPr>
          <w:p>
            <w:pPr>
              <w:jc w:val="center"/>
              <w:rPr>
                <w:rFonts w:hint="default"/>
                <w:sz w:val="21"/>
                <w:szCs w:val="21"/>
                <w:lang w:val="en-US" w:eastAsia="zh-CN"/>
              </w:rPr>
            </w:pPr>
            <w:r>
              <w:rPr>
                <w:rFonts w:hint="eastAsia"/>
                <w:sz w:val="21"/>
                <w:szCs w:val="21"/>
                <w:lang w:val="en-US" w:eastAsia="zh-CN"/>
              </w:rPr>
              <w:t>1200</w:t>
            </w:r>
          </w:p>
        </w:tc>
        <w:tc>
          <w:tcPr>
            <w:tcW w:w="750" w:type="pct"/>
            <w:vAlign w:val="top"/>
          </w:tcPr>
          <w:p>
            <w:pPr>
              <w:jc w:val="center"/>
              <w:rPr>
                <w:rFonts w:hint="default"/>
                <w:sz w:val="21"/>
                <w:szCs w:val="21"/>
                <w:lang w:val="en-US" w:eastAsia="zh-CN"/>
              </w:rPr>
            </w:pPr>
            <w:r>
              <w:rPr>
                <w:rFonts w:hint="eastAsia"/>
                <w:sz w:val="21"/>
                <w:szCs w:val="21"/>
                <w:lang w:val="en-US" w:eastAsia="zh-CN"/>
              </w:rPr>
              <w:t>600</w:t>
            </w:r>
          </w:p>
        </w:tc>
        <w:tc>
          <w:tcPr>
            <w:tcW w:w="751" w:type="pct"/>
            <w:vAlign w:val="top"/>
          </w:tcPr>
          <w:p>
            <w:pPr>
              <w:jc w:val="center"/>
              <w:rPr>
                <w:rFonts w:hint="default"/>
                <w:sz w:val="21"/>
                <w:szCs w:val="21"/>
                <w:lang w:val="en-US" w:eastAsia="zh-CN"/>
              </w:rPr>
            </w:pPr>
            <w:r>
              <w:rPr>
                <w:rFonts w:hint="eastAsia"/>
                <w:sz w:val="21"/>
                <w:szCs w:val="21"/>
                <w:lang w:val="en-US" w:eastAsia="zh-CN"/>
              </w:rPr>
              <w:t>1800</w:t>
            </w:r>
          </w:p>
        </w:tc>
        <w:tc>
          <w:tcPr>
            <w:tcW w:w="947" w:type="pct"/>
            <w:vMerge w:val="continue"/>
            <w:tcBorders>
              <w:right w:val="nil"/>
            </w:tcBorders>
            <w:vAlign w:val="top"/>
          </w:tcPr>
          <w:p>
            <w:pPr>
              <w:jc w:val="center"/>
              <w:rPr>
                <w:sz w:val="21"/>
                <w:szCs w:val="21"/>
              </w:rPr>
            </w:pPr>
          </w:p>
        </w:tc>
      </w:tr>
    </w:tbl>
    <w:p>
      <w:pPr>
        <w:pStyle w:val="8"/>
        <w:spacing w:beforeLines="0" w:afterLines="0"/>
        <w:ind w:firstLine="482"/>
        <w:rPr>
          <w:sz w:val="28"/>
          <w:szCs w:val="28"/>
        </w:rPr>
      </w:pPr>
      <w:r>
        <w:rPr>
          <w:rFonts w:hint="eastAsia"/>
          <w:sz w:val="28"/>
          <w:szCs w:val="28"/>
        </w:rPr>
        <w:t>3.2.2.4主要构筑物及设备</w:t>
      </w:r>
    </w:p>
    <w:p>
      <w:pPr>
        <w:jc w:val="center"/>
        <w:rPr>
          <w:rFonts w:hint="default" w:ascii="Times New Roman" w:hAnsi="Times New Roman" w:eastAsia="黑体" w:cs="Times New Roman"/>
          <w:b w:val="0"/>
          <w:bCs w:val="0"/>
          <w:sz w:val="21"/>
          <w:szCs w:val="21"/>
          <w:lang w:val="en-US" w:eastAsia="zh-CN"/>
        </w:rPr>
      </w:pPr>
      <w:bookmarkStart w:id="43" w:name="_Toc32500"/>
      <w:r>
        <w:rPr>
          <w:rFonts w:hint="default" w:ascii="Times New Roman" w:hAnsi="Times New Roman" w:eastAsia="黑体" w:cs="Times New Roman"/>
          <w:b w:val="0"/>
          <w:bCs w:val="0"/>
          <w:sz w:val="21"/>
          <w:szCs w:val="21"/>
          <w:lang w:val="en-US" w:eastAsia="zh-CN"/>
        </w:rPr>
        <w:t>表</w:t>
      </w:r>
      <w:r>
        <w:rPr>
          <w:rFonts w:hint="eastAsia" w:ascii="Times New Roman" w:hAnsi="Times New Roman" w:eastAsia="黑体" w:cs="Times New Roman"/>
          <w:b w:val="0"/>
          <w:bCs w:val="0"/>
          <w:sz w:val="21"/>
          <w:szCs w:val="21"/>
          <w:lang w:val="en-US" w:eastAsia="zh-CN"/>
        </w:rPr>
        <w:t>3</w:t>
      </w:r>
      <w:r>
        <w:rPr>
          <w:rFonts w:hint="default" w:ascii="Times New Roman" w:hAnsi="Times New Roman" w:eastAsia="黑体" w:cs="Times New Roman"/>
          <w:b w:val="0"/>
          <w:bCs w:val="0"/>
          <w:sz w:val="21"/>
          <w:szCs w:val="21"/>
          <w:lang w:val="en-US" w:eastAsia="zh-CN"/>
        </w:rPr>
        <w:t>.2-</w:t>
      </w:r>
      <w:r>
        <w:rPr>
          <w:rFonts w:hint="eastAsia" w:eastAsia="黑体" w:cs="Times New Roman"/>
          <w:b w:val="0"/>
          <w:bCs w:val="0"/>
          <w:sz w:val="21"/>
          <w:szCs w:val="21"/>
          <w:lang w:val="en-US" w:eastAsia="zh-CN"/>
        </w:rPr>
        <w:t>3</w:t>
      </w:r>
      <w:r>
        <w:rPr>
          <w:rFonts w:hint="eastAsia" w:ascii="Times New Roman" w:hAnsi="Times New Roman" w:eastAsia="黑体" w:cs="Times New Roman"/>
          <w:b w:val="0"/>
          <w:bCs w:val="0"/>
          <w:sz w:val="21"/>
          <w:szCs w:val="21"/>
          <w:lang w:val="en-US" w:eastAsia="zh-CN"/>
        </w:rPr>
        <w:t xml:space="preserve">  </w:t>
      </w:r>
      <w:r>
        <w:rPr>
          <w:rFonts w:hint="default" w:ascii="Times New Roman" w:hAnsi="Times New Roman" w:eastAsia="黑体" w:cs="Times New Roman"/>
          <w:b w:val="0"/>
          <w:bCs w:val="0"/>
          <w:sz w:val="21"/>
          <w:szCs w:val="21"/>
          <w:lang w:val="en-US" w:eastAsia="zh-CN"/>
        </w:rPr>
        <w:t>主要生产设备一览表</w:t>
      </w:r>
    </w:p>
    <w:tbl>
      <w:tblPr>
        <w:tblStyle w:val="18"/>
        <w:tblW w:w="4998"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643"/>
        <w:gridCol w:w="758"/>
        <w:gridCol w:w="1010"/>
        <w:gridCol w:w="1037"/>
        <w:gridCol w:w="1301"/>
        <w:gridCol w:w="1183"/>
        <w:gridCol w:w="1185"/>
        <w:gridCol w:w="118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8" w:hRule="atLeast"/>
          <w:jc w:val="center"/>
        </w:trPr>
        <w:tc>
          <w:tcPr>
            <w:tcW w:w="387" w:type="pct"/>
            <w:tcBorders>
              <w:left w:val="nil"/>
            </w:tcBorders>
            <w:vAlign w:val="center"/>
          </w:tcPr>
          <w:p>
            <w:pPr>
              <w:spacing w:line="240" w:lineRule="auto"/>
              <w:jc w:val="center"/>
              <w:rPr>
                <w:sz w:val="21"/>
                <w:szCs w:val="21"/>
              </w:rPr>
            </w:pPr>
            <w:r>
              <w:rPr>
                <w:sz w:val="21"/>
                <w:szCs w:val="21"/>
              </w:rPr>
              <w:t>序号</w:t>
            </w:r>
          </w:p>
        </w:tc>
        <w:tc>
          <w:tcPr>
            <w:tcW w:w="1064" w:type="pct"/>
            <w:gridSpan w:val="2"/>
            <w:vAlign w:val="center"/>
          </w:tcPr>
          <w:p>
            <w:pPr>
              <w:spacing w:line="240" w:lineRule="auto"/>
              <w:jc w:val="center"/>
              <w:rPr>
                <w:sz w:val="21"/>
                <w:szCs w:val="21"/>
              </w:rPr>
            </w:pPr>
            <w:r>
              <w:rPr>
                <w:sz w:val="21"/>
                <w:szCs w:val="21"/>
              </w:rPr>
              <w:t>设备名称</w:t>
            </w:r>
          </w:p>
        </w:tc>
        <w:tc>
          <w:tcPr>
            <w:tcW w:w="624" w:type="pct"/>
            <w:vAlign w:val="center"/>
          </w:tcPr>
          <w:p>
            <w:pPr>
              <w:spacing w:line="240" w:lineRule="auto"/>
              <w:jc w:val="center"/>
              <w:rPr>
                <w:sz w:val="21"/>
                <w:szCs w:val="21"/>
              </w:rPr>
            </w:pPr>
            <w:r>
              <w:rPr>
                <w:sz w:val="21"/>
                <w:szCs w:val="21"/>
              </w:rPr>
              <w:t>型号及规格</w:t>
            </w:r>
          </w:p>
        </w:tc>
        <w:tc>
          <w:tcPr>
            <w:tcW w:w="783" w:type="pct"/>
            <w:vAlign w:val="center"/>
          </w:tcPr>
          <w:p>
            <w:pPr>
              <w:spacing w:line="240" w:lineRule="auto"/>
              <w:jc w:val="center"/>
              <w:rPr>
                <w:sz w:val="21"/>
                <w:szCs w:val="21"/>
              </w:rPr>
            </w:pPr>
            <w:r>
              <w:rPr>
                <w:rFonts w:hint="eastAsia"/>
                <w:sz w:val="21"/>
                <w:szCs w:val="21"/>
                <w:lang w:val="en-US" w:eastAsia="zh-CN"/>
              </w:rPr>
              <w:t>环评</w:t>
            </w:r>
            <w:r>
              <w:rPr>
                <w:sz w:val="21"/>
                <w:szCs w:val="21"/>
              </w:rPr>
              <w:t>数量(台/套)</w:t>
            </w:r>
          </w:p>
        </w:tc>
        <w:tc>
          <w:tcPr>
            <w:tcW w:w="712" w:type="pct"/>
            <w:tcBorders>
              <w:right w:val="nil"/>
            </w:tcBorders>
            <w:vAlign w:val="center"/>
          </w:tcPr>
          <w:p>
            <w:pPr>
              <w:spacing w:line="240" w:lineRule="auto"/>
              <w:jc w:val="center"/>
              <w:rPr>
                <w:sz w:val="21"/>
                <w:szCs w:val="21"/>
              </w:rPr>
            </w:pPr>
            <w:r>
              <w:rPr>
                <w:rFonts w:hint="eastAsia"/>
                <w:sz w:val="21"/>
                <w:szCs w:val="21"/>
                <w:lang w:val="en-US" w:eastAsia="zh-CN"/>
              </w:rPr>
              <w:t>已验收</w:t>
            </w:r>
            <w:r>
              <w:rPr>
                <w:sz w:val="21"/>
                <w:szCs w:val="21"/>
              </w:rPr>
              <w:t>数量(台/套)</w:t>
            </w:r>
          </w:p>
        </w:tc>
        <w:tc>
          <w:tcPr>
            <w:tcW w:w="713" w:type="pct"/>
            <w:tcBorders>
              <w:right w:val="nil"/>
            </w:tcBorders>
            <w:vAlign w:val="center"/>
          </w:tcPr>
          <w:p>
            <w:pPr>
              <w:spacing w:line="240" w:lineRule="auto"/>
              <w:jc w:val="center"/>
              <w:rPr>
                <w:rFonts w:hint="default" w:eastAsia="宋体"/>
                <w:sz w:val="21"/>
                <w:szCs w:val="21"/>
                <w:lang w:val="en-US" w:eastAsia="zh-CN"/>
              </w:rPr>
            </w:pPr>
            <w:r>
              <w:rPr>
                <w:rFonts w:hint="eastAsia"/>
                <w:sz w:val="21"/>
                <w:szCs w:val="21"/>
                <w:lang w:val="en-US" w:eastAsia="zh-CN"/>
              </w:rPr>
              <w:t>本次验收数量</w:t>
            </w:r>
            <w:r>
              <w:rPr>
                <w:sz w:val="21"/>
                <w:szCs w:val="21"/>
              </w:rPr>
              <w:t>(台/套)</w:t>
            </w:r>
          </w:p>
        </w:tc>
        <w:tc>
          <w:tcPr>
            <w:tcW w:w="714" w:type="pct"/>
            <w:tcBorders>
              <w:right w:val="nil"/>
            </w:tcBorders>
            <w:vAlign w:val="center"/>
          </w:tcPr>
          <w:p>
            <w:pPr>
              <w:spacing w:line="240" w:lineRule="auto"/>
              <w:jc w:val="center"/>
              <w:rPr>
                <w:rFonts w:hint="default"/>
                <w:sz w:val="21"/>
                <w:szCs w:val="21"/>
                <w:lang w:val="en-US" w:eastAsia="zh-CN"/>
              </w:rPr>
            </w:pPr>
            <w:r>
              <w:rPr>
                <w:rFonts w:hint="eastAsia"/>
                <w:sz w:val="21"/>
                <w:szCs w:val="21"/>
                <w:lang w:val="en-US" w:eastAsia="zh-CN"/>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jc w:val="center"/>
        </w:trPr>
        <w:tc>
          <w:tcPr>
            <w:tcW w:w="387" w:type="pct"/>
            <w:tcBorders>
              <w:left w:val="nil"/>
            </w:tcBorders>
            <w:vAlign w:val="center"/>
          </w:tcPr>
          <w:p>
            <w:pPr>
              <w:jc w:val="center"/>
              <w:rPr>
                <w:sz w:val="21"/>
                <w:szCs w:val="21"/>
              </w:rPr>
            </w:pPr>
            <w:r>
              <w:rPr>
                <w:sz w:val="21"/>
                <w:szCs w:val="21"/>
              </w:rPr>
              <w:t>1</w:t>
            </w:r>
          </w:p>
        </w:tc>
        <w:tc>
          <w:tcPr>
            <w:tcW w:w="456" w:type="pct"/>
            <w:vMerge w:val="restart"/>
            <w:tcBorders>
              <w:bottom w:val="nil"/>
            </w:tcBorders>
            <w:vAlign w:val="center"/>
          </w:tcPr>
          <w:p>
            <w:pPr>
              <w:jc w:val="center"/>
              <w:rPr>
                <w:sz w:val="21"/>
                <w:szCs w:val="21"/>
              </w:rPr>
            </w:pPr>
            <w:r>
              <w:rPr>
                <w:sz w:val="21"/>
                <w:szCs w:val="21"/>
              </w:rPr>
              <w:t>制备车间</w:t>
            </w:r>
          </w:p>
        </w:tc>
        <w:tc>
          <w:tcPr>
            <w:tcW w:w="608" w:type="pct"/>
            <w:vAlign w:val="center"/>
          </w:tcPr>
          <w:p>
            <w:pPr>
              <w:jc w:val="center"/>
              <w:rPr>
                <w:sz w:val="21"/>
                <w:szCs w:val="21"/>
              </w:rPr>
            </w:pPr>
            <w:r>
              <w:rPr>
                <w:sz w:val="21"/>
                <w:szCs w:val="21"/>
              </w:rPr>
              <w:t>搅拌罐</w:t>
            </w:r>
          </w:p>
        </w:tc>
        <w:tc>
          <w:tcPr>
            <w:tcW w:w="624" w:type="pct"/>
            <w:vAlign w:val="center"/>
          </w:tcPr>
          <w:p>
            <w:pPr>
              <w:jc w:val="center"/>
              <w:rPr>
                <w:sz w:val="21"/>
                <w:szCs w:val="21"/>
              </w:rPr>
            </w:pPr>
            <w:r>
              <w:rPr>
                <w:sz w:val="21"/>
                <w:szCs w:val="21"/>
              </w:rPr>
              <w:t>AR1200-00</w:t>
            </w:r>
          </w:p>
        </w:tc>
        <w:tc>
          <w:tcPr>
            <w:tcW w:w="783" w:type="pct"/>
            <w:vAlign w:val="center"/>
          </w:tcPr>
          <w:p>
            <w:pPr>
              <w:jc w:val="center"/>
              <w:rPr>
                <w:sz w:val="21"/>
                <w:szCs w:val="21"/>
              </w:rPr>
            </w:pPr>
            <w:r>
              <w:rPr>
                <w:sz w:val="21"/>
                <w:szCs w:val="21"/>
              </w:rPr>
              <w:t>4</w:t>
            </w:r>
          </w:p>
        </w:tc>
        <w:tc>
          <w:tcPr>
            <w:tcW w:w="712" w:type="pct"/>
            <w:tcBorders>
              <w:right w:val="nil"/>
            </w:tcBorders>
            <w:vAlign w:val="center"/>
          </w:tcPr>
          <w:p>
            <w:pPr>
              <w:jc w:val="center"/>
              <w:rPr>
                <w:rFonts w:hint="eastAsia" w:eastAsia="宋体"/>
                <w:sz w:val="21"/>
                <w:szCs w:val="21"/>
                <w:lang w:eastAsia="zh-CN"/>
              </w:rPr>
            </w:pPr>
            <w:r>
              <w:rPr>
                <w:rFonts w:hint="eastAsia"/>
                <w:sz w:val="21"/>
                <w:szCs w:val="21"/>
                <w:lang w:val="en-US" w:eastAsia="zh-CN"/>
              </w:rPr>
              <w:t>2</w:t>
            </w:r>
          </w:p>
        </w:tc>
        <w:tc>
          <w:tcPr>
            <w:tcW w:w="713" w:type="pct"/>
            <w:tcBorders>
              <w:right w:val="nil"/>
            </w:tcBorders>
            <w:vAlign w:val="center"/>
          </w:tcPr>
          <w:p>
            <w:pPr>
              <w:jc w:val="center"/>
              <w:rPr>
                <w:rFonts w:hint="eastAsia" w:eastAsia="宋体"/>
                <w:color w:val="auto"/>
                <w:sz w:val="21"/>
                <w:szCs w:val="21"/>
                <w:lang w:val="en-US" w:eastAsia="zh-CN"/>
              </w:rPr>
            </w:pPr>
            <w:r>
              <w:rPr>
                <w:rFonts w:hint="eastAsia"/>
                <w:color w:val="auto"/>
                <w:sz w:val="21"/>
                <w:szCs w:val="21"/>
                <w:lang w:val="en-US" w:eastAsia="zh-CN"/>
              </w:rPr>
              <w:t>2</w:t>
            </w:r>
          </w:p>
        </w:tc>
        <w:tc>
          <w:tcPr>
            <w:tcW w:w="714" w:type="pct"/>
            <w:tcBorders>
              <w:right w:val="nil"/>
            </w:tcBorders>
            <w:vAlign w:val="center"/>
          </w:tcPr>
          <w:p>
            <w:pPr>
              <w:jc w:val="center"/>
              <w:rPr>
                <w:rFonts w:hint="default"/>
                <w:color w:val="auto"/>
                <w:sz w:val="21"/>
                <w:szCs w:val="21"/>
                <w:lang w:val="en-US" w:eastAsia="zh-CN"/>
              </w:rPr>
            </w:pPr>
            <w:r>
              <w:rPr>
                <w:rFonts w:hint="eastAsia"/>
                <w:color w:val="auto"/>
                <w:sz w:val="21"/>
                <w:szCs w:val="21"/>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jc w:val="center"/>
        </w:trPr>
        <w:tc>
          <w:tcPr>
            <w:tcW w:w="387" w:type="pct"/>
            <w:tcBorders>
              <w:left w:val="nil"/>
            </w:tcBorders>
            <w:vAlign w:val="center"/>
          </w:tcPr>
          <w:p>
            <w:pPr>
              <w:jc w:val="center"/>
              <w:rPr>
                <w:sz w:val="21"/>
                <w:szCs w:val="21"/>
              </w:rPr>
            </w:pPr>
            <w:r>
              <w:rPr>
                <w:sz w:val="21"/>
                <w:szCs w:val="21"/>
              </w:rPr>
              <w:t>2</w:t>
            </w:r>
          </w:p>
        </w:tc>
        <w:tc>
          <w:tcPr>
            <w:tcW w:w="456" w:type="pct"/>
            <w:vMerge w:val="continue"/>
            <w:tcBorders>
              <w:top w:val="nil"/>
              <w:bottom w:val="nil"/>
            </w:tcBorders>
            <w:vAlign w:val="center"/>
          </w:tcPr>
          <w:p>
            <w:pPr>
              <w:jc w:val="center"/>
              <w:rPr>
                <w:sz w:val="21"/>
                <w:szCs w:val="21"/>
              </w:rPr>
            </w:pPr>
          </w:p>
        </w:tc>
        <w:tc>
          <w:tcPr>
            <w:tcW w:w="608" w:type="pct"/>
            <w:vAlign w:val="center"/>
          </w:tcPr>
          <w:p>
            <w:pPr>
              <w:jc w:val="center"/>
              <w:rPr>
                <w:sz w:val="21"/>
                <w:szCs w:val="21"/>
              </w:rPr>
            </w:pPr>
            <w:r>
              <w:rPr>
                <w:sz w:val="21"/>
                <w:szCs w:val="21"/>
              </w:rPr>
              <w:t>均质机</w:t>
            </w:r>
          </w:p>
        </w:tc>
        <w:tc>
          <w:tcPr>
            <w:tcW w:w="624" w:type="pct"/>
            <w:vAlign w:val="center"/>
          </w:tcPr>
          <w:p>
            <w:pPr>
              <w:jc w:val="center"/>
              <w:rPr>
                <w:sz w:val="21"/>
                <w:szCs w:val="21"/>
              </w:rPr>
            </w:pPr>
            <w:r>
              <w:rPr>
                <w:sz w:val="21"/>
                <w:szCs w:val="21"/>
              </w:rPr>
              <w:t>ZJ130</w:t>
            </w:r>
          </w:p>
        </w:tc>
        <w:tc>
          <w:tcPr>
            <w:tcW w:w="783" w:type="pct"/>
            <w:vAlign w:val="center"/>
          </w:tcPr>
          <w:p>
            <w:pPr>
              <w:jc w:val="center"/>
              <w:rPr>
                <w:sz w:val="21"/>
                <w:szCs w:val="21"/>
              </w:rPr>
            </w:pPr>
            <w:r>
              <w:rPr>
                <w:sz w:val="21"/>
                <w:szCs w:val="21"/>
              </w:rPr>
              <w:t>6</w:t>
            </w:r>
          </w:p>
        </w:tc>
        <w:tc>
          <w:tcPr>
            <w:tcW w:w="712" w:type="pct"/>
            <w:tcBorders>
              <w:right w:val="nil"/>
            </w:tcBorders>
            <w:vAlign w:val="center"/>
          </w:tcPr>
          <w:p>
            <w:pPr>
              <w:jc w:val="center"/>
              <w:rPr>
                <w:sz w:val="21"/>
                <w:szCs w:val="21"/>
              </w:rPr>
            </w:pPr>
            <w:r>
              <w:rPr>
                <w:sz w:val="21"/>
                <w:szCs w:val="21"/>
              </w:rPr>
              <w:t>0</w:t>
            </w:r>
          </w:p>
        </w:tc>
        <w:tc>
          <w:tcPr>
            <w:tcW w:w="713" w:type="pct"/>
            <w:tcBorders>
              <w:right w:val="nil"/>
            </w:tcBorders>
            <w:vAlign w:val="center"/>
          </w:tcPr>
          <w:p>
            <w:pPr>
              <w:jc w:val="center"/>
              <w:rPr>
                <w:rFonts w:hint="eastAsia" w:eastAsia="宋体"/>
                <w:color w:val="auto"/>
                <w:sz w:val="21"/>
                <w:szCs w:val="21"/>
                <w:lang w:val="en-US" w:eastAsia="zh-CN"/>
              </w:rPr>
            </w:pPr>
            <w:r>
              <w:rPr>
                <w:rFonts w:hint="eastAsia"/>
                <w:color w:val="auto"/>
                <w:sz w:val="21"/>
                <w:szCs w:val="21"/>
                <w:lang w:val="en-US" w:eastAsia="zh-CN"/>
              </w:rPr>
              <w:t>0</w:t>
            </w:r>
          </w:p>
        </w:tc>
        <w:tc>
          <w:tcPr>
            <w:tcW w:w="714" w:type="pct"/>
            <w:tcBorders>
              <w:right w:val="nil"/>
            </w:tcBorders>
            <w:vAlign w:val="center"/>
          </w:tcPr>
          <w:p>
            <w:pPr>
              <w:jc w:val="center"/>
              <w:rPr>
                <w:rFonts w:hint="eastAsia"/>
                <w:color w:val="auto"/>
                <w:sz w:val="21"/>
                <w:szCs w:val="21"/>
                <w:lang w:val="en-US" w:eastAsia="zh-CN"/>
              </w:rPr>
            </w:pPr>
            <w:r>
              <w:rPr>
                <w:rFonts w:hint="eastAsia"/>
                <w:color w:val="auto"/>
                <w:sz w:val="21"/>
                <w:szCs w:val="21"/>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jc w:val="center"/>
        </w:trPr>
        <w:tc>
          <w:tcPr>
            <w:tcW w:w="387" w:type="pct"/>
            <w:tcBorders>
              <w:left w:val="nil"/>
            </w:tcBorders>
            <w:vAlign w:val="center"/>
          </w:tcPr>
          <w:p>
            <w:pPr>
              <w:jc w:val="center"/>
              <w:rPr>
                <w:sz w:val="21"/>
                <w:szCs w:val="21"/>
              </w:rPr>
            </w:pPr>
            <w:r>
              <w:rPr>
                <w:sz w:val="21"/>
                <w:szCs w:val="21"/>
              </w:rPr>
              <w:t>3</w:t>
            </w:r>
          </w:p>
        </w:tc>
        <w:tc>
          <w:tcPr>
            <w:tcW w:w="456" w:type="pct"/>
            <w:vMerge w:val="continue"/>
            <w:tcBorders>
              <w:top w:val="nil"/>
            </w:tcBorders>
            <w:vAlign w:val="center"/>
          </w:tcPr>
          <w:p>
            <w:pPr>
              <w:jc w:val="center"/>
              <w:rPr>
                <w:sz w:val="21"/>
                <w:szCs w:val="21"/>
              </w:rPr>
            </w:pPr>
          </w:p>
        </w:tc>
        <w:tc>
          <w:tcPr>
            <w:tcW w:w="608" w:type="pct"/>
            <w:vAlign w:val="center"/>
          </w:tcPr>
          <w:p>
            <w:pPr>
              <w:jc w:val="center"/>
              <w:rPr>
                <w:sz w:val="21"/>
                <w:szCs w:val="21"/>
              </w:rPr>
            </w:pPr>
            <w:r>
              <w:rPr>
                <w:sz w:val="21"/>
                <w:szCs w:val="21"/>
              </w:rPr>
              <w:t>供胶泵</w:t>
            </w:r>
          </w:p>
        </w:tc>
        <w:tc>
          <w:tcPr>
            <w:tcW w:w="624" w:type="pct"/>
            <w:vAlign w:val="center"/>
          </w:tcPr>
          <w:p>
            <w:pPr>
              <w:jc w:val="center"/>
              <w:rPr>
                <w:sz w:val="21"/>
                <w:szCs w:val="21"/>
              </w:rPr>
            </w:pPr>
            <w:r>
              <w:rPr>
                <w:sz w:val="21"/>
                <w:szCs w:val="21"/>
              </w:rPr>
              <w:t>25FMZ-22</w:t>
            </w:r>
          </w:p>
        </w:tc>
        <w:tc>
          <w:tcPr>
            <w:tcW w:w="783" w:type="pct"/>
            <w:vAlign w:val="center"/>
          </w:tcPr>
          <w:p>
            <w:pPr>
              <w:jc w:val="center"/>
              <w:rPr>
                <w:sz w:val="21"/>
                <w:szCs w:val="21"/>
              </w:rPr>
            </w:pPr>
            <w:r>
              <w:rPr>
                <w:sz w:val="21"/>
                <w:szCs w:val="21"/>
              </w:rPr>
              <w:t>5</w:t>
            </w:r>
          </w:p>
        </w:tc>
        <w:tc>
          <w:tcPr>
            <w:tcW w:w="712" w:type="pct"/>
            <w:tcBorders>
              <w:right w:val="nil"/>
            </w:tcBorders>
            <w:vAlign w:val="center"/>
          </w:tcPr>
          <w:p>
            <w:pPr>
              <w:jc w:val="center"/>
              <w:rPr>
                <w:rFonts w:hint="eastAsia" w:eastAsia="宋体"/>
                <w:sz w:val="21"/>
                <w:szCs w:val="21"/>
                <w:lang w:eastAsia="zh-CN"/>
              </w:rPr>
            </w:pPr>
            <w:r>
              <w:rPr>
                <w:rFonts w:hint="eastAsia"/>
                <w:sz w:val="21"/>
                <w:szCs w:val="21"/>
                <w:lang w:val="en-US" w:eastAsia="zh-CN"/>
              </w:rPr>
              <w:t>4</w:t>
            </w:r>
          </w:p>
        </w:tc>
        <w:tc>
          <w:tcPr>
            <w:tcW w:w="713" w:type="pct"/>
            <w:tcBorders>
              <w:right w:val="nil"/>
            </w:tcBorders>
            <w:vAlign w:val="center"/>
          </w:tcPr>
          <w:p>
            <w:pPr>
              <w:jc w:val="center"/>
              <w:rPr>
                <w:rFonts w:hint="eastAsia" w:eastAsia="宋体"/>
                <w:color w:val="auto"/>
                <w:sz w:val="21"/>
                <w:szCs w:val="21"/>
                <w:lang w:val="en-US" w:eastAsia="zh-CN"/>
              </w:rPr>
            </w:pPr>
            <w:r>
              <w:rPr>
                <w:rFonts w:hint="eastAsia"/>
                <w:color w:val="auto"/>
                <w:sz w:val="21"/>
                <w:szCs w:val="21"/>
                <w:lang w:val="en-US" w:eastAsia="zh-CN"/>
              </w:rPr>
              <w:t>4</w:t>
            </w:r>
          </w:p>
        </w:tc>
        <w:tc>
          <w:tcPr>
            <w:tcW w:w="714" w:type="pct"/>
            <w:tcBorders>
              <w:right w:val="nil"/>
            </w:tcBorders>
            <w:vAlign w:val="center"/>
          </w:tcPr>
          <w:p>
            <w:pPr>
              <w:jc w:val="center"/>
              <w:rPr>
                <w:rFonts w:hint="eastAsia"/>
                <w:color w:val="auto"/>
                <w:sz w:val="21"/>
                <w:szCs w:val="21"/>
                <w:lang w:val="en-US" w:eastAsia="zh-CN"/>
              </w:rPr>
            </w:pPr>
            <w:r>
              <w:rPr>
                <w:rFonts w:hint="eastAsia"/>
                <w:color w:val="auto"/>
                <w:sz w:val="21"/>
                <w:szCs w:val="21"/>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jc w:val="center"/>
        </w:trPr>
        <w:tc>
          <w:tcPr>
            <w:tcW w:w="387" w:type="pct"/>
            <w:tcBorders>
              <w:left w:val="nil"/>
            </w:tcBorders>
            <w:vAlign w:val="center"/>
          </w:tcPr>
          <w:p>
            <w:pPr>
              <w:jc w:val="center"/>
              <w:rPr>
                <w:sz w:val="21"/>
                <w:szCs w:val="21"/>
              </w:rPr>
            </w:pPr>
            <w:r>
              <w:rPr>
                <w:sz w:val="21"/>
                <w:szCs w:val="21"/>
              </w:rPr>
              <w:t>4</w:t>
            </w:r>
          </w:p>
        </w:tc>
        <w:tc>
          <w:tcPr>
            <w:tcW w:w="456" w:type="pct"/>
            <w:tcBorders>
              <w:bottom w:val="single" w:color="auto" w:sz="4" w:space="0"/>
            </w:tcBorders>
            <w:vAlign w:val="center"/>
          </w:tcPr>
          <w:p>
            <w:pPr>
              <w:jc w:val="center"/>
              <w:rPr>
                <w:sz w:val="21"/>
                <w:szCs w:val="21"/>
              </w:rPr>
            </w:pPr>
            <w:r>
              <w:rPr>
                <w:sz w:val="21"/>
                <w:szCs w:val="21"/>
              </w:rPr>
              <w:t>涂布车间</w:t>
            </w:r>
          </w:p>
        </w:tc>
        <w:tc>
          <w:tcPr>
            <w:tcW w:w="608" w:type="pct"/>
            <w:tcBorders>
              <w:bottom w:val="single" w:color="auto" w:sz="4" w:space="0"/>
            </w:tcBorders>
            <w:vAlign w:val="center"/>
          </w:tcPr>
          <w:p>
            <w:pPr>
              <w:jc w:val="center"/>
              <w:rPr>
                <w:sz w:val="21"/>
                <w:szCs w:val="21"/>
              </w:rPr>
            </w:pPr>
            <w:r>
              <w:rPr>
                <w:sz w:val="21"/>
                <w:szCs w:val="21"/>
              </w:rPr>
              <w:t>涂布机</w:t>
            </w:r>
          </w:p>
        </w:tc>
        <w:tc>
          <w:tcPr>
            <w:tcW w:w="624" w:type="pct"/>
            <w:vAlign w:val="center"/>
          </w:tcPr>
          <w:p>
            <w:pPr>
              <w:jc w:val="center"/>
              <w:rPr>
                <w:sz w:val="21"/>
                <w:szCs w:val="21"/>
              </w:rPr>
            </w:pPr>
            <w:r>
              <w:rPr>
                <w:sz w:val="21"/>
                <w:szCs w:val="21"/>
              </w:rPr>
              <w:t>ZY-1200</w:t>
            </w:r>
          </w:p>
        </w:tc>
        <w:tc>
          <w:tcPr>
            <w:tcW w:w="783" w:type="pct"/>
            <w:vAlign w:val="center"/>
          </w:tcPr>
          <w:p>
            <w:pPr>
              <w:jc w:val="center"/>
              <w:rPr>
                <w:sz w:val="21"/>
                <w:szCs w:val="21"/>
              </w:rPr>
            </w:pPr>
            <w:r>
              <w:rPr>
                <w:sz w:val="21"/>
                <w:szCs w:val="21"/>
              </w:rPr>
              <w:t>6</w:t>
            </w:r>
          </w:p>
        </w:tc>
        <w:tc>
          <w:tcPr>
            <w:tcW w:w="712" w:type="pct"/>
            <w:tcBorders>
              <w:right w:val="nil"/>
            </w:tcBorders>
            <w:vAlign w:val="center"/>
          </w:tcPr>
          <w:p>
            <w:pPr>
              <w:jc w:val="center"/>
              <w:rPr>
                <w:rFonts w:hint="eastAsia" w:eastAsia="宋体"/>
                <w:sz w:val="21"/>
                <w:szCs w:val="21"/>
                <w:lang w:eastAsia="zh-CN"/>
              </w:rPr>
            </w:pPr>
            <w:r>
              <w:rPr>
                <w:rFonts w:hint="eastAsia"/>
                <w:sz w:val="21"/>
                <w:szCs w:val="21"/>
                <w:lang w:val="en-US" w:eastAsia="zh-CN"/>
              </w:rPr>
              <w:t>3</w:t>
            </w:r>
          </w:p>
        </w:tc>
        <w:tc>
          <w:tcPr>
            <w:tcW w:w="713" w:type="pct"/>
            <w:tcBorders>
              <w:right w:val="nil"/>
            </w:tcBorders>
            <w:vAlign w:val="center"/>
          </w:tcPr>
          <w:p>
            <w:pPr>
              <w:jc w:val="center"/>
              <w:rPr>
                <w:rFonts w:hint="eastAsia" w:eastAsia="宋体"/>
                <w:color w:val="auto"/>
                <w:sz w:val="21"/>
                <w:szCs w:val="21"/>
                <w:lang w:val="en-US" w:eastAsia="zh-CN"/>
              </w:rPr>
            </w:pPr>
            <w:r>
              <w:rPr>
                <w:rFonts w:hint="eastAsia"/>
                <w:color w:val="auto"/>
                <w:sz w:val="21"/>
                <w:szCs w:val="21"/>
                <w:lang w:val="en-US" w:eastAsia="zh-CN"/>
              </w:rPr>
              <w:t>3</w:t>
            </w:r>
          </w:p>
        </w:tc>
        <w:tc>
          <w:tcPr>
            <w:tcW w:w="714" w:type="pct"/>
            <w:tcBorders>
              <w:right w:val="nil"/>
            </w:tcBorders>
            <w:vAlign w:val="center"/>
          </w:tcPr>
          <w:p>
            <w:pPr>
              <w:jc w:val="center"/>
              <w:rPr>
                <w:rFonts w:hint="eastAsia"/>
                <w:color w:val="auto"/>
                <w:sz w:val="21"/>
                <w:szCs w:val="21"/>
                <w:lang w:val="en-US" w:eastAsia="zh-CN"/>
              </w:rPr>
            </w:pPr>
            <w:r>
              <w:rPr>
                <w:rFonts w:hint="eastAsia"/>
                <w:color w:val="auto"/>
                <w:sz w:val="21"/>
                <w:szCs w:val="21"/>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jc w:val="center"/>
        </w:trPr>
        <w:tc>
          <w:tcPr>
            <w:tcW w:w="387" w:type="pct"/>
            <w:tcBorders>
              <w:left w:val="nil"/>
              <w:right w:val="single" w:color="auto" w:sz="4" w:space="0"/>
            </w:tcBorders>
            <w:vAlign w:val="center"/>
          </w:tcPr>
          <w:p>
            <w:pPr>
              <w:jc w:val="center"/>
              <w:rPr>
                <w:sz w:val="21"/>
                <w:szCs w:val="21"/>
              </w:rPr>
            </w:pPr>
            <w:r>
              <w:rPr>
                <w:sz w:val="21"/>
                <w:szCs w:val="21"/>
              </w:rPr>
              <w:t>5</w:t>
            </w:r>
          </w:p>
        </w:tc>
        <w:tc>
          <w:tcPr>
            <w:tcW w:w="456" w:type="pct"/>
            <w:vMerge w:val="restart"/>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sz w:val="21"/>
                <w:szCs w:val="21"/>
              </w:rPr>
              <w:t>模切车间</w:t>
            </w:r>
          </w:p>
        </w:tc>
        <w:tc>
          <w:tcPr>
            <w:tcW w:w="608" w:type="pct"/>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sz w:val="21"/>
                <w:szCs w:val="21"/>
              </w:rPr>
              <w:t>320贴合机</w:t>
            </w:r>
          </w:p>
        </w:tc>
        <w:tc>
          <w:tcPr>
            <w:tcW w:w="624" w:type="pct"/>
            <w:tcBorders>
              <w:left w:val="single" w:color="auto" w:sz="4" w:space="0"/>
            </w:tcBorders>
            <w:vAlign w:val="center"/>
          </w:tcPr>
          <w:p>
            <w:pPr>
              <w:jc w:val="center"/>
              <w:rPr>
                <w:sz w:val="21"/>
                <w:szCs w:val="21"/>
              </w:rPr>
            </w:pPr>
            <w:r>
              <w:rPr>
                <w:sz w:val="21"/>
                <w:szCs w:val="21"/>
              </w:rPr>
              <w:t>DTH3202</w:t>
            </w:r>
          </w:p>
        </w:tc>
        <w:tc>
          <w:tcPr>
            <w:tcW w:w="783" w:type="pct"/>
            <w:vAlign w:val="center"/>
          </w:tcPr>
          <w:p>
            <w:pPr>
              <w:jc w:val="center"/>
              <w:rPr>
                <w:sz w:val="21"/>
                <w:szCs w:val="21"/>
              </w:rPr>
            </w:pPr>
            <w:r>
              <w:rPr>
                <w:sz w:val="21"/>
                <w:szCs w:val="21"/>
              </w:rPr>
              <w:t>5</w:t>
            </w:r>
          </w:p>
        </w:tc>
        <w:tc>
          <w:tcPr>
            <w:tcW w:w="712" w:type="pct"/>
            <w:tcBorders>
              <w:right w:val="nil"/>
            </w:tcBorders>
            <w:vAlign w:val="center"/>
          </w:tcPr>
          <w:p>
            <w:pPr>
              <w:jc w:val="center"/>
              <w:rPr>
                <w:rFonts w:hint="eastAsia" w:eastAsia="宋体"/>
                <w:sz w:val="21"/>
                <w:szCs w:val="21"/>
                <w:lang w:eastAsia="zh-CN"/>
              </w:rPr>
            </w:pPr>
            <w:r>
              <w:rPr>
                <w:rFonts w:hint="eastAsia"/>
                <w:sz w:val="21"/>
                <w:szCs w:val="21"/>
                <w:lang w:val="en-US" w:eastAsia="zh-CN"/>
              </w:rPr>
              <w:t>2</w:t>
            </w:r>
          </w:p>
        </w:tc>
        <w:tc>
          <w:tcPr>
            <w:tcW w:w="713" w:type="pct"/>
            <w:tcBorders>
              <w:right w:val="nil"/>
            </w:tcBorders>
            <w:vAlign w:val="center"/>
          </w:tcPr>
          <w:p>
            <w:pPr>
              <w:jc w:val="center"/>
              <w:rPr>
                <w:rFonts w:hint="eastAsia" w:eastAsia="宋体"/>
                <w:color w:val="auto"/>
                <w:sz w:val="21"/>
                <w:szCs w:val="21"/>
                <w:lang w:val="en-US" w:eastAsia="zh-CN"/>
              </w:rPr>
            </w:pPr>
            <w:r>
              <w:rPr>
                <w:rFonts w:hint="eastAsia"/>
                <w:color w:val="auto"/>
                <w:sz w:val="21"/>
                <w:szCs w:val="21"/>
                <w:lang w:val="en-US" w:eastAsia="zh-CN"/>
              </w:rPr>
              <w:t>2</w:t>
            </w:r>
          </w:p>
        </w:tc>
        <w:tc>
          <w:tcPr>
            <w:tcW w:w="714" w:type="pct"/>
            <w:vMerge w:val="restart"/>
            <w:tcBorders>
              <w:right w:val="nil"/>
            </w:tcBorders>
            <w:vAlign w:val="center"/>
          </w:tcPr>
          <w:p>
            <w:pPr>
              <w:jc w:val="center"/>
              <w:rPr>
                <w:rFonts w:hint="default"/>
                <w:color w:val="auto"/>
                <w:sz w:val="21"/>
                <w:szCs w:val="21"/>
                <w:lang w:val="en-US" w:eastAsia="zh-CN"/>
              </w:rPr>
            </w:pPr>
            <w:r>
              <w:rPr>
                <w:rFonts w:hint="eastAsia"/>
                <w:color w:val="auto"/>
                <w:sz w:val="21"/>
                <w:szCs w:val="21"/>
                <w:lang w:val="en-US" w:eastAsia="zh-CN"/>
              </w:rPr>
              <w:t>厂区现有模切设备可满足生产需求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jc w:val="center"/>
        </w:trPr>
        <w:tc>
          <w:tcPr>
            <w:tcW w:w="387" w:type="pct"/>
            <w:tcBorders>
              <w:left w:val="nil"/>
              <w:right w:val="single" w:color="auto" w:sz="4" w:space="0"/>
            </w:tcBorders>
            <w:vAlign w:val="center"/>
          </w:tcPr>
          <w:p>
            <w:pPr>
              <w:jc w:val="center"/>
              <w:rPr>
                <w:sz w:val="21"/>
                <w:szCs w:val="21"/>
              </w:rPr>
            </w:pPr>
            <w:r>
              <w:rPr>
                <w:sz w:val="21"/>
                <w:szCs w:val="21"/>
              </w:rPr>
              <w:t>6</w:t>
            </w:r>
          </w:p>
        </w:tc>
        <w:tc>
          <w:tcPr>
            <w:tcW w:w="456" w:type="pct"/>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608" w:type="pct"/>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sz w:val="21"/>
                <w:szCs w:val="21"/>
              </w:rPr>
              <w:t>420贴合机</w:t>
            </w:r>
          </w:p>
        </w:tc>
        <w:tc>
          <w:tcPr>
            <w:tcW w:w="624" w:type="pct"/>
            <w:tcBorders>
              <w:left w:val="single" w:color="auto" w:sz="4" w:space="0"/>
            </w:tcBorders>
            <w:vAlign w:val="center"/>
          </w:tcPr>
          <w:p>
            <w:pPr>
              <w:jc w:val="center"/>
              <w:rPr>
                <w:sz w:val="21"/>
                <w:szCs w:val="21"/>
              </w:rPr>
            </w:pPr>
            <w:r>
              <w:rPr>
                <w:sz w:val="21"/>
                <w:szCs w:val="21"/>
              </w:rPr>
              <w:t>DTH3203</w:t>
            </w:r>
          </w:p>
        </w:tc>
        <w:tc>
          <w:tcPr>
            <w:tcW w:w="783" w:type="pct"/>
            <w:vAlign w:val="center"/>
          </w:tcPr>
          <w:p>
            <w:pPr>
              <w:jc w:val="center"/>
              <w:rPr>
                <w:sz w:val="21"/>
                <w:szCs w:val="21"/>
              </w:rPr>
            </w:pPr>
            <w:r>
              <w:rPr>
                <w:sz w:val="21"/>
                <w:szCs w:val="21"/>
              </w:rPr>
              <w:t>3</w:t>
            </w:r>
          </w:p>
        </w:tc>
        <w:tc>
          <w:tcPr>
            <w:tcW w:w="712" w:type="pct"/>
            <w:tcBorders>
              <w:right w:val="nil"/>
            </w:tcBorders>
            <w:vAlign w:val="center"/>
          </w:tcPr>
          <w:p>
            <w:pPr>
              <w:jc w:val="center"/>
              <w:rPr>
                <w:rFonts w:hint="eastAsia" w:eastAsia="宋体"/>
                <w:sz w:val="21"/>
                <w:szCs w:val="21"/>
                <w:lang w:eastAsia="zh-CN"/>
              </w:rPr>
            </w:pPr>
            <w:r>
              <w:rPr>
                <w:rFonts w:hint="eastAsia"/>
                <w:sz w:val="21"/>
                <w:szCs w:val="21"/>
                <w:lang w:val="en-US" w:eastAsia="zh-CN"/>
              </w:rPr>
              <w:t>1</w:t>
            </w:r>
          </w:p>
        </w:tc>
        <w:tc>
          <w:tcPr>
            <w:tcW w:w="713" w:type="pct"/>
            <w:tcBorders>
              <w:right w:val="nil"/>
            </w:tcBorders>
            <w:vAlign w:val="center"/>
          </w:tcPr>
          <w:p>
            <w:pPr>
              <w:jc w:val="center"/>
              <w:rPr>
                <w:rFonts w:hint="eastAsia" w:eastAsia="宋体"/>
                <w:color w:val="auto"/>
                <w:sz w:val="21"/>
                <w:szCs w:val="21"/>
                <w:lang w:val="en-US" w:eastAsia="zh-CN"/>
              </w:rPr>
            </w:pPr>
            <w:r>
              <w:rPr>
                <w:rFonts w:hint="eastAsia"/>
                <w:color w:val="auto"/>
                <w:sz w:val="21"/>
                <w:szCs w:val="21"/>
                <w:lang w:val="en-US" w:eastAsia="zh-CN"/>
              </w:rPr>
              <w:t>1</w:t>
            </w:r>
          </w:p>
        </w:tc>
        <w:tc>
          <w:tcPr>
            <w:tcW w:w="714" w:type="pct"/>
            <w:vMerge w:val="continue"/>
            <w:tcBorders>
              <w:right w:val="nil"/>
            </w:tcBorders>
            <w:vAlign w:val="center"/>
          </w:tcPr>
          <w:p>
            <w:pPr>
              <w:jc w:val="center"/>
              <w:rPr>
                <w:rFonts w:hint="eastAsia"/>
                <w:color w:val="auto"/>
                <w:sz w:val="21"/>
                <w:szCs w:val="21"/>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55" w:hRule="atLeast"/>
          <w:jc w:val="center"/>
        </w:trPr>
        <w:tc>
          <w:tcPr>
            <w:tcW w:w="387" w:type="pct"/>
            <w:tcBorders>
              <w:left w:val="nil"/>
              <w:right w:val="single" w:color="auto" w:sz="4" w:space="0"/>
            </w:tcBorders>
            <w:vAlign w:val="center"/>
          </w:tcPr>
          <w:p>
            <w:pPr>
              <w:jc w:val="center"/>
              <w:rPr>
                <w:sz w:val="21"/>
                <w:szCs w:val="21"/>
              </w:rPr>
            </w:pPr>
            <w:r>
              <w:rPr>
                <w:sz w:val="21"/>
                <w:szCs w:val="21"/>
              </w:rPr>
              <w:t>7</w:t>
            </w:r>
          </w:p>
        </w:tc>
        <w:tc>
          <w:tcPr>
            <w:tcW w:w="456" w:type="pct"/>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608" w:type="pct"/>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sz w:val="21"/>
                <w:szCs w:val="21"/>
              </w:rPr>
              <w:t>320模切机</w:t>
            </w:r>
          </w:p>
        </w:tc>
        <w:tc>
          <w:tcPr>
            <w:tcW w:w="624" w:type="pct"/>
            <w:tcBorders>
              <w:left w:val="single" w:color="auto" w:sz="4" w:space="0"/>
            </w:tcBorders>
            <w:vAlign w:val="center"/>
          </w:tcPr>
          <w:p>
            <w:pPr>
              <w:jc w:val="center"/>
              <w:rPr>
                <w:sz w:val="21"/>
                <w:szCs w:val="21"/>
              </w:rPr>
            </w:pPr>
            <w:r>
              <w:rPr>
                <w:sz w:val="21"/>
                <w:szCs w:val="21"/>
              </w:rPr>
              <w:t>MQ320B</w:t>
            </w:r>
          </w:p>
        </w:tc>
        <w:tc>
          <w:tcPr>
            <w:tcW w:w="783" w:type="pct"/>
            <w:vAlign w:val="center"/>
          </w:tcPr>
          <w:p>
            <w:pPr>
              <w:jc w:val="center"/>
              <w:rPr>
                <w:sz w:val="21"/>
                <w:szCs w:val="21"/>
              </w:rPr>
            </w:pPr>
            <w:r>
              <w:rPr>
                <w:sz w:val="21"/>
                <w:szCs w:val="21"/>
              </w:rPr>
              <w:t>5</w:t>
            </w:r>
          </w:p>
        </w:tc>
        <w:tc>
          <w:tcPr>
            <w:tcW w:w="712" w:type="pct"/>
            <w:tcBorders>
              <w:right w:val="nil"/>
            </w:tcBorders>
            <w:vAlign w:val="center"/>
          </w:tcPr>
          <w:p>
            <w:pPr>
              <w:jc w:val="center"/>
              <w:rPr>
                <w:rFonts w:hint="eastAsia" w:eastAsia="宋体"/>
                <w:sz w:val="21"/>
                <w:szCs w:val="21"/>
                <w:lang w:eastAsia="zh-CN"/>
              </w:rPr>
            </w:pPr>
            <w:r>
              <w:rPr>
                <w:rFonts w:hint="eastAsia"/>
                <w:sz w:val="21"/>
                <w:szCs w:val="21"/>
                <w:lang w:val="en-US" w:eastAsia="zh-CN"/>
              </w:rPr>
              <w:t>2</w:t>
            </w:r>
          </w:p>
        </w:tc>
        <w:tc>
          <w:tcPr>
            <w:tcW w:w="713" w:type="pct"/>
            <w:tcBorders>
              <w:right w:val="nil"/>
            </w:tcBorders>
            <w:vAlign w:val="center"/>
          </w:tcPr>
          <w:p>
            <w:pPr>
              <w:jc w:val="center"/>
              <w:rPr>
                <w:rFonts w:hint="eastAsia" w:eastAsia="宋体"/>
                <w:color w:val="auto"/>
                <w:sz w:val="21"/>
                <w:szCs w:val="21"/>
                <w:lang w:val="en-US" w:eastAsia="zh-CN"/>
              </w:rPr>
            </w:pPr>
            <w:r>
              <w:rPr>
                <w:rFonts w:hint="eastAsia"/>
                <w:color w:val="auto"/>
                <w:sz w:val="21"/>
                <w:szCs w:val="21"/>
                <w:lang w:val="en-US" w:eastAsia="zh-CN"/>
              </w:rPr>
              <w:t>2</w:t>
            </w:r>
          </w:p>
        </w:tc>
        <w:tc>
          <w:tcPr>
            <w:tcW w:w="714" w:type="pct"/>
            <w:vMerge w:val="continue"/>
            <w:tcBorders>
              <w:right w:val="nil"/>
            </w:tcBorders>
            <w:vAlign w:val="center"/>
          </w:tcPr>
          <w:p>
            <w:pPr>
              <w:jc w:val="center"/>
              <w:rPr>
                <w:rFonts w:hint="eastAsia"/>
                <w:color w:val="auto"/>
                <w:sz w:val="21"/>
                <w:szCs w:val="21"/>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jc w:val="center"/>
        </w:trPr>
        <w:tc>
          <w:tcPr>
            <w:tcW w:w="387" w:type="pct"/>
            <w:tcBorders>
              <w:left w:val="nil"/>
              <w:right w:val="single" w:color="auto" w:sz="4" w:space="0"/>
            </w:tcBorders>
            <w:vAlign w:val="center"/>
          </w:tcPr>
          <w:p>
            <w:pPr>
              <w:jc w:val="center"/>
              <w:rPr>
                <w:sz w:val="21"/>
                <w:szCs w:val="21"/>
              </w:rPr>
            </w:pPr>
            <w:r>
              <w:rPr>
                <w:sz w:val="21"/>
                <w:szCs w:val="21"/>
              </w:rPr>
              <w:t>8</w:t>
            </w:r>
          </w:p>
        </w:tc>
        <w:tc>
          <w:tcPr>
            <w:tcW w:w="456" w:type="pct"/>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608" w:type="pct"/>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sz w:val="21"/>
                <w:szCs w:val="21"/>
              </w:rPr>
              <w:t>270模切机</w:t>
            </w:r>
          </w:p>
        </w:tc>
        <w:tc>
          <w:tcPr>
            <w:tcW w:w="624" w:type="pct"/>
            <w:tcBorders>
              <w:left w:val="single" w:color="auto" w:sz="4" w:space="0"/>
            </w:tcBorders>
            <w:vAlign w:val="center"/>
          </w:tcPr>
          <w:p>
            <w:pPr>
              <w:jc w:val="center"/>
              <w:rPr>
                <w:sz w:val="21"/>
                <w:szCs w:val="21"/>
              </w:rPr>
            </w:pPr>
            <w:r>
              <w:rPr>
                <w:sz w:val="21"/>
                <w:szCs w:val="21"/>
              </w:rPr>
              <w:t>MQ270</w:t>
            </w:r>
          </w:p>
        </w:tc>
        <w:tc>
          <w:tcPr>
            <w:tcW w:w="783" w:type="pct"/>
            <w:vAlign w:val="center"/>
          </w:tcPr>
          <w:p>
            <w:pPr>
              <w:jc w:val="center"/>
              <w:rPr>
                <w:sz w:val="21"/>
                <w:szCs w:val="21"/>
              </w:rPr>
            </w:pPr>
            <w:r>
              <w:rPr>
                <w:sz w:val="21"/>
                <w:szCs w:val="21"/>
              </w:rPr>
              <w:t>3</w:t>
            </w:r>
          </w:p>
        </w:tc>
        <w:tc>
          <w:tcPr>
            <w:tcW w:w="712" w:type="pct"/>
            <w:tcBorders>
              <w:right w:val="nil"/>
            </w:tcBorders>
            <w:vAlign w:val="center"/>
          </w:tcPr>
          <w:p>
            <w:pPr>
              <w:jc w:val="center"/>
              <w:rPr>
                <w:sz w:val="21"/>
                <w:szCs w:val="21"/>
              </w:rPr>
            </w:pPr>
            <w:r>
              <w:rPr>
                <w:sz w:val="21"/>
                <w:szCs w:val="21"/>
              </w:rPr>
              <w:t>0</w:t>
            </w:r>
          </w:p>
        </w:tc>
        <w:tc>
          <w:tcPr>
            <w:tcW w:w="713" w:type="pct"/>
            <w:tcBorders>
              <w:right w:val="nil"/>
            </w:tcBorders>
            <w:vAlign w:val="center"/>
          </w:tcPr>
          <w:p>
            <w:pPr>
              <w:jc w:val="center"/>
              <w:rPr>
                <w:rFonts w:hint="eastAsia" w:eastAsia="宋体"/>
                <w:color w:val="auto"/>
                <w:sz w:val="21"/>
                <w:szCs w:val="21"/>
                <w:lang w:val="en-US" w:eastAsia="zh-CN"/>
              </w:rPr>
            </w:pPr>
            <w:r>
              <w:rPr>
                <w:rFonts w:hint="eastAsia"/>
                <w:color w:val="auto"/>
                <w:sz w:val="21"/>
                <w:szCs w:val="21"/>
                <w:lang w:val="en-US" w:eastAsia="zh-CN"/>
              </w:rPr>
              <w:t>0</w:t>
            </w:r>
          </w:p>
        </w:tc>
        <w:tc>
          <w:tcPr>
            <w:tcW w:w="714" w:type="pct"/>
            <w:vMerge w:val="continue"/>
            <w:tcBorders>
              <w:right w:val="nil"/>
            </w:tcBorders>
            <w:vAlign w:val="center"/>
          </w:tcPr>
          <w:p>
            <w:pPr>
              <w:jc w:val="center"/>
              <w:rPr>
                <w:rFonts w:hint="eastAsia"/>
                <w:color w:val="auto"/>
                <w:sz w:val="21"/>
                <w:szCs w:val="21"/>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jc w:val="center"/>
        </w:trPr>
        <w:tc>
          <w:tcPr>
            <w:tcW w:w="387" w:type="pct"/>
            <w:tcBorders>
              <w:left w:val="nil"/>
              <w:right w:val="single" w:color="auto" w:sz="4" w:space="0"/>
            </w:tcBorders>
            <w:vAlign w:val="center"/>
          </w:tcPr>
          <w:p>
            <w:pPr>
              <w:jc w:val="center"/>
              <w:rPr>
                <w:sz w:val="21"/>
                <w:szCs w:val="21"/>
              </w:rPr>
            </w:pPr>
            <w:r>
              <w:rPr>
                <w:sz w:val="21"/>
                <w:szCs w:val="21"/>
              </w:rPr>
              <w:t>9</w:t>
            </w:r>
          </w:p>
        </w:tc>
        <w:tc>
          <w:tcPr>
            <w:tcW w:w="456" w:type="pct"/>
            <w:vMerge w:val="continue"/>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608" w:type="pct"/>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sz w:val="21"/>
                <w:szCs w:val="21"/>
              </w:rPr>
              <w:t>420模切机</w:t>
            </w:r>
          </w:p>
        </w:tc>
        <w:tc>
          <w:tcPr>
            <w:tcW w:w="624" w:type="pct"/>
            <w:tcBorders>
              <w:left w:val="single" w:color="auto" w:sz="4" w:space="0"/>
            </w:tcBorders>
            <w:vAlign w:val="center"/>
          </w:tcPr>
          <w:p>
            <w:pPr>
              <w:jc w:val="center"/>
              <w:rPr>
                <w:sz w:val="21"/>
                <w:szCs w:val="21"/>
              </w:rPr>
            </w:pPr>
            <w:r>
              <w:rPr>
                <w:sz w:val="21"/>
                <w:szCs w:val="21"/>
              </w:rPr>
              <w:t>MQ420B</w:t>
            </w:r>
          </w:p>
        </w:tc>
        <w:tc>
          <w:tcPr>
            <w:tcW w:w="783" w:type="pct"/>
            <w:vAlign w:val="center"/>
          </w:tcPr>
          <w:p>
            <w:pPr>
              <w:jc w:val="center"/>
              <w:rPr>
                <w:sz w:val="21"/>
                <w:szCs w:val="21"/>
              </w:rPr>
            </w:pPr>
            <w:r>
              <w:rPr>
                <w:sz w:val="21"/>
                <w:szCs w:val="21"/>
              </w:rPr>
              <w:t>1</w:t>
            </w:r>
          </w:p>
        </w:tc>
        <w:tc>
          <w:tcPr>
            <w:tcW w:w="712" w:type="pct"/>
            <w:tcBorders>
              <w:right w:val="nil"/>
            </w:tcBorders>
            <w:vAlign w:val="center"/>
          </w:tcPr>
          <w:p>
            <w:pPr>
              <w:jc w:val="center"/>
              <w:rPr>
                <w:rFonts w:hint="eastAsia" w:eastAsia="宋体"/>
                <w:sz w:val="21"/>
                <w:szCs w:val="21"/>
                <w:lang w:eastAsia="zh-CN"/>
              </w:rPr>
            </w:pPr>
            <w:r>
              <w:rPr>
                <w:rFonts w:hint="eastAsia"/>
                <w:sz w:val="21"/>
                <w:szCs w:val="21"/>
                <w:lang w:val="en-US" w:eastAsia="zh-CN"/>
              </w:rPr>
              <w:t>1</w:t>
            </w:r>
          </w:p>
        </w:tc>
        <w:tc>
          <w:tcPr>
            <w:tcW w:w="713" w:type="pct"/>
            <w:tcBorders>
              <w:right w:val="nil"/>
            </w:tcBorders>
            <w:vAlign w:val="center"/>
          </w:tcPr>
          <w:p>
            <w:pPr>
              <w:jc w:val="center"/>
              <w:rPr>
                <w:rFonts w:hint="eastAsia" w:eastAsia="宋体"/>
                <w:color w:val="auto"/>
                <w:sz w:val="21"/>
                <w:szCs w:val="21"/>
                <w:lang w:val="en-US" w:eastAsia="zh-CN"/>
              </w:rPr>
            </w:pPr>
            <w:r>
              <w:rPr>
                <w:rFonts w:hint="eastAsia"/>
                <w:color w:val="auto"/>
                <w:sz w:val="21"/>
                <w:szCs w:val="21"/>
                <w:lang w:val="en-US" w:eastAsia="zh-CN"/>
              </w:rPr>
              <w:t>1</w:t>
            </w:r>
          </w:p>
        </w:tc>
        <w:tc>
          <w:tcPr>
            <w:tcW w:w="714" w:type="pct"/>
            <w:vMerge w:val="continue"/>
            <w:tcBorders>
              <w:right w:val="nil"/>
            </w:tcBorders>
            <w:vAlign w:val="center"/>
          </w:tcPr>
          <w:p>
            <w:pPr>
              <w:jc w:val="center"/>
              <w:rPr>
                <w:rFonts w:hint="eastAsia"/>
                <w:color w:val="auto"/>
                <w:sz w:val="21"/>
                <w:szCs w:val="21"/>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jc w:val="center"/>
        </w:trPr>
        <w:tc>
          <w:tcPr>
            <w:tcW w:w="387" w:type="pct"/>
            <w:tcBorders>
              <w:left w:val="nil"/>
              <w:right w:val="single" w:color="auto" w:sz="4" w:space="0"/>
            </w:tcBorders>
            <w:vAlign w:val="center"/>
          </w:tcPr>
          <w:p>
            <w:pPr>
              <w:jc w:val="center"/>
              <w:rPr>
                <w:sz w:val="21"/>
                <w:szCs w:val="21"/>
              </w:rPr>
            </w:pPr>
            <w:r>
              <w:rPr>
                <w:sz w:val="21"/>
                <w:szCs w:val="21"/>
              </w:rPr>
              <w:t>10</w:t>
            </w:r>
          </w:p>
        </w:tc>
        <w:tc>
          <w:tcPr>
            <w:tcW w:w="456" w:type="pct"/>
            <w:vMerge w:val="restart"/>
            <w:tcBorders>
              <w:top w:val="single" w:color="auto" w:sz="4" w:space="0"/>
              <w:left w:val="single" w:color="auto" w:sz="4" w:space="0"/>
              <w:right w:val="single" w:color="auto" w:sz="4" w:space="0"/>
            </w:tcBorders>
            <w:vAlign w:val="center"/>
          </w:tcPr>
          <w:p>
            <w:pPr>
              <w:jc w:val="center"/>
              <w:rPr>
                <w:sz w:val="21"/>
                <w:szCs w:val="21"/>
              </w:rPr>
            </w:pPr>
            <w:r>
              <w:rPr>
                <w:sz w:val="21"/>
                <w:szCs w:val="21"/>
              </w:rPr>
              <w:t>分切车间</w:t>
            </w:r>
          </w:p>
        </w:tc>
        <w:tc>
          <w:tcPr>
            <w:tcW w:w="608" w:type="pct"/>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sz w:val="21"/>
                <w:szCs w:val="21"/>
              </w:rPr>
              <w:t>裁切机</w:t>
            </w:r>
          </w:p>
        </w:tc>
        <w:tc>
          <w:tcPr>
            <w:tcW w:w="624" w:type="pct"/>
            <w:tcBorders>
              <w:left w:val="single" w:color="auto" w:sz="4" w:space="0"/>
            </w:tcBorders>
            <w:vAlign w:val="center"/>
          </w:tcPr>
          <w:p>
            <w:pPr>
              <w:jc w:val="center"/>
              <w:rPr>
                <w:sz w:val="21"/>
                <w:szCs w:val="21"/>
              </w:rPr>
            </w:pPr>
            <w:r>
              <w:rPr>
                <w:sz w:val="21"/>
                <w:szCs w:val="21"/>
              </w:rPr>
              <w:t>CQ270</w:t>
            </w:r>
          </w:p>
        </w:tc>
        <w:tc>
          <w:tcPr>
            <w:tcW w:w="783" w:type="pct"/>
            <w:vAlign w:val="center"/>
          </w:tcPr>
          <w:p>
            <w:pPr>
              <w:jc w:val="center"/>
              <w:rPr>
                <w:sz w:val="21"/>
                <w:szCs w:val="21"/>
              </w:rPr>
            </w:pPr>
            <w:r>
              <w:rPr>
                <w:sz w:val="21"/>
                <w:szCs w:val="21"/>
              </w:rPr>
              <w:t>2</w:t>
            </w:r>
          </w:p>
        </w:tc>
        <w:tc>
          <w:tcPr>
            <w:tcW w:w="712" w:type="pct"/>
            <w:tcBorders>
              <w:right w:val="nil"/>
            </w:tcBorders>
            <w:vAlign w:val="center"/>
          </w:tcPr>
          <w:p>
            <w:pPr>
              <w:jc w:val="center"/>
              <w:rPr>
                <w:rFonts w:hint="eastAsia" w:eastAsia="宋体"/>
                <w:sz w:val="21"/>
                <w:szCs w:val="21"/>
                <w:lang w:eastAsia="zh-CN"/>
              </w:rPr>
            </w:pPr>
            <w:r>
              <w:rPr>
                <w:rFonts w:hint="eastAsia"/>
                <w:sz w:val="21"/>
                <w:szCs w:val="21"/>
                <w:lang w:val="en-US" w:eastAsia="zh-CN"/>
              </w:rPr>
              <w:t>1</w:t>
            </w:r>
          </w:p>
        </w:tc>
        <w:tc>
          <w:tcPr>
            <w:tcW w:w="713" w:type="pct"/>
            <w:tcBorders>
              <w:right w:val="nil"/>
            </w:tcBorders>
            <w:vAlign w:val="center"/>
          </w:tcPr>
          <w:p>
            <w:pPr>
              <w:jc w:val="center"/>
              <w:rPr>
                <w:rFonts w:hint="eastAsia" w:eastAsia="宋体"/>
                <w:color w:val="auto"/>
                <w:sz w:val="21"/>
                <w:szCs w:val="21"/>
                <w:lang w:val="en-US" w:eastAsia="zh-CN"/>
              </w:rPr>
            </w:pPr>
            <w:r>
              <w:rPr>
                <w:rFonts w:hint="eastAsia"/>
                <w:color w:val="auto"/>
                <w:sz w:val="21"/>
                <w:szCs w:val="21"/>
                <w:lang w:val="en-US" w:eastAsia="zh-CN"/>
              </w:rPr>
              <w:t>1</w:t>
            </w:r>
          </w:p>
        </w:tc>
        <w:tc>
          <w:tcPr>
            <w:tcW w:w="714" w:type="pct"/>
            <w:tcBorders>
              <w:right w:val="nil"/>
            </w:tcBorders>
            <w:vAlign w:val="center"/>
          </w:tcPr>
          <w:p>
            <w:pPr>
              <w:jc w:val="center"/>
              <w:rPr>
                <w:rFonts w:hint="eastAsia"/>
                <w:color w:val="auto"/>
                <w:sz w:val="21"/>
                <w:szCs w:val="21"/>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jc w:val="center"/>
        </w:trPr>
        <w:tc>
          <w:tcPr>
            <w:tcW w:w="387" w:type="pct"/>
            <w:tcBorders>
              <w:left w:val="nil"/>
              <w:right w:val="single" w:color="auto" w:sz="4" w:space="0"/>
            </w:tcBorders>
            <w:vAlign w:val="center"/>
          </w:tcPr>
          <w:p>
            <w:pPr>
              <w:jc w:val="center"/>
              <w:rPr>
                <w:sz w:val="21"/>
                <w:szCs w:val="21"/>
              </w:rPr>
            </w:pPr>
            <w:r>
              <w:rPr>
                <w:sz w:val="21"/>
                <w:szCs w:val="21"/>
              </w:rPr>
              <w:t>11</w:t>
            </w:r>
          </w:p>
        </w:tc>
        <w:tc>
          <w:tcPr>
            <w:tcW w:w="456" w:type="pct"/>
            <w:vMerge w:val="continue"/>
            <w:tcBorders>
              <w:left w:val="single" w:color="auto" w:sz="4" w:space="0"/>
              <w:right w:val="single" w:color="auto" w:sz="4" w:space="0"/>
            </w:tcBorders>
            <w:vAlign w:val="center"/>
          </w:tcPr>
          <w:p>
            <w:pPr>
              <w:jc w:val="center"/>
              <w:rPr>
                <w:sz w:val="21"/>
                <w:szCs w:val="21"/>
              </w:rPr>
            </w:pPr>
          </w:p>
        </w:tc>
        <w:tc>
          <w:tcPr>
            <w:tcW w:w="608" w:type="pct"/>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sz w:val="21"/>
                <w:szCs w:val="21"/>
              </w:rPr>
              <w:t>分切机</w:t>
            </w:r>
          </w:p>
        </w:tc>
        <w:tc>
          <w:tcPr>
            <w:tcW w:w="624" w:type="pct"/>
            <w:tcBorders>
              <w:left w:val="single" w:color="auto" w:sz="4" w:space="0"/>
            </w:tcBorders>
            <w:vAlign w:val="center"/>
          </w:tcPr>
          <w:p>
            <w:pPr>
              <w:jc w:val="center"/>
              <w:rPr>
                <w:sz w:val="21"/>
                <w:szCs w:val="21"/>
              </w:rPr>
            </w:pPr>
            <w:r>
              <w:rPr>
                <w:sz w:val="21"/>
                <w:szCs w:val="21"/>
              </w:rPr>
              <w:t>HCH7001</w:t>
            </w:r>
          </w:p>
        </w:tc>
        <w:tc>
          <w:tcPr>
            <w:tcW w:w="783" w:type="pct"/>
            <w:vAlign w:val="center"/>
          </w:tcPr>
          <w:p>
            <w:pPr>
              <w:jc w:val="center"/>
              <w:rPr>
                <w:sz w:val="21"/>
                <w:szCs w:val="21"/>
              </w:rPr>
            </w:pPr>
            <w:r>
              <w:rPr>
                <w:sz w:val="21"/>
                <w:szCs w:val="21"/>
              </w:rPr>
              <w:t>15</w:t>
            </w:r>
          </w:p>
        </w:tc>
        <w:tc>
          <w:tcPr>
            <w:tcW w:w="712" w:type="pct"/>
            <w:tcBorders>
              <w:right w:val="nil"/>
            </w:tcBorders>
            <w:vAlign w:val="center"/>
          </w:tcPr>
          <w:p>
            <w:pPr>
              <w:jc w:val="center"/>
              <w:rPr>
                <w:sz w:val="21"/>
                <w:szCs w:val="21"/>
              </w:rPr>
            </w:pPr>
            <w:r>
              <w:rPr>
                <w:sz w:val="21"/>
                <w:szCs w:val="21"/>
              </w:rPr>
              <w:t>0</w:t>
            </w:r>
          </w:p>
        </w:tc>
        <w:tc>
          <w:tcPr>
            <w:tcW w:w="713" w:type="pct"/>
            <w:tcBorders>
              <w:right w:val="nil"/>
            </w:tcBorders>
            <w:vAlign w:val="center"/>
          </w:tcPr>
          <w:p>
            <w:pPr>
              <w:jc w:val="center"/>
              <w:rPr>
                <w:rFonts w:hint="eastAsia" w:eastAsia="宋体"/>
                <w:color w:val="auto"/>
                <w:sz w:val="21"/>
                <w:szCs w:val="21"/>
                <w:lang w:val="en-US" w:eastAsia="zh-CN"/>
              </w:rPr>
            </w:pPr>
            <w:r>
              <w:rPr>
                <w:rFonts w:hint="eastAsia"/>
                <w:color w:val="auto"/>
                <w:sz w:val="21"/>
                <w:szCs w:val="21"/>
                <w:lang w:val="en-US" w:eastAsia="zh-CN"/>
              </w:rPr>
              <w:t>0</w:t>
            </w:r>
          </w:p>
        </w:tc>
        <w:tc>
          <w:tcPr>
            <w:tcW w:w="714" w:type="pct"/>
            <w:tcBorders>
              <w:right w:val="nil"/>
            </w:tcBorders>
            <w:vAlign w:val="center"/>
          </w:tcPr>
          <w:p>
            <w:pPr>
              <w:jc w:val="center"/>
              <w:rPr>
                <w:rFonts w:hint="eastAsia"/>
                <w:color w:val="auto"/>
                <w:sz w:val="21"/>
                <w:szCs w:val="21"/>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jc w:val="center"/>
        </w:trPr>
        <w:tc>
          <w:tcPr>
            <w:tcW w:w="387" w:type="pct"/>
            <w:tcBorders>
              <w:left w:val="nil"/>
              <w:right w:val="single" w:color="auto" w:sz="4" w:space="0"/>
            </w:tcBorders>
            <w:vAlign w:val="center"/>
          </w:tcPr>
          <w:p>
            <w:pPr>
              <w:jc w:val="center"/>
              <w:rPr>
                <w:sz w:val="21"/>
                <w:szCs w:val="21"/>
              </w:rPr>
            </w:pPr>
            <w:r>
              <w:rPr>
                <w:sz w:val="21"/>
                <w:szCs w:val="21"/>
              </w:rPr>
              <w:t>12</w:t>
            </w:r>
          </w:p>
        </w:tc>
        <w:tc>
          <w:tcPr>
            <w:tcW w:w="456" w:type="pct"/>
            <w:vMerge w:val="continue"/>
            <w:tcBorders>
              <w:left w:val="single" w:color="auto" w:sz="4" w:space="0"/>
              <w:right w:val="single" w:color="auto" w:sz="4" w:space="0"/>
            </w:tcBorders>
            <w:vAlign w:val="center"/>
          </w:tcPr>
          <w:p>
            <w:pPr>
              <w:jc w:val="center"/>
              <w:rPr>
                <w:sz w:val="21"/>
                <w:szCs w:val="21"/>
              </w:rPr>
            </w:pPr>
          </w:p>
        </w:tc>
        <w:tc>
          <w:tcPr>
            <w:tcW w:w="608" w:type="pct"/>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sz w:val="21"/>
                <w:szCs w:val="21"/>
              </w:rPr>
              <w:t>分条机</w:t>
            </w:r>
          </w:p>
        </w:tc>
        <w:tc>
          <w:tcPr>
            <w:tcW w:w="624" w:type="pct"/>
            <w:tcBorders>
              <w:left w:val="single" w:color="auto" w:sz="4" w:space="0"/>
            </w:tcBorders>
            <w:vAlign w:val="center"/>
          </w:tcPr>
          <w:p>
            <w:pPr>
              <w:jc w:val="center"/>
              <w:rPr>
                <w:sz w:val="21"/>
                <w:szCs w:val="21"/>
              </w:rPr>
            </w:pPr>
            <w:r>
              <w:rPr>
                <w:sz w:val="21"/>
                <w:szCs w:val="21"/>
              </w:rPr>
              <w:t>CK700</w:t>
            </w:r>
          </w:p>
        </w:tc>
        <w:tc>
          <w:tcPr>
            <w:tcW w:w="783" w:type="pct"/>
            <w:vAlign w:val="center"/>
          </w:tcPr>
          <w:p>
            <w:pPr>
              <w:jc w:val="center"/>
              <w:rPr>
                <w:sz w:val="21"/>
                <w:szCs w:val="21"/>
              </w:rPr>
            </w:pPr>
            <w:r>
              <w:rPr>
                <w:sz w:val="21"/>
                <w:szCs w:val="21"/>
              </w:rPr>
              <w:t>6</w:t>
            </w:r>
          </w:p>
        </w:tc>
        <w:tc>
          <w:tcPr>
            <w:tcW w:w="712" w:type="pct"/>
            <w:tcBorders>
              <w:right w:val="nil"/>
            </w:tcBorders>
            <w:vAlign w:val="center"/>
          </w:tcPr>
          <w:p>
            <w:pPr>
              <w:jc w:val="center"/>
              <w:rPr>
                <w:sz w:val="21"/>
                <w:szCs w:val="21"/>
              </w:rPr>
            </w:pPr>
            <w:r>
              <w:rPr>
                <w:sz w:val="21"/>
                <w:szCs w:val="21"/>
              </w:rPr>
              <w:t>0</w:t>
            </w:r>
          </w:p>
        </w:tc>
        <w:tc>
          <w:tcPr>
            <w:tcW w:w="713" w:type="pct"/>
            <w:tcBorders>
              <w:right w:val="nil"/>
            </w:tcBorders>
            <w:vAlign w:val="center"/>
          </w:tcPr>
          <w:p>
            <w:pPr>
              <w:jc w:val="center"/>
              <w:rPr>
                <w:rFonts w:hint="eastAsia" w:eastAsia="宋体"/>
                <w:color w:val="auto"/>
                <w:sz w:val="21"/>
                <w:szCs w:val="21"/>
                <w:lang w:val="en-US" w:eastAsia="zh-CN"/>
              </w:rPr>
            </w:pPr>
            <w:r>
              <w:rPr>
                <w:rFonts w:hint="eastAsia"/>
                <w:color w:val="auto"/>
                <w:sz w:val="21"/>
                <w:szCs w:val="21"/>
                <w:lang w:val="en-US" w:eastAsia="zh-CN"/>
              </w:rPr>
              <w:t>0</w:t>
            </w:r>
          </w:p>
        </w:tc>
        <w:tc>
          <w:tcPr>
            <w:tcW w:w="714" w:type="pct"/>
            <w:tcBorders>
              <w:right w:val="nil"/>
            </w:tcBorders>
            <w:vAlign w:val="center"/>
          </w:tcPr>
          <w:p>
            <w:pPr>
              <w:jc w:val="center"/>
              <w:rPr>
                <w:rFonts w:hint="eastAsia"/>
                <w:color w:val="auto"/>
                <w:sz w:val="21"/>
                <w:szCs w:val="21"/>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jc w:val="center"/>
        </w:trPr>
        <w:tc>
          <w:tcPr>
            <w:tcW w:w="387" w:type="pct"/>
            <w:tcBorders>
              <w:left w:val="nil"/>
              <w:right w:val="single" w:color="auto" w:sz="4" w:space="0"/>
            </w:tcBorders>
            <w:vAlign w:val="center"/>
          </w:tcPr>
          <w:p>
            <w:pPr>
              <w:jc w:val="center"/>
              <w:rPr>
                <w:sz w:val="21"/>
                <w:szCs w:val="21"/>
              </w:rPr>
            </w:pPr>
            <w:r>
              <w:rPr>
                <w:sz w:val="21"/>
                <w:szCs w:val="21"/>
              </w:rPr>
              <w:t>13</w:t>
            </w:r>
          </w:p>
        </w:tc>
        <w:tc>
          <w:tcPr>
            <w:tcW w:w="456" w:type="pct"/>
            <w:vMerge w:val="continue"/>
            <w:tcBorders>
              <w:left w:val="single" w:color="auto" w:sz="4" w:space="0"/>
              <w:bottom w:val="single" w:color="auto" w:sz="4" w:space="0"/>
              <w:right w:val="single" w:color="auto" w:sz="4" w:space="0"/>
            </w:tcBorders>
            <w:vAlign w:val="center"/>
          </w:tcPr>
          <w:p>
            <w:pPr>
              <w:jc w:val="center"/>
              <w:rPr>
                <w:sz w:val="21"/>
                <w:szCs w:val="21"/>
              </w:rPr>
            </w:pPr>
          </w:p>
        </w:tc>
        <w:tc>
          <w:tcPr>
            <w:tcW w:w="608" w:type="pct"/>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sz w:val="21"/>
                <w:szCs w:val="21"/>
              </w:rPr>
              <w:t>1300复卷机</w:t>
            </w:r>
          </w:p>
        </w:tc>
        <w:tc>
          <w:tcPr>
            <w:tcW w:w="624" w:type="pct"/>
            <w:tcBorders>
              <w:left w:val="single" w:color="auto" w:sz="4" w:space="0"/>
            </w:tcBorders>
            <w:vAlign w:val="center"/>
          </w:tcPr>
          <w:p>
            <w:pPr>
              <w:jc w:val="center"/>
              <w:rPr>
                <w:sz w:val="21"/>
                <w:szCs w:val="21"/>
              </w:rPr>
            </w:pPr>
            <w:r>
              <w:rPr>
                <w:sz w:val="21"/>
                <w:szCs w:val="21"/>
              </w:rPr>
              <w:t>TFQ1300</w:t>
            </w:r>
          </w:p>
        </w:tc>
        <w:tc>
          <w:tcPr>
            <w:tcW w:w="783" w:type="pct"/>
            <w:vAlign w:val="center"/>
          </w:tcPr>
          <w:p>
            <w:pPr>
              <w:jc w:val="center"/>
              <w:rPr>
                <w:sz w:val="21"/>
                <w:szCs w:val="21"/>
              </w:rPr>
            </w:pPr>
            <w:r>
              <w:rPr>
                <w:sz w:val="21"/>
                <w:szCs w:val="21"/>
              </w:rPr>
              <w:t>2</w:t>
            </w:r>
          </w:p>
        </w:tc>
        <w:tc>
          <w:tcPr>
            <w:tcW w:w="712" w:type="pct"/>
            <w:tcBorders>
              <w:right w:val="nil"/>
            </w:tcBorders>
            <w:vAlign w:val="center"/>
          </w:tcPr>
          <w:p>
            <w:pPr>
              <w:jc w:val="center"/>
              <w:rPr>
                <w:sz w:val="21"/>
                <w:szCs w:val="21"/>
              </w:rPr>
            </w:pPr>
            <w:r>
              <w:rPr>
                <w:sz w:val="21"/>
                <w:szCs w:val="21"/>
              </w:rPr>
              <w:t>1</w:t>
            </w:r>
          </w:p>
        </w:tc>
        <w:tc>
          <w:tcPr>
            <w:tcW w:w="713" w:type="pct"/>
            <w:tcBorders>
              <w:right w:val="nil"/>
            </w:tcBorders>
            <w:vAlign w:val="center"/>
          </w:tcPr>
          <w:p>
            <w:pPr>
              <w:jc w:val="center"/>
              <w:rPr>
                <w:rFonts w:hint="eastAsia" w:eastAsia="宋体"/>
                <w:color w:val="auto"/>
                <w:sz w:val="21"/>
                <w:szCs w:val="21"/>
                <w:lang w:val="en-US" w:eastAsia="zh-CN"/>
              </w:rPr>
            </w:pPr>
            <w:r>
              <w:rPr>
                <w:rFonts w:hint="eastAsia"/>
                <w:color w:val="auto"/>
                <w:sz w:val="21"/>
                <w:szCs w:val="21"/>
                <w:lang w:val="en-US" w:eastAsia="zh-CN"/>
              </w:rPr>
              <w:t>1</w:t>
            </w:r>
          </w:p>
        </w:tc>
        <w:tc>
          <w:tcPr>
            <w:tcW w:w="714" w:type="pct"/>
            <w:tcBorders>
              <w:right w:val="nil"/>
            </w:tcBorders>
            <w:vAlign w:val="center"/>
          </w:tcPr>
          <w:p>
            <w:pPr>
              <w:jc w:val="center"/>
              <w:rPr>
                <w:rFonts w:hint="eastAsia"/>
                <w:color w:val="auto"/>
                <w:sz w:val="21"/>
                <w:szCs w:val="21"/>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jc w:val="center"/>
        </w:trPr>
        <w:tc>
          <w:tcPr>
            <w:tcW w:w="387" w:type="pct"/>
            <w:tcBorders>
              <w:left w:val="nil"/>
              <w:right w:val="single" w:color="auto" w:sz="4" w:space="0"/>
            </w:tcBorders>
            <w:vAlign w:val="center"/>
          </w:tcPr>
          <w:p>
            <w:pPr>
              <w:jc w:val="center"/>
              <w:rPr>
                <w:sz w:val="21"/>
                <w:szCs w:val="21"/>
              </w:rPr>
            </w:pPr>
            <w:r>
              <w:rPr>
                <w:sz w:val="21"/>
                <w:szCs w:val="21"/>
              </w:rPr>
              <w:t>14</w:t>
            </w:r>
          </w:p>
        </w:tc>
        <w:tc>
          <w:tcPr>
            <w:tcW w:w="1064" w:type="pct"/>
            <w:gridSpan w:val="2"/>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sz w:val="21"/>
                <w:szCs w:val="21"/>
              </w:rPr>
              <w:t>引风机</w:t>
            </w:r>
          </w:p>
        </w:tc>
        <w:tc>
          <w:tcPr>
            <w:tcW w:w="624" w:type="pct"/>
            <w:tcBorders>
              <w:left w:val="single" w:color="auto" w:sz="4" w:space="0"/>
            </w:tcBorders>
            <w:vAlign w:val="center"/>
          </w:tcPr>
          <w:p>
            <w:pPr>
              <w:jc w:val="center"/>
              <w:rPr>
                <w:sz w:val="21"/>
                <w:szCs w:val="21"/>
              </w:rPr>
            </w:pPr>
            <w:r>
              <w:rPr>
                <w:sz w:val="21"/>
                <w:szCs w:val="21"/>
              </w:rPr>
              <w:t>Y750</w:t>
            </w:r>
          </w:p>
        </w:tc>
        <w:tc>
          <w:tcPr>
            <w:tcW w:w="783" w:type="pct"/>
            <w:vAlign w:val="center"/>
          </w:tcPr>
          <w:p>
            <w:pPr>
              <w:jc w:val="center"/>
              <w:rPr>
                <w:sz w:val="21"/>
                <w:szCs w:val="21"/>
              </w:rPr>
            </w:pPr>
            <w:r>
              <w:rPr>
                <w:sz w:val="21"/>
                <w:szCs w:val="21"/>
              </w:rPr>
              <w:t>6</w:t>
            </w:r>
          </w:p>
        </w:tc>
        <w:tc>
          <w:tcPr>
            <w:tcW w:w="712" w:type="pct"/>
            <w:tcBorders>
              <w:right w:val="nil"/>
            </w:tcBorders>
            <w:vAlign w:val="center"/>
          </w:tcPr>
          <w:p>
            <w:pPr>
              <w:jc w:val="center"/>
              <w:rPr>
                <w:rFonts w:hint="eastAsia" w:eastAsia="宋体"/>
                <w:sz w:val="21"/>
                <w:szCs w:val="21"/>
                <w:lang w:eastAsia="zh-CN"/>
              </w:rPr>
            </w:pPr>
            <w:r>
              <w:rPr>
                <w:rFonts w:hint="eastAsia"/>
                <w:sz w:val="21"/>
                <w:szCs w:val="21"/>
                <w:lang w:val="en-US" w:eastAsia="zh-CN"/>
              </w:rPr>
              <w:t>3</w:t>
            </w:r>
          </w:p>
        </w:tc>
        <w:tc>
          <w:tcPr>
            <w:tcW w:w="713" w:type="pct"/>
            <w:tcBorders>
              <w:right w:val="nil"/>
            </w:tcBorders>
            <w:vAlign w:val="center"/>
          </w:tcPr>
          <w:p>
            <w:pPr>
              <w:jc w:val="center"/>
              <w:rPr>
                <w:rFonts w:hint="eastAsia" w:eastAsia="宋体"/>
                <w:color w:val="auto"/>
                <w:sz w:val="21"/>
                <w:szCs w:val="21"/>
                <w:lang w:val="en-US" w:eastAsia="zh-CN"/>
              </w:rPr>
            </w:pPr>
            <w:r>
              <w:rPr>
                <w:rFonts w:hint="eastAsia"/>
                <w:color w:val="auto"/>
                <w:sz w:val="21"/>
                <w:szCs w:val="21"/>
                <w:lang w:val="en-US" w:eastAsia="zh-CN"/>
              </w:rPr>
              <w:t>3</w:t>
            </w:r>
          </w:p>
        </w:tc>
        <w:tc>
          <w:tcPr>
            <w:tcW w:w="714" w:type="pct"/>
            <w:tcBorders>
              <w:right w:val="nil"/>
            </w:tcBorders>
            <w:vAlign w:val="center"/>
          </w:tcPr>
          <w:p>
            <w:pPr>
              <w:jc w:val="center"/>
              <w:rPr>
                <w:rFonts w:hint="eastAsia"/>
                <w:color w:val="auto"/>
                <w:sz w:val="21"/>
                <w:szCs w:val="21"/>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jc w:val="center"/>
        </w:trPr>
        <w:tc>
          <w:tcPr>
            <w:tcW w:w="387" w:type="pct"/>
            <w:tcBorders>
              <w:left w:val="nil"/>
              <w:right w:val="single" w:color="auto" w:sz="4" w:space="0"/>
            </w:tcBorders>
            <w:vAlign w:val="center"/>
          </w:tcPr>
          <w:p>
            <w:pPr>
              <w:jc w:val="center"/>
              <w:rPr>
                <w:sz w:val="21"/>
                <w:szCs w:val="21"/>
              </w:rPr>
            </w:pPr>
            <w:r>
              <w:rPr>
                <w:sz w:val="21"/>
                <w:szCs w:val="21"/>
              </w:rPr>
              <w:t>15</w:t>
            </w:r>
          </w:p>
        </w:tc>
        <w:tc>
          <w:tcPr>
            <w:tcW w:w="1064" w:type="pct"/>
            <w:gridSpan w:val="2"/>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sz w:val="21"/>
                <w:szCs w:val="21"/>
              </w:rPr>
              <w:t>循环风机</w:t>
            </w:r>
          </w:p>
        </w:tc>
        <w:tc>
          <w:tcPr>
            <w:tcW w:w="624" w:type="pct"/>
            <w:tcBorders>
              <w:left w:val="single" w:color="auto" w:sz="4" w:space="0"/>
            </w:tcBorders>
            <w:vAlign w:val="center"/>
          </w:tcPr>
          <w:p>
            <w:pPr>
              <w:jc w:val="center"/>
              <w:rPr>
                <w:sz w:val="21"/>
                <w:szCs w:val="21"/>
              </w:rPr>
            </w:pPr>
            <w:r>
              <w:rPr>
                <w:sz w:val="21"/>
                <w:szCs w:val="21"/>
              </w:rPr>
              <w:t>X750</w:t>
            </w:r>
          </w:p>
        </w:tc>
        <w:tc>
          <w:tcPr>
            <w:tcW w:w="783" w:type="pct"/>
            <w:vAlign w:val="center"/>
          </w:tcPr>
          <w:p>
            <w:pPr>
              <w:jc w:val="center"/>
              <w:rPr>
                <w:sz w:val="21"/>
                <w:szCs w:val="21"/>
              </w:rPr>
            </w:pPr>
            <w:r>
              <w:rPr>
                <w:sz w:val="21"/>
                <w:szCs w:val="21"/>
              </w:rPr>
              <w:t>6</w:t>
            </w:r>
          </w:p>
        </w:tc>
        <w:tc>
          <w:tcPr>
            <w:tcW w:w="712" w:type="pct"/>
            <w:tcBorders>
              <w:right w:val="nil"/>
            </w:tcBorders>
            <w:vAlign w:val="center"/>
          </w:tcPr>
          <w:p>
            <w:pPr>
              <w:jc w:val="center"/>
              <w:rPr>
                <w:rFonts w:hint="eastAsia" w:eastAsia="宋体"/>
                <w:sz w:val="21"/>
                <w:szCs w:val="21"/>
                <w:lang w:eastAsia="zh-CN"/>
              </w:rPr>
            </w:pPr>
            <w:r>
              <w:rPr>
                <w:rFonts w:hint="eastAsia"/>
                <w:sz w:val="21"/>
                <w:szCs w:val="21"/>
                <w:lang w:val="en-US" w:eastAsia="zh-CN"/>
              </w:rPr>
              <w:t>3</w:t>
            </w:r>
          </w:p>
        </w:tc>
        <w:tc>
          <w:tcPr>
            <w:tcW w:w="713" w:type="pct"/>
            <w:tcBorders>
              <w:right w:val="nil"/>
            </w:tcBorders>
            <w:vAlign w:val="center"/>
          </w:tcPr>
          <w:p>
            <w:pPr>
              <w:jc w:val="center"/>
              <w:rPr>
                <w:rFonts w:hint="eastAsia" w:eastAsia="宋体"/>
                <w:sz w:val="21"/>
                <w:szCs w:val="21"/>
                <w:lang w:val="en-US" w:eastAsia="zh-CN"/>
              </w:rPr>
            </w:pPr>
            <w:r>
              <w:rPr>
                <w:rFonts w:hint="eastAsia"/>
                <w:sz w:val="21"/>
                <w:szCs w:val="21"/>
                <w:lang w:val="en-US" w:eastAsia="zh-CN"/>
              </w:rPr>
              <w:t>3</w:t>
            </w:r>
          </w:p>
        </w:tc>
        <w:tc>
          <w:tcPr>
            <w:tcW w:w="714" w:type="pct"/>
            <w:tcBorders>
              <w:right w:val="nil"/>
            </w:tcBorders>
            <w:vAlign w:val="center"/>
          </w:tcPr>
          <w:p>
            <w:pPr>
              <w:jc w:val="center"/>
              <w:rPr>
                <w:rFonts w:hint="eastAsia"/>
                <w:sz w:val="21"/>
                <w:szCs w:val="21"/>
                <w:lang w:val="en-US" w:eastAsia="zh-CN"/>
              </w:rPr>
            </w:pPr>
          </w:p>
        </w:tc>
      </w:tr>
      <w:bookmarkEnd w:id="43"/>
    </w:tbl>
    <w:p>
      <w:pPr>
        <w:pStyle w:val="6"/>
        <w:spacing w:beforeLines="0" w:afterLines="0"/>
        <w:rPr>
          <w:rFonts w:hint="eastAsia"/>
          <w:color w:val="auto"/>
          <w:sz w:val="32"/>
          <w:szCs w:val="32"/>
        </w:rPr>
      </w:pPr>
      <w:bookmarkStart w:id="44" w:name="_Toc20132"/>
      <w:bookmarkStart w:id="45" w:name="_Toc11731"/>
      <w:bookmarkStart w:id="46" w:name="_Toc4947"/>
      <w:r>
        <w:rPr>
          <w:rFonts w:hint="eastAsia"/>
          <w:color w:val="auto"/>
          <w:sz w:val="32"/>
          <w:szCs w:val="32"/>
        </w:rPr>
        <w:t>3.3主要原辅材料及能源消耗</w:t>
      </w:r>
      <w:bookmarkEnd w:id="44"/>
      <w:bookmarkEnd w:id="45"/>
    </w:p>
    <w:p>
      <w:pPr>
        <w:spacing w:after="0" w:line="360" w:lineRule="auto"/>
        <w:jc w:val="left"/>
        <w:rPr>
          <w:rFonts w:hint="default" w:ascii="Times New Roman" w:hAnsi="Times New Roman" w:cs="Times New Roman"/>
          <w:spacing w:val="-2"/>
          <w:lang w:val="en-US" w:eastAsia="zh-CN"/>
        </w:rPr>
      </w:pPr>
      <w:r>
        <w:rPr>
          <w:rFonts w:hint="default" w:ascii="Times New Roman" w:hAnsi="Times New Roman" w:cs="Times New Roman"/>
          <w:spacing w:val="-2"/>
        </w:rPr>
        <w:t>原辅材料使用贮存情况见表3</w:t>
      </w:r>
      <w:r>
        <w:rPr>
          <w:rFonts w:hint="default" w:ascii="Times New Roman" w:hAnsi="Times New Roman" w:cs="Times New Roman"/>
          <w:spacing w:val="-2"/>
          <w:lang w:val="en-US" w:eastAsia="zh-CN"/>
        </w:rPr>
        <w:t>.3</w:t>
      </w:r>
      <w:r>
        <w:rPr>
          <w:rFonts w:hint="default" w:ascii="Times New Roman" w:hAnsi="Times New Roman" w:cs="Times New Roman"/>
          <w:spacing w:val="-2"/>
        </w:rPr>
        <w:t>-</w:t>
      </w:r>
      <w:r>
        <w:rPr>
          <w:rFonts w:hint="default" w:ascii="Times New Roman" w:hAnsi="Times New Roman" w:cs="Times New Roman"/>
          <w:spacing w:val="-2"/>
          <w:lang w:val="en-US" w:eastAsia="zh-CN"/>
        </w:rPr>
        <w:t>1</w:t>
      </w:r>
    </w:p>
    <w:p>
      <w:pPr>
        <w:jc w:val="center"/>
        <w:rPr>
          <w:rFonts w:hint="default" w:ascii="Times New Roman" w:hAnsi="Times New Roman" w:eastAsia="黑体" w:cs="Times New Roman"/>
          <w:b w:val="0"/>
          <w:bCs w:val="0"/>
          <w:sz w:val="21"/>
          <w:szCs w:val="21"/>
          <w:lang w:val="en-US" w:eastAsia="zh-CN"/>
        </w:rPr>
      </w:pPr>
      <w:r>
        <w:rPr>
          <w:rFonts w:hint="default" w:ascii="Times New Roman" w:hAnsi="Times New Roman" w:eastAsia="黑体" w:cs="Times New Roman"/>
          <w:b w:val="0"/>
          <w:bCs w:val="0"/>
          <w:sz w:val="21"/>
          <w:szCs w:val="21"/>
          <w:lang w:val="en-US" w:eastAsia="zh-CN"/>
        </w:rPr>
        <w:t>表3</w:t>
      </w:r>
      <w:r>
        <w:rPr>
          <w:rFonts w:hint="eastAsia" w:ascii="Times New Roman" w:hAnsi="Times New Roman" w:eastAsia="黑体" w:cs="Times New Roman"/>
          <w:b w:val="0"/>
          <w:bCs w:val="0"/>
          <w:sz w:val="21"/>
          <w:szCs w:val="21"/>
          <w:lang w:val="en-US" w:eastAsia="zh-CN"/>
        </w:rPr>
        <w:t>.</w:t>
      </w:r>
      <w:r>
        <w:rPr>
          <w:rFonts w:hint="default" w:ascii="Times New Roman" w:hAnsi="Times New Roman" w:eastAsia="黑体" w:cs="Times New Roman"/>
          <w:b w:val="0"/>
          <w:bCs w:val="0"/>
          <w:sz w:val="21"/>
          <w:szCs w:val="21"/>
          <w:lang w:val="en-US" w:eastAsia="zh-CN"/>
        </w:rPr>
        <w:t>3</w:t>
      </w:r>
      <w:r>
        <w:rPr>
          <w:rFonts w:hint="eastAsia" w:ascii="Times New Roman" w:hAnsi="Times New Roman" w:eastAsia="黑体" w:cs="Times New Roman"/>
          <w:b w:val="0"/>
          <w:bCs w:val="0"/>
          <w:sz w:val="21"/>
          <w:szCs w:val="21"/>
          <w:lang w:val="en-US" w:eastAsia="zh-CN"/>
        </w:rPr>
        <w:t>-1</w:t>
      </w:r>
      <w:r>
        <w:rPr>
          <w:rFonts w:hint="default" w:ascii="Times New Roman" w:hAnsi="Times New Roman" w:eastAsia="黑体" w:cs="Times New Roman"/>
          <w:b w:val="0"/>
          <w:bCs w:val="0"/>
          <w:sz w:val="21"/>
          <w:szCs w:val="21"/>
          <w:lang w:val="en-US" w:eastAsia="zh-CN"/>
        </w:rPr>
        <w:t>实际生产原辅材料使用情况</w:t>
      </w:r>
    </w:p>
    <w:tbl>
      <w:tblPr>
        <w:tblStyle w:val="26"/>
        <w:tblW w:w="4997"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479"/>
        <w:gridCol w:w="1005"/>
        <w:gridCol w:w="1823"/>
        <w:gridCol w:w="1060"/>
        <w:gridCol w:w="1010"/>
        <w:gridCol w:w="1034"/>
        <w:gridCol w:w="837"/>
        <w:gridCol w:w="105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3" w:hRule="atLeast"/>
          <w:jc w:val="center"/>
        </w:trPr>
        <w:tc>
          <w:tcPr>
            <w:tcW w:w="288" w:type="pct"/>
            <w:tcBorders>
              <w:left w:val="nil"/>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序号</w:t>
            </w:r>
          </w:p>
        </w:tc>
        <w:tc>
          <w:tcPr>
            <w:tcW w:w="605" w:type="pct"/>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物料名称</w:t>
            </w:r>
          </w:p>
        </w:tc>
        <w:tc>
          <w:tcPr>
            <w:tcW w:w="1097" w:type="pct"/>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重要组成、规格、指标</w:t>
            </w:r>
          </w:p>
        </w:tc>
        <w:tc>
          <w:tcPr>
            <w:tcW w:w="638" w:type="pct"/>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用途</w:t>
            </w:r>
          </w:p>
        </w:tc>
        <w:tc>
          <w:tcPr>
            <w:tcW w:w="608" w:type="pct"/>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设计年总耗量(t/a)</w:t>
            </w:r>
          </w:p>
        </w:tc>
        <w:tc>
          <w:tcPr>
            <w:tcW w:w="622" w:type="pct"/>
            <w:vAlign w:val="center"/>
          </w:tcPr>
          <w:p>
            <w:pPr>
              <w:spacing w:after="0" w:line="240" w:lineRule="auto"/>
              <w:jc w:val="center"/>
              <w:rPr>
                <w:rFonts w:ascii="Times New Roman" w:hAnsi="Times New Roman" w:eastAsia="宋体" w:cs="Times New Roman"/>
                <w:kern w:val="2"/>
                <w:sz w:val="21"/>
                <w:szCs w:val="21"/>
                <w:lang w:eastAsia="zh-CN"/>
              </w:rPr>
            </w:pPr>
            <w:r>
              <w:rPr>
                <w:rFonts w:hint="eastAsia" w:cs="Times New Roman"/>
                <w:kern w:val="2"/>
                <w:sz w:val="21"/>
                <w:szCs w:val="21"/>
                <w:lang w:eastAsia="zh-CN"/>
              </w:rPr>
              <w:t>本</w:t>
            </w:r>
            <w:r>
              <w:rPr>
                <w:rFonts w:hint="default" w:cs="Times New Roman"/>
                <w:kern w:val="2"/>
                <w:sz w:val="21"/>
                <w:szCs w:val="21"/>
                <w:lang w:eastAsia="zh-CN"/>
              </w:rPr>
              <w:t>次验收产线</w:t>
            </w:r>
            <w:r>
              <w:rPr>
                <w:rFonts w:ascii="Times New Roman" w:hAnsi="Times New Roman" w:eastAsia="宋体" w:cs="Times New Roman"/>
                <w:kern w:val="2"/>
                <w:sz w:val="21"/>
                <w:szCs w:val="21"/>
                <w:lang w:eastAsia="zh-CN"/>
              </w:rPr>
              <w:t>总耗量(t/a)</w:t>
            </w:r>
          </w:p>
        </w:tc>
        <w:tc>
          <w:tcPr>
            <w:tcW w:w="504" w:type="pct"/>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最大储存量(t)</w:t>
            </w:r>
          </w:p>
        </w:tc>
        <w:tc>
          <w:tcPr>
            <w:tcW w:w="634" w:type="pct"/>
            <w:tcBorders>
              <w:right w:val="nil"/>
            </w:tcBorders>
            <w:vAlign w:val="center"/>
          </w:tcPr>
          <w:p>
            <w:pPr>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储存方式</w:t>
            </w:r>
          </w:p>
        </w:tc>
      </w:tr>
    </w:tbl>
    <w:p>
      <w:pPr>
        <w:spacing w:before="29" w:line="215" w:lineRule="auto"/>
        <w:jc w:val="center"/>
        <w:rPr>
          <w:rFonts w:ascii="宋体" w:hAnsi="宋体" w:eastAsia="宋体" w:cs="宋体"/>
          <w:sz w:val="21"/>
          <w:szCs w:val="21"/>
        </w:rPr>
      </w:pPr>
      <w:r>
        <w:rPr>
          <w:rFonts w:ascii="宋体" w:hAnsi="宋体" w:eastAsia="宋体" w:cs="宋体"/>
          <w:spacing w:val="-4"/>
          <w:sz w:val="21"/>
          <w:szCs w:val="21"/>
          <w14:textOutline w14:w="3831" w14:cap="flat" w14:cmpd="sng">
            <w14:solidFill>
              <w14:srgbClr w14:val="000000"/>
            </w14:solidFill>
            <w14:prstDash w14:val="solid"/>
            <w14:miter w14:val="0"/>
          </w14:textOutline>
        </w:rPr>
        <w:t>原</w:t>
      </w:r>
      <w:r>
        <w:rPr>
          <w:rFonts w:ascii="宋体" w:hAnsi="宋体" w:eastAsia="宋体" w:cs="宋体"/>
          <w:spacing w:val="-2"/>
          <w:sz w:val="21"/>
          <w:szCs w:val="21"/>
          <w14:textOutline w14:w="3831" w14:cap="flat" w14:cmpd="sng">
            <w14:solidFill>
              <w14:srgbClr w14:val="000000"/>
            </w14:solidFill>
            <w14:prstDash w14:val="solid"/>
            <w14:miter w14:val="0"/>
          </w14:textOutline>
        </w:rPr>
        <w:t>料</w:t>
      </w:r>
    </w:p>
    <w:tbl>
      <w:tblPr>
        <w:tblStyle w:val="26"/>
        <w:tblW w:w="4995"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477"/>
        <w:gridCol w:w="1005"/>
        <w:gridCol w:w="1837"/>
        <w:gridCol w:w="1046"/>
        <w:gridCol w:w="1010"/>
        <w:gridCol w:w="1033"/>
        <w:gridCol w:w="837"/>
        <w:gridCol w:w="105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8" w:hRule="atLeast"/>
          <w:jc w:val="center"/>
        </w:trPr>
        <w:tc>
          <w:tcPr>
            <w:tcW w:w="287" w:type="pct"/>
            <w:tcBorders>
              <w:left w:val="nil"/>
            </w:tcBorders>
            <w:vAlign w:val="center"/>
          </w:tcPr>
          <w:p>
            <w:pPr>
              <w:spacing w:before="121" w:line="187" w:lineRule="auto"/>
              <w:jc w:val="center"/>
              <w:rPr>
                <w:rFonts w:ascii="Times New Roman" w:hAnsi="Times New Roman" w:eastAsia="Times New Roman" w:cs="Times New Roman"/>
                <w:sz w:val="21"/>
                <w:szCs w:val="21"/>
              </w:rPr>
            </w:pPr>
            <w:r>
              <w:rPr>
                <w:rFonts w:ascii="Times New Roman" w:hAnsi="Times New Roman" w:eastAsia="Times New Roman" w:cs="Times New Roman"/>
                <w:sz w:val="21"/>
                <w:szCs w:val="21"/>
              </w:rPr>
              <w:t>1</w:t>
            </w:r>
          </w:p>
        </w:tc>
        <w:tc>
          <w:tcPr>
            <w:tcW w:w="605" w:type="pct"/>
            <w:vAlign w:val="center"/>
          </w:tcPr>
          <w:p>
            <w:pPr>
              <w:spacing w:before="128" w:line="221" w:lineRule="auto"/>
              <w:jc w:val="center"/>
              <w:rPr>
                <w:rFonts w:ascii="宋体" w:hAnsi="宋体" w:eastAsia="宋体" w:cs="宋体"/>
                <w:sz w:val="21"/>
                <w:szCs w:val="21"/>
              </w:rPr>
            </w:pPr>
            <w:r>
              <w:rPr>
                <w:rFonts w:ascii="宋体" w:hAnsi="宋体" w:eastAsia="宋体" w:cs="宋体"/>
                <w:spacing w:val="-4"/>
                <w:sz w:val="21"/>
                <w:szCs w:val="21"/>
              </w:rPr>
              <w:t>薄</w:t>
            </w:r>
            <w:r>
              <w:rPr>
                <w:rFonts w:ascii="宋体" w:hAnsi="宋体" w:eastAsia="宋体" w:cs="宋体"/>
                <w:spacing w:val="-2"/>
                <w:sz w:val="21"/>
                <w:szCs w:val="21"/>
              </w:rPr>
              <w:t>膜</w:t>
            </w:r>
          </w:p>
        </w:tc>
        <w:tc>
          <w:tcPr>
            <w:tcW w:w="1106" w:type="pct"/>
            <w:vAlign w:val="center"/>
          </w:tcPr>
          <w:p>
            <w:pPr>
              <w:spacing w:before="86" w:line="234" w:lineRule="auto"/>
              <w:jc w:val="center"/>
              <w:rPr>
                <w:rFonts w:ascii="宋体" w:hAnsi="宋体" w:eastAsia="宋体" w:cs="宋体"/>
                <w:sz w:val="21"/>
                <w:szCs w:val="21"/>
              </w:rPr>
            </w:pPr>
            <w:r>
              <w:rPr>
                <w:rFonts w:ascii="Times New Roman" w:hAnsi="Times New Roman" w:eastAsia="Times New Roman" w:cs="Times New Roman"/>
                <w:sz w:val="21"/>
                <w:szCs w:val="21"/>
              </w:rPr>
              <w:t>PI</w:t>
            </w:r>
            <w:r>
              <w:rPr>
                <w:rFonts w:ascii="Times New Roman" w:hAnsi="Times New Roman" w:eastAsia="Times New Roman" w:cs="Times New Roman"/>
                <w:spacing w:val="-1"/>
                <w:sz w:val="21"/>
                <w:szCs w:val="21"/>
              </w:rPr>
              <w:t>/</w:t>
            </w:r>
            <w:r>
              <w:rPr>
                <w:rFonts w:ascii="Times New Roman" w:hAnsi="Times New Roman" w:eastAsia="Times New Roman" w:cs="Times New Roman"/>
                <w:sz w:val="21"/>
                <w:szCs w:val="21"/>
              </w:rPr>
              <w:t>PP/</w:t>
            </w:r>
            <w:r>
              <w:rPr>
                <w:rFonts w:ascii="宋体" w:hAnsi="宋体" w:eastAsia="宋体" w:cs="宋体"/>
                <w:sz w:val="21"/>
                <w:szCs w:val="21"/>
              </w:rPr>
              <w:t>纸、纤维布</w:t>
            </w:r>
          </w:p>
        </w:tc>
        <w:tc>
          <w:tcPr>
            <w:tcW w:w="630" w:type="pct"/>
            <w:vAlign w:val="center"/>
          </w:tcPr>
          <w:p>
            <w:pPr>
              <w:spacing w:before="87" w:line="220" w:lineRule="auto"/>
              <w:jc w:val="center"/>
              <w:rPr>
                <w:rFonts w:ascii="宋体" w:hAnsi="宋体" w:eastAsia="宋体" w:cs="宋体"/>
                <w:sz w:val="21"/>
                <w:szCs w:val="21"/>
              </w:rPr>
            </w:pPr>
            <w:r>
              <w:rPr>
                <w:rFonts w:ascii="宋体" w:hAnsi="宋体" w:eastAsia="宋体" w:cs="宋体"/>
                <w:spacing w:val="-1"/>
                <w:sz w:val="21"/>
                <w:szCs w:val="21"/>
              </w:rPr>
              <w:t>胶带基材</w:t>
            </w:r>
          </w:p>
        </w:tc>
        <w:tc>
          <w:tcPr>
            <w:tcW w:w="608" w:type="pct"/>
            <w:vAlign w:val="center"/>
          </w:tcPr>
          <w:p>
            <w:pPr>
              <w:spacing w:before="120" w:line="187" w:lineRule="auto"/>
              <w:jc w:val="center"/>
              <w:rPr>
                <w:rFonts w:ascii="Times New Roman" w:hAnsi="Times New Roman" w:eastAsia="Times New Roman" w:cs="Times New Roman"/>
                <w:sz w:val="21"/>
                <w:szCs w:val="21"/>
              </w:rPr>
            </w:pPr>
            <w:r>
              <w:rPr>
                <w:rFonts w:ascii="Times New Roman" w:hAnsi="Times New Roman" w:eastAsia="Times New Roman" w:cs="Times New Roman"/>
                <w:spacing w:val="-7"/>
                <w:sz w:val="21"/>
                <w:szCs w:val="21"/>
              </w:rPr>
              <w:t>1179</w:t>
            </w:r>
          </w:p>
        </w:tc>
        <w:tc>
          <w:tcPr>
            <w:tcW w:w="622" w:type="pct"/>
            <w:vAlign w:val="center"/>
          </w:tcPr>
          <w:p>
            <w:pPr>
              <w:spacing w:before="120" w:line="187" w:lineRule="auto"/>
              <w:jc w:val="center"/>
              <w:rPr>
                <w:rFonts w:hint="default" w:ascii="Times New Roman" w:hAnsi="Times New Roman" w:eastAsia="宋体" w:cs="Times New Roman"/>
                <w:color w:val="auto"/>
                <w:sz w:val="21"/>
                <w:szCs w:val="21"/>
                <w:lang w:eastAsia="zh-CN"/>
              </w:rPr>
            </w:pPr>
            <w:r>
              <w:rPr>
                <w:rFonts w:hint="default" w:cs="Times New Roman"/>
                <w:color w:val="auto"/>
                <w:spacing w:val="-2"/>
                <w:sz w:val="21"/>
                <w:szCs w:val="21"/>
                <w:lang w:eastAsia="zh-CN"/>
              </w:rPr>
              <w:t>600</w:t>
            </w:r>
          </w:p>
        </w:tc>
        <w:tc>
          <w:tcPr>
            <w:tcW w:w="504" w:type="pct"/>
            <w:vAlign w:val="center"/>
          </w:tcPr>
          <w:p>
            <w:pPr>
              <w:spacing w:before="120" w:line="187" w:lineRule="auto"/>
              <w:jc w:val="center"/>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60</w:t>
            </w:r>
          </w:p>
        </w:tc>
        <w:tc>
          <w:tcPr>
            <w:tcW w:w="634" w:type="pct"/>
            <w:tcBorders>
              <w:right w:val="nil"/>
            </w:tcBorders>
            <w:vAlign w:val="center"/>
          </w:tcPr>
          <w:p>
            <w:pPr>
              <w:spacing w:before="87" w:line="234" w:lineRule="auto"/>
              <w:ind w:left="87"/>
              <w:jc w:val="center"/>
              <w:rPr>
                <w:rFonts w:ascii="宋体" w:hAnsi="宋体" w:eastAsia="宋体" w:cs="宋体"/>
                <w:sz w:val="21"/>
                <w:szCs w:val="21"/>
              </w:rPr>
            </w:pPr>
            <w:r>
              <w:rPr>
                <w:rFonts w:ascii="Times New Roman" w:hAnsi="Times New Roman" w:eastAsia="Times New Roman" w:cs="Times New Roman"/>
                <w:spacing w:val="-6"/>
                <w:sz w:val="21"/>
                <w:szCs w:val="21"/>
              </w:rPr>
              <w:t>1</w:t>
            </w:r>
            <w:r>
              <w:rPr>
                <w:rFonts w:ascii="宋体" w:hAnsi="宋体" w:eastAsia="宋体" w:cs="宋体"/>
                <w:spacing w:val="-3"/>
                <w:sz w:val="21"/>
                <w:szCs w:val="21"/>
              </w:rPr>
              <w:t>千米</w:t>
            </w:r>
            <w:r>
              <w:rPr>
                <w:rFonts w:ascii="Times New Roman" w:hAnsi="Times New Roman" w:eastAsia="Times New Roman" w:cs="Times New Roman"/>
                <w:spacing w:val="-3"/>
                <w:sz w:val="21"/>
                <w:szCs w:val="21"/>
              </w:rPr>
              <w:t>/</w:t>
            </w:r>
            <w:r>
              <w:rPr>
                <w:rFonts w:ascii="宋体" w:hAnsi="宋体" w:eastAsia="宋体" w:cs="宋体"/>
                <w:spacing w:val="-3"/>
                <w:sz w:val="21"/>
                <w:szCs w:val="21"/>
              </w:rPr>
              <w:t>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2" w:hRule="atLeast"/>
          <w:jc w:val="center"/>
        </w:trPr>
        <w:tc>
          <w:tcPr>
            <w:tcW w:w="287" w:type="pct"/>
            <w:tcBorders>
              <w:left w:val="nil"/>
            </w:tcBorders>
            <w:vAlign w:val="center"/>
          </w:tcPr>
          <w:p>
            <w:pPr>
              <w:spacing w:before="60" w:line="187" w:lineRule="auto"/>
              <w:jc w:val="center"/>
              <w:rPr>
                <w:rFonts w:ascii="Times New Roman" w:hAnsi="Times New Roman" w:eastAsia="Times New Roman" w:cs="Times New Roman"/>
                <w:sz w:val="21"/>
                <w:szCs w:val="21"/>
              </w:rPr>
            </w:pPr>
            <w:r>
              <w:rPr>
                <w:rFonts w:ascii="Times New Roman" w:hAnsi="Times New Roman" w:eastAsia="Times New Roman" w:cs="Times New Roman"/>
                <w:sz w:val="21"/>
                <w:szCs w:val="21"/>
              </w:rPr>
              <w:t>2</w:t>
            </w:r>
          </w:p>
        </w:tc>
        <w:tc>
          <w:tcPr>
            <w:tcW w:w="605" w:type="pct"/>
            <w:vAlign w:val="center"/>
          </w:tcPr>
          <w:p>
            <w:pPr>
              <w:spacing w:before="68" w:line="220" w:lineRule="auto"/>
              <w:jc w:val="center"/>
              <w:rPr>
                <w:rFonts w:ascii="宋体" w:hAnsi="宋体" w:eastAsia="宋体" w:cs="宋体"/>
                <w:sz w:val="21"/>
                <w:szCs w:val="21"/>
              </w:rPr>
            </w:pPr>
            <w:r>
              <w:rPr>
                <w:rFonts w:ascii="宋体" w:hAnsi="宋体" w:eastAsia="宋体" w:cs="宋体"/>
                <w:spacing w:val="-9"/>
                <w:sz w:val="21"/>
                <w:szCs w:val="21"/>
              </w:rPr>
              <w:t>甲</w:t>
            </w:r>
            <w:r>
              <w:rPr>
                <w:rFonts w:ascii="宋体" w:hAnsi="宋体" w:eastAsia="宋体" w:cs="宋体"/>
                <w:spacing w:val="-8"/>
                <w:sz w:val="21"/>
                <w:szCs w:val="21"/>
              </w:rPr>
              <w:t>苯</w:t>
            </w:r>
          </w:p>
        </w:tc>
        <w:tc>
          <w:tcPr>
            <w:tcW w:w="1106" w:type="pct"/>
            <w:vAlign w:val="center"/>
          </w:tcPr>
          <w:p>
            <w:pPr>
              <w:jc w:val="center"/>
              <w:rPr>
                <w:rFonts w:hint="eastAsia" w:ascii="Arial" w:eastAsia="宋体"/>
                <w:sz w:val="21"/>
                <w:lang w:val="en-US" w:eastAsia="zh-CN"/>
              </w:rPr>
            </w:pPr>
            <w:r>
              <w:rPr>
                <w:rFonts w:hint="eastAsia" w:ascii="Arial"/>
                <w:sz w:val="21"/>
                <w:lang w:val="en-US" w:eastAsia="zh-CN"/>
              </w:rPr>
              <w:t>/</w:t>
            </w:r>
          </w:p>
        </w:tc>
        <w:tc>
          <w:tcPr>
            <w:tcW w:w="630" w:type="pct"/>
            <w:vAlign w:val="center"/>
          </w:tcPr>
          <w:p>
            <w:pPr>
              <w:spacing w:before="303" w:line="220" w:lineRule="auto"/>
              <w:jc w:val="center"/>
              <w:rPr>
                <w:rFonts w:ascii="宋体" w:hAnsi="宋体" w:eastAsia="宋体" w:cs="宋体"/>
                <w:sz w:val="21"/>
                <w:szCs w:val="21"/>
              </w:rPr>
            </w:pPr>
            <w:r>
              <w:rPr>
                <w:rFonts w:ascii="宋体" w:hAnsi="宋体" w:eastAsia="宋体" w:cs="宋体"/>
                <w:spacing w:val="-3"/>
                <w:sz w:val="21"/>
                <w:szCs w:val="21"/>
              </w:rPr>
              <w:t>溶</w:t>
            </w:r>
            <w:r>
              <w:rPr>
                <w:rFonts w:ascii="宋体" w:hAnsi="宋体" w:eastAsia="宋体" w:cs="宋体"/>
                <w:spacing w:val="-2"/>
                <w:sz w:val="21"/>
                <w:szCs w:val="21"/>
              </w:rPr>
              <w:t>剂</w:t>
            </w:r>
          </w:p>
        </w:tc>
        <w:tc>
          <w:tcPr>
            <w:tcW w:w="608" w:type="pct"/>
            <w:vAlign w:val="center"/>
          </w:tcPr>
          <w:p>
            <w:pPr>
              <w:spacing w:before="60" w:line="187" w:lineRule="auto"/>
              <w:jc w:val="center"/>
              <w:rPr>
                <w:rFonts w:ascii="Times New Roman" w:hAnsi="Times New Roman" w:eastAsia="Times New Roman" w:cs="Times New Roman"/>
                <w:sz w:val="21"/>
                <w:szCs w:val="21"/>
              </w:rPr>
            </w:pPr>
            <w:r>
              <w:rPr>
                <w:rFonts w:ascii="Times New Roman" w:hAnsi="Times New Roman" w:eastAsia="Times New Roman" w:cs="Times New Roman"/>
                <w:spacing w:val="-5"/>
                <w:sz w:val="21"/>
                <w:szCs w:val="21"/>
              </w:rPr>
              <w:t>90</w:t>
            </w:r>
          </w:p>
        </w:tc>
        <w:tc>
          <w:tcPr>
            <w:tcW w:w="622" w:type="pct"/>
            <w:vAlign w:val="center"/>
          </w:tcPr>
          <w:p>
            <w:pPr>
              <w:spacing w:before="32" w:line="221" w:lineRule="auto"/>
              <w:ind w:left="21"/>
              <w:jc w:val="center"/>
              <w:rPr>
                <w:rFonts w:ascii="宋体" w:hAnsi="宋体" w:eastAsia="宋体" w:cs="宋体"/>
                <w:color w:val="auto"/>
                <w:sz w:val="21"/>
                <w:szCs w:val="21"/>
              </w:rPr>
            </w:pPr>
            <w:r>
              <w:rPr>
                <w:rFonts w:ascii="Times New Roman" w:hAnsi="Times New Roman" w:eastAsia="Times New Roman" w:cs="Times New Roman"/>
                <w:color w:val="auto"/>
                <w:spacing w:val="8"/>
                <w:sz w:val="21"/>
                <w:szCs w:val="21"/>
              </w:rPr>
              <w:t>0</w:t>
            </w:r>
            <w:r>
              <w:rPr>
                <w:rFonts w:ascii="Times New Roman" w:hAnsi="Times New Roman" w:eastAsia="Times New Roman" w:cs="Times New Roman"/>
                <w:color w:val="auto"/>
                <w:spacing w:val="6"/>
                <w:sz w:val="21"/>
                <w:szCs w:val="21"/>
              </w:rPr>
              <w:t>.</w:t>
            </w:r>
            <w:r>
              <w:rPr>
                <w:rFonts w:ascii="Times New Roman" w:hAnsi="Times New Roman" w:eastAsia="Times New Roman" w:cs="Times New Roman"/>
                <w:color w:val="auto"/>
                <w:spacing w:val="4"/>
                <w:sz w:val="21"/>
                <w:szCs w:val="21"/>
              </w:rPr>
              <w:t>05</w:t>
            </w:r>
            <w:r>
              <w:rPr>
                <w:rFonts w:ascii="宋体" w:hAnsi="宋体" w:eastAsia="宋体" w:cs="宋体"/>
                <w:color w:val="auto"/>
                <w:spacing w:val="4"/>
                <w:sz w:val="21"/>
                <w:szCs w:val="21"/>
              </w:rPr>
              <w:t>(目前仅</w:t>
            </w:r>
            <w:r>
              <w:rPr>
                <w:rFonts w:ascii="宋体" w:hAnsi="宋体" w:eastAsia="宋体" w:cs="宋体"/>
                <w:color w:val="auto"/>
                <w:spacing w:val="-1"/>
                <w:sz w:val="21"/>
                <w:szCs w:val="21"/>
              </w:rPr>
              <w:t>在实验中</w:t>
            </w:r>
            <w:r>
              <w:rPr>
                <w:rFonts w:ascii="宋体" w:hAnsi="宋体" w:eastAsia="宋体" w:cs="宋体"/>
                <w:color w:val="auto"/>
                <w:sz w:val="21"/>
                <w:szCs w:val="21"/>
              </w:rPr>
              <w:t>使</w:t>
            </w:r>
            <w:r>
              <w:rPr>
                <w:rFonts w:ascii="宋体" w:hAnsi="宋体" w:eastAsia="宋体" w:cs="宋体"/>
                <w:color w:val="auto"/>
                <w:spacing w:val="-8"/>
                <w:sz w:val="21"/>
                <w:szCs w:val="21"/>
              </w:rPr>
              <w:t>用</w:t>
            </w:r>
            <w:r>
              <w:rPr>
                <w:rFonts w:ascii="宋体" w:hAnsi="宋体" w:eastAsia="宋体" w:cs="宋体"/>
                <w:color w:val="auto"/>
                <w:spacing w:val="-7"/>
                <w:sz w:val="21"/>
                <w:szCs w:val="21"/>
              </w:rPr>
              <w:t>)</w:t>
            </w:r>
          </w:p>
        </w:tc>
        <w:tc>
          <w:tcPr>
            <w:tcW w:w="504" w:type="pct"/>
            <w:vAlign w:val="center"/>
          </w:tcPr>
          <w:p>
            <w:pPr>
              <w:spacing w:before="60" w:line="187" w:lineRule="auto"/>
              <w:jc w:val="center"/>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1.0</w:t>
            </w:r>
          </w:p>
        </w:tc>
        <w:tc>
          <w:tcPr>
            <w:tcW w:w="634" w:type="pct"/>
            <w:tcBorders>
              <w:right w:val="nil"/>
            </w:tcBorders>
            <w:vAlign w:val="center"/>
          </w:tcPr>
          <w:p>
            <w:pPr>
              <w:spacing w:before="304" w:line="234" w:lineRule="auto"/>
              <w:ind w:left="190"/>
              <w:jc w:val="center"/>
              <w:rPr>
                <w:rFonts w:ascii="宋体" w:hAnsi="宋体" w:eastAsia="宋体" w:cs="宋体"/>
                <w:sz w:val="21"/>
                <w:szCs w:val="21"/>
              </w:rPr>
            </w:pPr>
            <w:r>
              <w:rPr>
                <w:rFonts w:ascii="Times New Roman" w:hAnsi="Times New Roman" w:eastAsia="Times New Roman" w:cs="Times New Roman"/>
                <w:spacing w:val="-8"/>
                <w:sz w:val="21"/>
                <w:szCs w:val="21"/>
              </w:rPr>
              <w:t>1</w:t>
            </w:r>
            <w:r>
              <w:rPr>
                <w:rFonts w:ascii="Times New Roman" w:hAnsi="Times New Roman" w:eastAsia="Times New Roman" w:cs="Times New Roman"/>
                <w:spacing w:val="-4"/>
                <w:sz w:val="21"/>
                <w:szCs w:val="21"/>
              </w:rPr>
              <w:t>t/</w:t>
            </w:r>
            <w:r>
              <w:rPr>
                <w:rFonts w:ascii="宋体" w:hAnsi="宋体" w:eastAsia="宋体" w:cs="宋体"/>
                <w:spacing w:val="-4"/>
                <w:sz w:val="21"/>
                <w:szCs w:val="21"/>
              </w:rPr>
              <w:t>桶装</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48" w:hRule="atLeast"/>
          <w:jc w:val="center"/>
        </w:trPr>
        <w:tc>
          <w:tcPr>
            <w:tcW w:w="287" w:type="pct"/>
            <w:tcBorders>
              <w:left w:val="nil"/>
            </w:tcBorders>
            <w:vAlign w:val="center"/>
          </w:tcPr>
          <w:p>
            <w:pPr>
              <w:spacing w:before="199" w:line="187" w:lineRule="auto"/>
              <w:jc w:val="center"/>
              <w:rPr>
                <w:rFonts w:ascii="Times New Roman" w:hAnsi="Times New Roman" w:eastAsia="Times New Roman" w:cs="Times New Roman"/>
                <w:sz w:val="21"/>
                <w:szCs w:val="21"/>
              </w:rPr>
            </w:pPr>
            <w:r>
              <w:rPr>
                <w:rFonts w:ascii="Times New Roman" w:hAnsi="Times New Roman" w:eastAsia="Times New Roman" w:cs="Times New Roman"/>
                <w:sz w:val="21"/>
                <w:szCs w:val="21"/>
              </w:rPr>
              <w:t>3</w:t>
            </w:r>
          </w:p>
        </w:tc>
        <w:tc>
          <w:tcPr>
            <w:tcW w:w="605" w:type="pct"/>
            <w:vAlign w:val="center"/>
          </w:tcPr>
          <w:p>
            <w:pPr>
              <w:spacing w:before="193" w:line="221" w:lineRule="auto"/>
              <w:jc w:val="center"/>
              <w:rPr>
                <w:rFonts w:ascii="宋体" w:hAnsi="宋体" w:eastAsia="宋体" w:cs="宋体"/>
                <w:sz w:val="21"/>
                <w:szCs w:val="21"/>
              </w:rPr>
            </w:pPr>
            <w:r>
              <w:rPr>
                <w:rFonts w:ascii="宋体" w:hAnsi="宋体" w:eastAsia="宋体" w:cs="宋体"/>
                <w:spacing w:val="-2"/>
                <w:sz w:val="21"/>
                <w:szCs w:val="21"/>
              </w:rPr>
              <w:t>丙烯酸胶</w:t>
            </w:r>
            <w:r>
              <w:rPr>
                <w:rFonts w:ascii="宋体" w:hAnsi="宋体" w:eastAsia="宋体" w:cs="宋体"/>
                <w:spacing w:val="-1"/>
                <w:sz w:val="21"/>
                <w:szCs w:val="21"/>
              </w:rPr>
              <w:t>水</w:t>
            </w:r>
          </w:p>
        </w:tc>
        <w:tc>
          <w:tcPr>
            <w:tcW w:w="1106" w:type="pct"/>
            <w:vAlign w:val="center"/>
          </w:tcPr>
          <w:p>
            <w:pPr>
              <w:spacing w:before="31" w:line="227" w:lineRule="auto"/>
              <w:ind w:left="21" w:right="12" w:firstLine="16"/>
              <w:jc w:val="center"/>
              <w:rPr>
                <w:rFonts w:ascii="Times New Roman" w:hAnsi="Times New Roman" w:eastAsia="Times New Roman" w:cs="Times New Roman"/>
                <w:sz w:val="21"/>
                <w:szCs w:val="21"/>
              </w:rPr>
            </w:pPr>
            <w:r>
              <w:rPr>
                <w:rFonts w:ascii="宋体" w:hAnsi="宋体" w:eastAsia="宋体" w:cs="宋体"/>
                <w:spacing w:val="-6"/>
                <w:sz w:val="21"/>
                <w:szCs w:val="21"/>
              </w:rPr>
              <w:t>固含</w:t>
            </w:r>
            <w:r>
              <w:rPr>
                <w:rFonts w:ascii="宋体" w:hAnsi="宋体" w:eastAsia="宋体" w:cs="宋体"/>
                <w:spacing w:val="-5"/>
                <w:sz w:val="21"/>
                <w:szCs w:val="21"/>
              </w:rPr>
              <w:t>量</w:t>
            </w:r>
            <w:r>
              <w:rPr>
                <w:rFonts w:ascii="Times New Roman" w:hAnsi="Times New Roman" w:eastAsia="Times New Roman" w:cs="Times New Roman"/>
                <w:spacing w:val="-3"/>
                <w:sz w:val="21"/>
                <w:szCs w:val="21"/>
              </w:rPr>
              <w:t>55%</w:t>
            </w:r>
            <w:r>
              <w:rPr>
                <w:rFonts w:ascii="宋体" w:hAnsi="宋体" w:eastAsia="宋体" w:cs="宋体"/>
                <w:spacing w:val="-3"/>
                <w:sz w:val="21"/>
                <w:szCs w:val="21"/>
              </w:rPr>
              <w:t>，甲苯</w:t>
            </w:r>
            <w:r>
              <w:rPr>
                <w:rFonts w:ascii="Times New Roman" w:hAnsi="Times New Roman" w:eastAsia="Times New Roman" w:cs="Times New Roman"/>
                <w:spacing w:val="-9"/>
                <w:sz w:val="21"/>
                <w:szCs w:val="21"/>
              </w:rPr>
              <w:t>5</w:t>
            </w:r>
            <w:r>
              <w:rPr>
                <w:rFonts w:ascii="Times New Roman" w:hAnsi="Times New Roman" w:eastAsia="Times New Roman" w:cs="Times New Roman"/>
                <w:spacing w:val="-5"/>
                <w:sz w:val="21"/>
                <w:szCs w:val="21"/>
              </w:rPr>
              <w:t>%</w:t>
            </w:r>
            <w:r>
              <w:rPr>
                <w:rFonts w:ascii="宋体" w:hAnsi="宋体" w:eastAsia="宋体" w:cs="宋体"/>
                <w:spacing w:val="-5"/>
                <w:sz w:val="21"/>
                <w:szCs w:val="21"/>
              </w:rPr>
              <w:t>，乙酸乙酯</w:t>
            </w:r>
            <w:r>
              <w:rPr>
                <w:rFonts w:ascii="Times New Roman" w:hAnsi="Times New Roman" w:eastAsia="Times New Roman" w:cs="Times New Roman"/>
                <w:spacing w:val="-5"/>
                <w:sz w:val="21"/>
                <w:szCs w:val="21"/>
              </w:rPr>
              <w:t>40%</w:t>
            </w:r>
          </w:p>
        </w:tc>
        <w:tc>
          <w:tcPr>
            <w:tcW w:w="630" w:type="pct"/>
            <w:vAlign w:val="center"/>
          </w:tcPr>
          <w:p>
            <w:pPr>
              <w:spacing w:before="167" w:line="221" w:lineRule="auto"/>
              <w:jc w:val="center"/>
              <w:rPr>
                <w:rFonts w:ascii="宋体" w:hAnsi="宋体" w:eastAsia="宋体" w:cs="宋体"/>
                <w:sz w:val="21"/>
                <w:szCs w:val="21"/>
              </w:rPr>
            </w:pPr>
            <w:r>
              <w:rPr>
                <w:rFonts w:ascii="宋体" w:hAnsi="宋体" w:eastAsia="宋体" w:cs="宋体"/>
                <w:spacing w:val="-1"/>
                <w:sz w:val="21"/>
                <w:szCs w:val="21"/>
              </w:rPr>
              <w:t>胶水原液</w:t>
            </w:r>
          </w:p>
        </w:tc>
        <w:tc>
          <w:tcPr>
            <w:tcW w:w="608" w:type="pct"/>
            <w:vAlign w:val="center"/>
          </w:tcPr>
          <w:p>
            <w:pPr>
              <w:spacing w:before="199" w:line="187" w:lineRule="auto"/>
              <w:jc w:val="center"/>
              <w:rPr>
                <w:rFonts w:ascii="Times New Roman" w:hAnsi="Times New Roman" w:eastAsia="Times New Roman" w:cs="Times New Roman"/>
                <w:sz w:val="21"/>
                <w:szCs w:val="21"/>
              </w:rPr>
            </w:pPr>
            <w:r>
              <w:rPr>
                <w:rFonts w:ascii="Times New Roman" w:hAnsi="Times New Roman" w:eastAsia="Times New Roman" w:cs="Times New Roman"/>
                <w:spacing w:val="-1"/>
                <w:sz w:val="21"/>
                <w:szCs w:val="21"/>
              </w:rPr>
              <w:t>21</w:t>
            </w:r>
            <w:r>
              <w:rPr>
                <w:rFonts w:ascii="Times New Roman" w:hAnsi="Times New Roman" w:eastAsia="Times New Roman" w:cs="Times New Roman"/>
                <w:sz w:val="21"/>
                <w:szCs w:val="21"/>
              </w:rPr>
              <w:t>58</w:t>
            </w:r>
          </w:p>
        </w:tc>
        <w:tc>
          <w:tcPr>
            <w:tcW w:w="622" w:type="pct"/>
            <w:vAlign w:val="center"/>
          </w:tcPr>
          <w:p>
            <w:pPr>
              <w:spacing w:before="199" w:line="187" w:lineRule="auto"/>
              <w:jc w:val="center"/>
              <w:rPr>
                <w:rFonts w:hint="default" w:ascii="Times New Roman" w:hAnsi="Times New Roman" w:eastAsia="宋体" w:cs="Times New Roman"/>
                <w:color w:val="auto"/>
                <w:sz w:val="21"/>
                <w:szCs w:val="21"/>
                <w:lang w:eastAsia="zh-CN"/>
              </w:rPr>
            </w:pPr>
            <w:r>
              <w:rPr>
                <w:rFonts w:hint="default" w:cs="Times New Roman"/>
                <w:color w:val="auto"/>
                <w:spacing w:val="-2"/>
                <w:sz w:val="21"/>
                <w:szCs w:val="21"/>
                <w:lang w:eastAsia="zh-CN"/>
              </w:rPr>
              <w:t>930</w:t>
            </w:r>
          </w:p>
        </w:tc>
        <w:tc>
          <w:tcPr>
            <w:tcW w:w="504" w:type="pct"/>
            <w:vAlign w:val="center"/>
          </w:tcPr>
          <w:p>
            <w:pPr>
              <w:spacing w:before="199" w:line="187" w:lineRule="auto"/>
              <w:jc w:val="center"/>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72</w:t>
            </w:r>
          </w:p>
        </w:tc>
        <w:tc>
          <w:tcPr>
            <w:tcW w:w="634" w:type="pct"/>
            <w:tcBorders>
              <w:right w:val="nil"/>
            </w:tcBorders>
            <w:vAlign w:val="center"/>
          </w:tcPr>
          <w:p>
            <w:pPr>
              <w:spacing w:before="168" w:line="234" w:lineRule="auto"/>
              <w:ind w:left="87"/>
              <w:jc w:val="center"/>
              <w:rPr>
                <w:rFonts w:ascii="宋体" w:hAnsi="宋体" w:eastAsia="宋体" w:cs="宋体"/>
                <w:sz w:val="21"/>
                <w:szCs w:val="21"/>
              </w:rPr>
            </w:pPr>
            <w:r>
              <w:rPr>
                <w:rFonts w:ascii="Times New Roman" w:hAnsi="Times New Roman" w:eastAsia="Times New Roman" w:cs="Times New Roman"/>
                <w:spacing w:val="-4"/>
                <w:sz w:val="21"/>
                <w:szCs w:val="21"/>
              </w:rPr>
              <w:t>17</w:t>
            </w:r>
            <w:r>
              <w:rPr>
                <w:rFonts w:ascii="Times New Roman" w:hAnsi="Times New Roman" w:eastAsia="Times New Roman" w:cs="Times New Roman"/>
                <w:spacing w:val="-3"/>
                <w:sz w:val="21"/>
                <w:szCs w:val="21"/>
              </w:rPr>
              <w:t>.</w:t>
            </w:r>
            <w:r>
              <w:rPr>
                <w:rFonts w:ascii="Times New Roman" w:hAnsi="Times New Roman" w:eastAsia="Times New Roman" w:cs="Times New Roman"/>
                <w:spacing w:val="-2"/>
                <w:sz w:val="21"/>
                <w:szCs w:val="21"/>
              </w:rPr>
              <w:t>5kg/</w:t>
            </w:r>
            <w:r>
              <w:rPr>
                <w:rFonts w:ascii="宋体" w:hAnsi="宋体" w:eastAsia="宋体" w:cs="宋体"/>
                <w:spacing w:val="-2"/>
                <w:sz w:val="21"/>
                <w:szCs w:val="21"/>
              </w:rPr>
              <w:t>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jc w:val="center"/>
        </w:trPr>
        <w:tc>
          <w:tcPr>
            <w:tcW w:w="287" w:type="pct"/>
            <w:tcBorders>
              <w:left w:val="nil"/>
            </w:tcBorders>
            <w:vAlign w:val="center"/>
          </w:tcPr>
          <w:p>
            <w:pPr>
              <w:spacing w:before="200" w:line="187" w:lineRule="auto"/>
              <w:jc w:val="center"/>
              <w:rPr>
                <w:rFonts w:ascii="Times New Roman" w:hAnsi="Times New Roman" w:eastAsia="Times New Roman" w:cs="Times New Roman"/>
                <w:sz w:val="21"/>
                <w:szCs w:val="21"/>
              </w:rPr>
            </w:pPr>
            <w:r>
              <w:rPr>
                <w:rFonts w:ascii="Times New Roman" w:hAnsi="Times New Roman" w:eastAsia="Times New Roman" w:cs="Times New Roman"/>
                <w:sz w:val="21"/>
                <w:szCs w:val="21"/>
              </w:rPr>
              <w:t>4</w:t>
            </w:r>
          </w:p>
        </w:tc>
        <w:tc>
          <w:tcPr>
            <w:tcW w:w="605" w:type="pct"/>
            <w:vAlign w:val="center"/>
          </w:tcPr>
          <w:p>
            <w:pPr>
              <w:spacing w:before="195" w:line="221" w:lineRule="auto"/>
              <w:jc w:val="center"/>
              <w:rPr>
                <w:rFonts w:ascii="宋体" w:hAnsi="宋体" w:eastAsia="宋体" w:cs="宋体"/>
                <w:sz w:val="21"/>
                <w:szCs w:val="21"/>
              </w:rPr>
            </w:pPr>
            <w:r>
              <w:rPr>
                <w:rFonts w:ascii="宋体" w:hAnsi="宋体" w:eastAsia="宋体" w:cs="宋体"/>
                <w:spacing w:val="-1"/>
                <w:sz w:val="21"/>
                <w:szCs w:val="21"/>
              </w:rPr>
              <w:t>硅胶胶水</w:t>
            </w:r>
          </w:p>
        </w:tc>
        <w:tc>
          <w:tcPr>
            <w:tcW w:w="1106" w:type="pct"/>
            <w:vAlign w:val="center"/>
          </w:tcPr>
          <w:p>
            <w:pPr>
              <w:spacing w:before="32" w:line="227" w:lineRule="auto"/>
              <w:ind w:left="623" w:right="12" w:hanging="586"/>
              <w:jc w:val="center"/>
              <w:rPr>
                <w:rFonts w:ascii="宋体" w:hAnsi="宋体" w:eastAsia="宋体" w:cs="宋体"/>
                <w:sz w:val="21"/>
                <w:szCs w:val="21"/>
              </w:rPr>
            </w:pPr>
            <w:r>
              <w:rPr>
                <w:rFonts w:ascii="宋体" w:hAnsi="宋体" w:eastAsia="宋体" w:cs="宋体"/>
                <w:spacing w:val="-15"/>
                <w:sz w:val="21"/>
                <w:szCs w:val="21"/>
              </w:rPr>
              <w:t>固</w:t>
            </w:r>
            <w:r>
              <w:rPr>
                <w:rFonts w:ascii="宋体" w:hAnsi="宋体" w:eastAsia="宋体" w:cs="宋体"/>
                <w:spacing w:val="-13"/>
                <w:sz w:val="21"/>
                <w:szCs w:val="21"/>
              </w:rPr>
              <w:t>含量</w:t>
            </w:r>
            <w:r>
              <w:rPr>
                <w:rFonts w:ascii="Times New Roman" w:hAnsi="Times New Roman" w:eastAsia="Times New Roman" w:cs="Times New Roman"/>
                <w:spacing w:val="-13"/>
                <w:sz w:val="21"/>
                <w:szCs w:val="21"/>
              </w:rPr>
              <w:t>60%</w:t>
            </w:r>
            <w:r>
              <w:rPr>
                <w:rFonts w:ascii="宋体" w:hAnsi="宋体" w:eastAsia="宋体" w:cs="宋体"/>
                <w:spacing w:val="-13"/>
                <w:sz w:val="21"/>
                <w:szCs w:val="21"/>
              </w:rPr>
              <w:t>，其余为</w:t>
            </w:r>
            <w:r>
              <w:rPr>
                <w:rFonts w:ascii="宋体" w:hAnsi="宋体" w:eastAsia="宋体" w:cs="宋体"/>
                <w:spacing w:val="-2"/>
                <w:sz w:val="21"/>
                <w:szCs w:val="21"/>
              </w:rPr>
              <w:t>醇</w:t>
            </w:r>
            <w:r>
              <w:rPr>
                <w:rFonts w:ascii="宋体" w:hAnsi="宋体" w:eastAsia="宋体" w:cs="宋体"/>
                <w:spacing w:val="-1"/>
                <w:sz w:val="21"/>
                <w:szCs w:val="21"/>
              </w:rPr>
              <w:t>类</w:t>
            </w:r>
          </w:p>
        </w:tc>
        <w:tc>
          <w:tcPr>
            <w:tcW w:w="630" w:type="pct"/>
            <w:vAlign w:val="center"/>
          </w:tcPr>
          <w:p>
            <w:pPr>
              <w:spacing w:before="168" w:line="221" w:lineRule="auto"/>
              <w:jc w:val="center"/>
              <w:rPr>
                <w:rFonts w:ascii="宋体" w:hAnsi="宋体" w:eastAsia="宋体" w:cs="宋体"/>
                <w:sz w:val="21"/>
                <w:szCs w:val="21"/>
              </w:rPr>
            </w:pPr>
            <w:r>
              <w:rPr>
                <w:rFonts w:ascii="宋体" w:hAnsi="宋体" w:eastAsia="宋体" w:cs="宋体"/>
                <w:spacing w:val="-1"/>
                <w:sz w:val="21"/>
                <w:szCs w:val="21"/>
              </w:rPr>
              <w:t>胶水原液</w:t>
            </w:r>
          </w:p>
        </w:tc>
        <w:tc>
          <w:tcPr>
            <w:tcW w:w="608" w:type="pct"/>
            <w:vAlign w:val="center"/>
          </w:tcPr>
          <w:p>
            <w:pPr>
              <w:spacing w:before="200" w:line="187" w:lineRule="auto"/>
              <w:jc w:val="center"/>
              <w:rPr>
                <w:rFonts w:ascii="Times New Roman" w:hAnsi="Times New Roman" w:eastAsia="Times New Roman" w:cs="Times New Roman"/>
                <w:sz w:val="21"/>
                <w:szCs w:val="21"/>
              </w:rPr>
            </w:pPr>
            <w:r>
              <w:rPr>
                <w:rFonts w:ascii="Times New Roman" w:hAnsi="Times New Roman" w:eastAsia="Times New Roman" w:cs="Times New Roman"/>
                <w:spacing w:val="-1"/>
                <w:sz w:val="21"/>
                <w:szCs w:val="21"/>
              </w:rPr>
              <w:t>20</w:t>
            </w:r>
            <w:r>
              <w:rPr>
                <w:rFonts w:ascii="Times New Roman" w:hAnsi="Times New Roman" w:eastAsia="Times New Roman" w:cs="Times New Roman"/>
                <w:sz w:val="21"/>
                <w:szCs w:val="21"/>
              </w:rPr>
              <w:t>0</w:t>
            </w:r>
          </w:p>
        </w:tc>
        <w:tc>
          <w:tcPr>
            <w:tcW w:w="622" w:type="pct"/>
            <w:vAlign w:val="center"/>
          </w:tcPr>
          <w:p>
            <w:pPr>
              <w:spacing w:before="200" w:line="187" w:lineRule="auto"/>
              <w:jc w:val="center"/>
              <w:rPr>
                <w:rFonts w:hint="default" w:ascii="Times New Roman" w:hAnsi="Times New Roman" w:eastAsia="宋体" w:cs="Times New Roman"/>
                <w:color w:val="auto"/>
                <w:sz w:val="21"/>
                <w:szCs w:val="21"/>
                <w:lang w:eastAsia="zh-CN"/>
              </w:rPr>
            </w:pPr>
            <w:r>
              <w:rPr>
                <w:rFonts w:hint="default" w:cs="Times New Roman"/>
                <w:color w:val="auto"/>
                <w:spacing w:val="-2"/>
                <w:sz w:val="21"/>
                <w:szCs w:val="21"/>
                <w:lang w:eastAsia="zh-CN"/>
              </w:rPr>
              <w:t>96</w:t>
            </w:r>
          </w:p>
        </w:tc>
        <w:tc>
          <w:tcPr>
            <w:tcW w:w="504" w:type="pct"/>
            <w:vAlign w:val="center"/>
          </w:tcPr>
          <w:p>
            <w:pPr>
              <w:spacing w:before="203" w:line="184" w:lineRule="auto"/>
              <w:jc w:val="center"/>
              <w:rPr>
                <w:rFonts w:hint="default" w:ascii="Times New Roman" w:hAnsi="Times New Roman" w:eastAsia="宋体" w:cs="Times New Roman"/>
                <w:sz w:val="21"/>
                <w:szCs w:val="21"/>
                <w:lang w:val="en-US" w:eastAsia="zh-CN"/>
              </w:rPr>
            </w:pPr>
            <w:r>
              <w:rPr>
                <w:rFonts w:ascii="Times New Roman" w:hAnsi="Times New Roman" w:eastAsia="Times New Roman" w:cs="Times New Roman"/>
                <w:sz w:val="21"/>
                <w:szCs w:val="21"/>
              </w:rPr>
              <w:t>7</w:t>
            </w:r>
            <w:r>
              <w:rPr>
                <w:rFonts w:hint="eastAsia" w:eastAsia="宋体" w:cs="Times New Roman"/>
                <w:sz w:val="21"/>
                <w:szCs w:val="21"/>
                <w:lang w:val="en-US" w:eastAsia="zh-CN"/>
              </w:rPr>
              <w:t>.0</w:t>
            </w:r>
          </w:p>
        </w:tc>
        <w:tc>
          <w:tcPr>
            <w:tcW w:w="634" w:type="pct"/>
            <w:tcBorders>
              <w:right w:val="nil"/>
            </w:tcBorders>
            <w:vAlign w:val="center"/>
          </w:tcPr>
          <w:p>
            <w:pPr>
              <w:spacing w:before="169" w:line="213" w:lineRule="auto"/>
              <w:ind w:left="61"/>
              <w:jc w:val="center"/>
              <w:rPr>
                <w:rFonts w:ascii="宋体" w:hAnsi="宋体" w:eastAsia="宋体" w:cs="宋体"/>
                <w:sz w:val="21"/>
                <w:szCs w:val="21"/>
              </w:rPr>
            </w:pPr>
            <w:r>
              <w:rPr>
                <w:rFonts w:ascii="Times New Roman" w:hAnsi="Times New Roman" w:eastAsia="Times New Roman" w:cs="Times New Roman"/>
                <w:spacing w:val="-5"/>
                <w:sz w:val="21"/>
                <w:szCs w:val="21"/>
              </w:rPr>
              <w:t>1</w:t>
            </w:r>
            <w:r>
              <w:rPr>
                <w:rFonts w:ascii="Times New Roman" w:hAnsi="Times New Roman" w:eastAsia="Times New Roman" w:cs="Times New Roman"/>
                <w:spacing w:val="-3"/>
                <w:sz w:val="21"/>
                <w:szCs w:val="21"/>
              </w:rPr>
              <w:t>5kg/</w:t>
            </w:r>
            <w:r>
              <w:rPr>
                <w:rFonts w:ascii="宋体" w:hAnsi="宋体" w:eastAsia="宋体" w:cs="宋体"/>
                <w:spacing w:val="-3"/>
                <w:sz w:val="21"/>
                <w:szCs w:val="21"/>
              </w:rPr>
              <w:t>桶装</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jc w:val="center"/>
        </w:trPr>
        <w:tc>
          <w:tcPr>
            <w:tcW w:w="287" w:type="pct"/>
            <w:tcBorders>
              <w:left w:val="nil"/>
            </w:tcBorders>
            <w:vAlign w:val="center"/>
          </w:tcPr>
          <w:p>
            <w:pPr>
              <w:spacing w:before="206" w:line="184" w:lineRule="auto"/>
              <w:jc w:val="center"/>
              <w:rPr>
                <w:rFonts w:ascii="Times New Roman" w:hAnsi="Times New Roman" w:eastAsia="Times New Roman" w:cs="Times New Roman"/>
                <w:sz w:val="21"/>
                <w:szCs w:val="21"/>
              </w:rPr>
            </w:pPr>
            <w:r>
              <w:rPr>
                <w:rFonts w:ascii="Times New Roman" w:hAnsi="Times New Roman" w:eastAsia="Times New Roman" w:cs="Times New Roman"/>
                <w:sz w:val="21"/>
                <w:szCs w:val="21"/>
              </w:rPr>
              <w:t>5</w:t>
            </w:r>
          </w:p>
        </w:tc>
        <w:tc>
          <w:tcPr>
            <w:tcW w:w="605" w:type="pct"/>
            <w:vAlign w:val="center"/>
          </w:tcPr>
          <w:p>
            <w:pPr>
              <w:spacing w:before="172" w:line="222" w:lineRule="auto"/>
              <w:jc w:val="center"/>
              <w:rPr>
                <w:rFonts w:ascii="宋体" w:hAnsi="宋体" w:eastAsia="宋体" w:cs="宋体"/>
                <w:sz w:val="21"/>
                <w:szCs w:val="21"/>
              </w:rPr>
            </w:pPr>
            <w:r>
              <w:rPr>
                <w:rFonts w:ascii="宋体" w:hAnsi="宋体" w:eastAsia="宋体" w:cs="宋体"/>
                <w:spacing w:val="-8"/>
                <w:sz w:val="21"/>
                <w:szCs w:val="21"/>
              </w:rPr>
              <w:t>乙</w:t>
            </w:r>
            <w:r>
              <w:rPr>
                <w:rFonts w:ascii="宋体" w:hAnsi="宋体" w:eastAsia="宋体" w:cs="宋体"/>
                <w:spacing w:val="-6"/>
                <w:sz w:val="21"/>
                <w:szCs w:val="21"/>
              </w:rPr>
              <w:t>酸乙酯</w:t>
            </w:r>
          </w:p>
        </w:tc>
        <w:tc>
          <w:tcPr>
            <w:tcW w:w="1106" w:type="pct"/>
            <w:vAlign w:val="center"/>
          </w:tcPr>
          <w:p>
            <w:pPr>
              <w:jc w:val="center"/>
              <w:rPr>
                <w:rFonts w:ascii="Arial"/>
                <w:sz w:val="21"/>
              </w:rPr>
            </w:pPr>
          </w:p>
        </w:tc>
        <w:tc>
          <w:tcPr>
            <w:tcW w:w="630" w:type="pct"/>
            <w:vAlign w:val="center"/>
          </w:tcPr>
          <w:p>
            <w:pPr>
              <w:spacing w:before="169" w:line="220" w:lineRule="auto"/>
              <w:jc w:val="center"/>
              <w:rPr>
                <w:rFonts w:ascii="宋体" w:hAnsi="宋体" w:eastAsia="宋体" w:cs="宋体"/>
                <w:sz w:val="21"/>
                <w:szCs w:val="21"/>
              </w:rPr>
            </w:pPr>
            <w:r>
              <w:rPr>
                <w:rFonts w:ascii="宋体" w:hAnsi="宋体" w:eastAsia="宋体" w:cs="宋体"/>
                <w:spacing w:val="-3"/>
                <w:sz w:val="21"/>
                <w:szCs w:val="21"/>
              </w:rPr>
              <w:t>溶</w:t>
            </w:r>
            <w:r>
              <w:rPr>
                <w:rFonts w:ascii="宋体" w:hAnsi="宋体" w:eastAsia="宋体" w:cs="宋体"/>
                <w:spacing w:val="-2"/>
                <w:sz w:val="21"/>
                <w:szCs w:val="21"/>
              </w:rPr>
              <w:t>剂</w:t>
            </w:r>
          </w:p>
        </w:tc>
        <w:tc>
          <w:tcPr>
            <w:tcW w:w="608" w:type="pct"/>
            <w:vAlign w:val="center"/>
          </w:tcPr>
          <w:p>
            <w:pPr>
              <w:spacing w:before="203" w:line="187" w:lineRule="auto"/>
              <w:jc w:val="center"/>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64</w:t>
            </w:r>
          </w:p>
        </w:tc>
        <w:tc>
          <w:tcPr>
            <w:tcW w:w="622" w:type="pct"/>
            <w:vAlign w:val="center"/>
          </w:tcPr>
          <w:p>
            <w:pPr>
              <w:spacing w:before="203" w:line="187" w:lineRule="auto"/>
              <w:jc w:val="center"/>
              <w:rPr>
                <w:rFonts w:hint="default" w:ascii="Times New Roman" w:hAnsi="Times New Roman" w:eastAsia="宋体" w:cs="Times New Roman"/>
                <w:color w:val="auto"/>
                <w:sz w:val="21"/>
                <w:szCs w:val="21"/>
                <w:lang w:eastAsia="zh-CN"/>
              </w:rPr>
            </w:pPr>
            <w:r>
              <w:rPr>
                <w:rFonts w:hint="default" w:cs="Times New Roman"/>
                <w:color w:val="auto"/>
                <w:spacing w:val="-2"/>
                <w:sz w:val="21"/>
                <w:szCs w:val="21"/>
                <w:lang w:eastAsia="zh-CN"/>
              </w:rPr>
              <w:t>45</w:t>
            </w:r>
          </w:p>
        </w:tc>
        <w:tc>
          <w:tcPr>
            <w:tcW w:w="504" w:type="pct"/>
            <w:vAlign w:val="center"/>
          </w:tcPr>
          <w:p>
            <w:pPr>
              <w:spacing w:before="203" w:line="187" w:lineRule="auto"/>
              <w:jc w:val="center"/>
              <w:rPr>
                <w:rFonts w:hint="default" w:ascii="Times New Roman" w:hAnsi="Times New Roman" w:eastAsia="宋体" w:cs="Times New Roman"/>
                <w:sz w:val="21"/>
                <w:szCs w:val="21"/>
                <w:lang w:val="en-US" w:eastAsia="zh-CN"/>
              </w:rPr>
            </w:pPr>
            <w:r>
              <w:rPr>
                <w:rFonts w:ascii="Times New Roman" w:hAnsi="Times New Roman" w:eastAsia="Times New Roman" w:cs="Times New Roman"/>
                <w:sz w:val="21"/>
                <w:szCs w:val="21"/>
              </w:rPr>
              <w:t>3</w:t>
            </w:r>
            <w:r>
              <w:rPr>
                <w:rFonts w:hint="eastAsia" w:eastAsia="宋体" w:cs="Times New Roman"/>
                <w:sz w:val="21"/>
                <w:szCs w:val="21"/>
                <w:lang w:val="en-US" w:eastAsia="zh-CN"/>
              </w:rPr>
              <w:t>.0</w:t>
            </w:r>
          </w:p>
        </w:tc>
        <w:tc>
          <w:tcPr>
            <w:tcW w:w="634" w:type="pct"/>
            <w:tcBorders>
              <w:right w:val="nil"/>
            </w:tcBorders>
            <w:vAlign w:val="center"/>
          </w:tcPr>
          <w:p>
            <w:pPr>
              <w:spacing w:before="33" w:line="226" w:lineRule="auto"/>
              <w:ind w:left="387" w:right="64" w:hanging="300"/>
              <w:jc w:val="center"/>
              <w:rPr>
                <w:rFonts w:ascii="宋体" w:hAnsi="宋体" w:eastAsia="宋体" w:cs="宋体"/>
                <w:sz w:val="21"/>
                <w:szCs w:val="21"/>
              </w:rPr>
            </w:pPr>
            <w:r>
              <w:rPr>
                <w:rFonts w:ascii="Times New Roman" w:hAnsi="Times New Roman" w:eastAsia="Times New Roman" w:cs="Times New Roman"/>
                <w:spacing w:val="-3"/>
                <w:sz w:val="21"/>
                <w:szCs w:val="21"/>
              </w:rPr>
              <w:t>17.5kg/</w:t>
            </w:r>
            <w:r>
              <w:rPr>
                <w:rFonts w:ascii="宋体" w:hAnsi="宋体" w:eastAsia="宋体" w:cs="宋体"/>
                <w:spacing w:val="-3"/>
                <w:sz w:val="21"/>
                <w:szCs w:val="21"/>
              </w:rPr>
              <w:t>桶</w:t>
            </w:r>
            <w:r>
              <w:rPr>
                <w:rFonts w:ascii="宋体" w:hAnsi="宋体" w:eastAsia="宋体" w:cs="宋体"/>
                <w:sz w:val="21"/>
                <w:szCs w:val="21"/>
              </w:rPr>
              <w:t>装</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jc w:val="center"/>
        </w:trPr>
        <w:tc>
          <w:tcPr>
            <w:tcW w:w="287" w:type="pct"/>
            <w:tcBorders>
              <w:left w:val="nil"/>
            </w:tcBorders>
            <w:vAlign w:val="center"/>
          </w:tcPr>
          <w:p>
            <w:pPr>
              <w:spacing w:before="102" w:line="187" w:lineRule="auto"/>
              <w:jc w:val="center"/>
              <w:rPr>
                <w:rFonts w:ascii="Times New Roman" w:hAnsi="Times New Roman" w:eastAsia="Times New Roman" w:cs="Times New Roman"/>
                <w:sz w:val="21"/>
                <w:szCs w:val="21"/>
              </w:rPr>
            </w:pPr>
            <w:r>
              <w:rPr>
                <w:rFonts w:ascii="Times New Roman" w:hAnsi="Times New Roman" w:eastAsia="Times New Roman" w:cs="Times New Roman"/>
                <w:sz w:val="21"/>
                <w:szCs w:val="21"/>
              </w:rPr>
              <w:t>6</w:t>
            </w:r>
          </w:p>
        </w:tc>
        <w:tc>
          <w:tcPr>
            <w:tcW w:w="605" w:type="pct"/>
            <w:vAlign w:val="center"/>
          </w:tcPr>
          <w:p>
            <w:pPr>
              <w:spacing w:before="94" w:line="220" w:lineRule="auto"/>
              <w:jc w:val="center"/>
              <w:rPr>
                <w:rFonts w:ascii="宋体" w:hAnsi="宋体" w:eastAsia="宋体" w:cs="宋体"/>
                <w:sz w:val="21"/>
                <w:szCs w:val="21"/>
              </w:rPr>
            </w:pPr>
            <w:r>
              <w:rPr>
                <w:rFonts w:ascii="宋体" w:hAnsi="宋体" w:eastAsia="宋体" w:cs="宋体"/>
                <w:spacing w:val="-6"/>
                <w:sz w:val="21"/>
                <w:szCs w:val="21"/>
              </w:rPr>
              <w:t>固</w:t>
            </w:r>
            <w:r>
              <w:rPr>
                <w:rFonts w:ascii="宋体" w:hAnsi="宋体" w:eastAsia="宋体" w:cs="宋体"/>
                <w:spacing w:val="-5"/>
                <w:sz w:val="21"/>
                <w:szCs w:val="21"/>
              </w:rPr>
              <w:t>化剂</w:t>
            </w:r>
          </w:p>
        </w:tc>
        <w:tc>
          <w:tcPr>
            <w:tcW w:w="1106" w:type="pct"/>
            <w:vAlign w:val="center"/>
          </w:tcPr>
          <w:p>
            <w:pPr>
              <w:spacing w:before="71" w:line="221" w:lineRule="auto"/>
              <w:jc w:val="center"/>
              <w:rPr>
                <w:rFonts w:ascii="宋体" w:hAnsi="宋体" w:eastAsia="宋体" w:cs="宋体"/>
                <w:sz w:val="21"/>
                <w:szCs w:val="21"/>
              </w:rPr>
            </w:pPr>
            <w:r>
              <w:rPr>
                <w:rFonts w:ascii="宋体" w:hAnsi="宋体" w:eastAsia="宋体" w:cs="宋体"/>
                <w:spacing w:val="-7"/>
                <w:sz w:val="21"/>
                <w:szCs w:val="21"/>
              </w:rPr>
              <w:t>固</w:t>
            </w:r>
            <w:r>
              <w:rPr>
                <w:rFonts w:ascii="宋体" w:hAnsi="宋体" w:eastAsia="宋体" w:cs="宋体"/>
                <w:spacing w:val="-6"/>
                <w:sz w:val="21"/>
                <w:szCs w:val="21"/>
              </w:rPr>
              <w:t>体</w:t>
            </w:r>
          </w:p>
        </w:tc>
        <w:tc>
          <w:tcPr>
            <w:tcW w:w="630" w:type="pct"/>
            <w:vAlign w:val="center"/>
          </w:tcPr>
          <w:p>
            <w:pPr>
              <w:spacing w:before="70" w:line="220" w:lineRule="auto"/>
              <w:jc w:val="center"/>
              <w:rPr>
                <w:rFonts w:ascii="宋体" w:hAnsi="宋体" w:eastAsia="宋体" w:cs="宋体"/>
                <w:sz w:val="21"/>
                <w:szCs w:val="21"/>
              </w:rPr>
            </w:pPr>
            <w:r>
              <w:rPr>
                <w:rFonts w:ascii="宋体" w:hAnsi="宋体" w:eastAsia="宋体" w:cs="宋体"/>
                <w:spacing w:val="-6"/>
                <w:sz w:val="21"/>
                <w:szCs w:val="21"/>
              </w:rPr>
              <w:t>固</w:t>
            </w:r>
            <w:r>
              <w:rPr>
                <w:rFonts w:ascii="宋体" w:hAnsi="宋体" w:eastAsia="宋体" w:cs="宋体"/>
                <w:spacing w:val="-5"/>
                <w:sz w:val="21"/>
                <w:szCs w:val="21"/>
              </w:rPr>
              <w:t>化剂</w:t>
            </w:r>
          </w:p>
        </w:tc>
        <w:tc>
          <w:tcPr>
            <w:tcW w:w="608" w:type="pct"/>
            <w:vAlign w:val="center"/>
          </w:tcPr>
          <w:p>
            <w:pPr>
              <w:spacing w:before="102" w:line="187" w:lineRule="auto"/>
              <w:jc w:val="center"/>
              <w:rPr>
                <w:rFonts w:ascii="Times New Roman" w:hAnsi="Times New Roman" w:eastAsia="Times New Roman" w:cs="Times New Roman"/>
                <w:sz w:val="21"/>
                <w:szCs w:val="21"/>
              </w:rPr>
            </w:pPr>
            <w:r>
              <w:rPr>
                <w:rFonts w:ascii="Times New Roman" w:hAnsi="Times New Roman" w:eastAsia="Times New Roman" w:cs="Times New Roman"/>
                <w:sz w:val="21"/>
                <w:szCs w:val="21"/>
              </w:rPr>
              <w:t>1</w:t>
            </w:r>
          </w:p>
        </w:tc>
        <w:tc>
          <w:tcPr>
            <w:tcW w:w="622" w:type="pct"/>
            <w:vAlign w:val="center"/>
          </w:tcPr>
          <w:p>
            <w:pPr>
              <w:spacing w:before="102" w:line="187" w:lineRule="auto"/>
              <w:jc w:val="center"/>
              <w:rPr>
                <w:rFonts w:hint="default" w:ascii="Times New Roman" w:hAnsi="Times New Roman" w:eastAsia="宋体" w:cs="Times New Roman"/>
                <w:color w:val="auto"/>
                <w:sz w:val="21"/>
                <w:szCs w:val="21"/>
                <w:lang w:eastAsia="zh-CN"/>
              </w:rPr>
            </w:pPr>
            <w:r>
              <w:rPr>
                <w:rFonts w:eastAsia="Times New Roman" w:cs="Times New Roman"/>
                <w:color w:val="auto"/>
                <w:spacing w:val="-1"/>
                <w:sz w:val="21"/>
                <w:szCs w:val="21"/>
              </w:rPr>
              <w:t>0.45</w:t>
            </w:r>
          </w:p>
        </w:tc>
        <w:tc>
          <w:tcPr>
            <w:tcW w:w="504" w:type="pct"/>
            <w:vAlign w:val="center"/>
          </w:tcPr>
          <w:p>
            <w:pPr>
              <w:jc w:val="center"/>
              <w:rPr>
                <w:rFonts w:hint="default" w:ascii="Arial" w:eastAsia="宋体"/>
                <w:sz w:val="21"/>
                <w:lang w:val="en-US" w:eastAsia="zh-CN"/>
              </w:rPr>
            </w:pPr>
            <w:r>
              <w:rPr>
                <w:rFonts w:ascii="Arial"/>
                <w:sz w:val="21"/>
              </w:rPr>
              <w:t>1</w:t>
            </w:r>
            <w:r>
              <w:rPr>
                <w:rFonts w:hint="eastAsia" w:ascii="Arial"/>
                <w:sz w:val="21"/>
                <w:lang w:val="en-US" w:eastAsia="zh-CN"/>
              </w:rPr>
              <w:t>.0</w:t>
            </w:r>
          </w:p>
        </w:tc>
        <w:tc>
          <w:tcPr>
            <w:tcW w:w="634" w:type="pct"/>
            <w:tcBorders>
              <w:right w:val="nil"/>
            </w:tcBorders>
            <w:vAlign w:val="center"/>
          </w:tcPr>
          <w:p>
            <w:pPr>
              <w:spacing w:before="71" w:line="213" w:lineRule="auto"/>
              <w:ind w:left="113"/>
              <w:jc w:val="center"/>
              <w:rPr>
                <w:rFonts w:ascii="宋体" w:hAnsi="宋体" w:eastAsia="宋体" w:cs="宋体"/>
                <w:sz w:val="21"/>
                <w:szCs w:val="21"/>
              </w:rPr>
            </w:pPr>
            <w:r>
              <w:rPr>
                <w:rFonts w:ascii="Times New Roman" w:hAnsi="Times New Roman" w:eastAsia="Times New Roman" w:cs="Times New Roman"/>
                <w:spacing w:val="-6"/>
                <w:sz w:val="21"/>
                <w:szCs w:val="21"/>
              </w:rPr>
              <w:t>1</w:t>
            </w:r>
            <w:r>
              <w:rPr>
                <w:rFonts w:ascii="Times New Roman" w:hAnsi="Times New Roman" w:eastAsia="Times New Roman" w:cs="Times New Roman"/>
                <w:spacing w:val="-3"/>
                <w:sz w:val="21"/>
                <w:szCs w:val="21"/>
              </w:rPr>
              <w:t>kg</w:t>
            </w:r>
            <w:r>
              <w:rPr>
                <w:rFonts w:ascii="Times New Roman" w:hAnsi="Times New Roman" w:eastAsia="Times New Roman" w:cs="Times New Roman"/>
                <w:spacing w:val="-4"/>
                <w:sz w:val="21"/>
                <w:szCs w:val="21"/>
              </w:rPr>
              <w:t>/</w:t>
            </w:r>
            <w:r>
              <w:rPr>
                <w:rFonts w:ascii="宋体" w:hAnsi="宋体" w:eastAsia="宋体" w:cs="宋体"/>
                <w:spacing w:val="-3"/>
                <w:sz w:val="21"/>
                <w:szCs w:val="21"/>
              </w:rPr>
              <w:t>袋装</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jc w:val="center"/>
        </w:trPr>
        <w:tc>
          <w:tcPr>
            <w:tcW w:w="287" w:type="pct"/>
            <w:tcBorders>
              <w:left w:val="nil"/>
            </w:tcBorders>
            <w:vAlign w:val="center"/>
          </w:tcPr>
          <w:p>
            <w:pPr>
              <w:spacing w:before="105" w:line="184" w:lineRule="auto"/>
              <w:jc w:val="center"/>
              <w:rPr>
                <w:rFonts w:ascii="Times New Roman" w:hAnsi="Times New Roman" w:eastAsia="Times New Roman" w:cs="Times New Roman"/>
                <w:sz w:val="21"/>
                <w:szCs w:val="21"/>
              </w:rPr>
            </w:pPr>
            <w:r>
              <w:rPr>
                <w:rFonts w:ascii="Times New Roman" w:hAnsi="Times New Roman" w:eastAsia="Times New Roman" w:cs="Times New Roman"/>
                <w:sz w:val="21"/>
                <w:szCs w:val="21"/>
              </w:rPr>
              <w:t>7</w:t>
            </w:r>
          </w:p>
        </w:tc>
        <w:tc>
          <w:tcPr>
            <w:tcW w:w="605" w:type="pct"/>
            <w:vAlign w:val="center"/>
          </w:tcPr>
          <w:p>
            <w:pPr>
              <w:spacing w:before="95" w:line="220" w:lineRule="auto"/>
              <w:jc w:val="center"/>
              <w:rPr>
                <w:rFonts w:ascii="宋体" w:hAnsi="宋体" w:eastAsia="宋体" w:cs="宋体"/>
                <w:sz w:val="21"/>
                <w:szCs w:val="21"/>
              </w:rPr>
            </w:pPr>
            <w:r>
              <w:rPr>
                <w:rFonts w:ascii="宋体" w:hAnsi="宋体" w:eastAsia="宋体" w:cs="宋体"/>
                <w:spacing w:val="-2"/>
                <w:sz w:val="21"/>
                <w:szCs w:val="21"/>
              </w:rPr>
              <w:t>离型剂</w:t>
            </w:r>
          </w:p>
        </w:tc>
        <w:tc>
          <w:tcPr>
            <w:tcW w:w="1106" w:type="pct"/>
            <w:vAlign w:val="center"/>
          </w:tcPr>
          <w:p>
            <w:pPr>
              <w:spacing w:before="69" w:line="221" w:lineRule="auto"/>
              <w:jc w:val="center"/>
              <w:rPr>
                <w:rFonts w:ascii="宋体" w:hAnsi="宋体" w:eastAsia="宋体" w:cs="宋体"/>
                <w:sz w:val="21"/>
                <w:szCs w:val="21"/>
              </w:rPr>
            </w:pPr>
            <w:r>
              <w:rPr>
                <w:rFonts w:ascii="宋体" w:hAnsi="宋体" w:eastAsia="宋体" w:cs="宋体"/>
                <w:spacing w:val="-7"/>
                <w:sz w:val="21"/>
                <w:szCs w:val="21"/>
              </w:rPr>
              <w:t>固</w:t>
            </w:r>
            <w:r>
              <w:rPr>
                <w:rFonts w:ascii="宋体" w:hAnsi="宋体" w:eastAsia="宋体" w:cs="宋体"/>
                <w:spacing w:val="-6"/>
                <w:sz w:val="21"/>
                <w:szCs w:val="21"/>
              </w:rPr>
              <w:t>体</w:t>
            </w:r>
          </w:p>
        </w:tc>
        <w:tc>
          <w:tcPr>
            <w:tcW w:w="630" w:type="pct"/>
            <w:vAlign w:val="center"/>
          </w:tcPr>
          <w:p>
            <w:pPr>
              <w:spacing w:before="68" w:line="220" w:lineRule="auto"/>
              <w:jc w:val="center"/>
              <w:rPr>
                <w:rFonts w:ascii="宋体" w:hAnsi="宋体" w:eastAsia="宋体" w:cs="宋体"/>
                <w:sz w:val="21"/>
                <w:szCs w:val="21"/>
              </w:rPr>
            </w:pPr>
            <w:r>
              <w:rPr>
                <w:rFonts w:ascii="宋体" w:hAnsi="宋体" w:eastAsia="宋体" w:cs="宋体"/>
                <w:spacing w:val="-2"/>
                <w:sz w:val="21"/>
                <w:szCs w:val="21"/>
              </w:rPr>
              <w:t>离型剂</w:t>
            </w:r>
          </w:p>
        </w:tc>
        <w:tc>
          <w:tcPr>
            <w:tcW w:w="608" w:type="pct"/>
            <w:vAlign w:val="center"/>
          </w:tcPr>
          <w:p>
            <w:pPr>
              <w:spacing w:before="102" w:line="187" w:lineRule="auto"/>
              <w:jc w:val="center"/>
              <w:rPr>
                <w:rFonts w:ascii="Times New Roman" w:hAnsi="Times New Roman" w:eastAsia="Times New Roman" w:cs="Times New Roman"/>
                <w:sz w:val="21"/>
                <w:szCs w:val="21"/>
              </w:rPr>
            </w:pPr>
            <w:r>
              <w:rPr>
                <w:rFonts w:ascii="Times New Roman" w:hAnsi="Times New Roman" w:eastAsia="Times New Roman" w:cs="Times New Roman"/>
                <w:sz w:val="21"/>
                <w:szCs w:val="21"/>
              </w:rPr>
              <w:t>1</w:t>
            </w:r>
          </w:p>
        </w:tc>
        <w:tc>
          <w:tcPr>
            <w:tcW w:w="622" w:type="pct"/>
            <w:vAlign w:val="center"/>
          </w:tcPr>
          <w:p>
            <w:pPr>
              <w:spacing w:before="102" w:line="187" w:lineRule="auto"/>
              <w:jc w:val="center"/>
              <w:rPr>
                <w:rFonts w:hint="default" w:ascii="Times New Roman" w:hAnsi="Times New Roman" w:eastAsia="宋体" w:cs="Times New Roman"/>
                <w:color w:val="auto"/>
                <w:sz w:val="21"/>
                <w:szCs w:val="21"/>
                <w:lang w:eastAsia="zh-CN"/>
              </w:rPr>
            </w:pPr>
            <w:r>
              <w:rPr>
                <w:rFonts w:eastAsia="Times New Roman" w:cs="Times New Roman"/>
                <w:color w:val="auto"/>
                <w:spacing w:val="-1"/>
                <w:sz w:val="21"/>
                <w:szCs w:val="21"/>
              </w:rPr>
              <w:t>0.45</w:t>
            </w:r>
          </w:p>
        </w:tc>
        <w:tc>
          <w:tcPr>
            <w:tcW w:w="504" w:type="pct"/>
            <w:vAlign w:val="center"/>
          </w:tcPr>
          <w:p>
            <w:pPr>
              <w:jc w:val="center"/>
              <w:rPr>
                <w:rFonts w:hint="default" w:ascii="Arial" w:eastAsia="宋体"/>
                <w:sz w:val="21"/>
                <w:lang w:val="en-US" w:eastAsia="zh-CN"/>
              </w:rPr>
            </w:pPr>
            <w:r>
              <w:rPr>
                <w:rFonts w:ascii="Arial"/>
                <w:sz w:val="21"/>
              </w:rPr>
              <w:t>1</w:t>
            </w:r>
            <w:r>
              <w:rPr>
                <w:rFonts w:hint="eastAsia" w:ascii="Arial"/>
                <w:sz w:val="21"/>
                <w:lang w:val="en-US" w:eastAsia="zh-CN"/>
              </w:rPr>
              <w:t>.0</w:t>
            </w:r>
          </w:p>
        </w:tc>
        <w:tc>
          <w:tcPr>
            <w:tcW w:w="634" w:type="pct"/>
            <w:tcBorders>
              <w:right w:val="nil"/>
            </w:tcBorders>
            <w:vAlign w:val="center"/>
          </w:tcPr>
          <w:p>
            <w:pPr>
              <w:spacing w:before="69" w:line="213" w:lineRule="auto"/>
              <w:ind w:left="113"/>
              <w:jc w:val="center"/>
              <w:rPr>
                <w:rFonts w:ascii="宋体" w:hAnsi="宋体" w:eastAsia="宋体" w:cs="宋体"/>
                <w:sz w:val="21"/>
                <w:szCs w:val="21"/>
              </w:rPr>
            </w:pPr>
            <w:r>
              <w:rPr>
                <w:rFonts w:ascii="Times New Roman" w:hAnsi="Times New Roman" w:eastAsia="Times New Roman" w:cs="Times New Roman"/>
                <w:spacing w:val="-6"/>
                <w:sz w:val="21"/>
                <w:szCs w:val="21"/>
              </w:rPr>
              <w:t>1</w:t>
            </w:r>
            <w:r>
              <w:rPr>
                <w:rFonts w:ascii="Times New Roman" w:hAnsi="Times New Roman" w:eastAsia="Times New Roman" w:cs="Times New Roman"/>
                <w:spacing w:val="-3"/>
                <w:sz w:val="21"/>
                <w:szCs w:val="21"/>
              </w:rPr>
              <w:t>kg</w:t>
            </w:r>
            <w:r>
              <w:rPr>
                <w:rFonts w:ascii="Times New Roman" w:hAnsi="Times New Roman" w:eastAsia="Times New Roman" w:cs="Times New Roman"/>
                <w:spacing w:val="-4"/>
                <w:sz w:val="21"/>
                <w:szCs w:val="21"/>
              </w:rPr>
              <w:t>/</w:t>
            </w:r>
            <w:r>
              <w:rPr>
                <w:rFonts w:ascii="宋体" w:hAnsi="宋体" w:eastAsia="宋体" w:cs="宋体"/>
                <w:spacing w:val="-3"/>
                <w:sz w:val="21"/>
                <w:szCs w:val="21"/>
              </w:rPr>
              <w:t>袋装</w:t>
            </w:r>
          </w:p>
        </w:tc>
      </w:tr>
    </w:tbl>
    <w:p>
      <w:pPr>
        <w:spacing w:before="30" w:line="214" w:lineRule="auto"/>
        <w:jc w:val="center"/>
        <w:rPr>
          <w:rFonts w:ascii="宋体" w:hAnsi="宋体" w:eastAsia="宋体" w:cs="宋体"/>
          <w:sz w:val="21"/>
          <w:szCs w:val="21"/>
        </w:rPr>
      </w:pPr>
      <w:r>
        <w:rPr>
          <w:rFonts w:ascii="宋体" w:hAnsi="宋体" w:eastAsia="宋体" w:cs="宋体"/>
          <w:spacing w:val="-5"/>
          <w:sz w:val="21"/>
          <w:szCs w:val="21"/>
          <w14:textOutline w14:w="3831" w14:cap="flat" w14:cmpd="sng">
            <w14:solidFill>
              <w14:srgbClr w14:val="000000"/>
            </w14:solidFill>
            <w14:prstDash w14:val="solid"/>
            <w14:miter w14:val="0"/>
          </w14:textOutline>
        </w:rPr>
        <w:t>能</w:t>
      </w:r>
      <w:r>
        <w:rPr>
          <w:rFonts w:ascii="宋体" w:hAnsi="宋体" w:eastAsia="宋体" w:cs="宋体"/>
          <w:spacing w:val="-3"/>
          <w:sz w:val="21"/>
          <w:szCs w:val="21"/>
          <w14:textOutline w14:w="3831" w14:cap="flat" w14:cmpd="sng">
            <w14:solidFill>
              <w14:srgbClr w14:val="000000"/>
            </w14:solidFill>
            <w14:prstDash w14:val="solid"/>
            <w14:miter w14:val="0"/>
          </w14:textOutline>
        </w:rPr>
        <w:t>源</w:t>
      </w:r>
    </w:p>
    <w:tbl>
      <w:tblPr>
        <w:tblStyle w:val="26"/>
        <w:tblW w:w="4998"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489"/>
        <w:gridCol w:w="1004"/>
        <w:gridCol w:w="1642"/>
        <w:gridCol w:w="1238"/>
        <w:gridCol w:w="1009"/>
        <w:gridCol w:w="1032"/>
        <w:gridCol w:w="1032"/>
        <w:gridCol w:w="85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5" w:hRule="atLeast"/>
          <w:jc w:val="center"/>
        </w:trPr>
        <w:tc>
          <w:tcPr>
            <w:tcW w:w="295" w:type="pct"/>
            <w:tcBorders>
              <w:left w:val="nil"/>
            </w:tcBorders>
            <w:vAlign w:val="top"/>
          </w:tcPr>
          <w:p>
            <w:pPr>
              <w:spacing w:before="120" w:line="187" w:lineRule="auto"/>
              <w:ind w:left="248"/>
              <w:rPr>
                <w:rFonts w:ascii="Times New Roman" w:hAnsi="Times New Roman" w:eastAsia="Times New Roman" w:cs="Times New Roman"/>
                <w:sz w:val="21"/>
                <w:szCs w:val="21"/>
              </w:rPr>
            </w:pPr>
            <w:r>
              <w:rPr>
                <w:rFonts w:ascii="Times New Roman" w:hAnsi="Times New Roman" w:eastAsia="Times New Roman" w:cs="Times New Roman"/>
                <w:sz w:val="21"/>
                <w:szCs w:val="21"/>
              </w:rPr>
              <w:t>8</w:t>
            </w:r>
          </w:p>
        </w:tc>
        <w:tc>
          <w:tcPr>
            <w:tcW w:w="604" w:type="pct"/>
            <w:vAlign w:val="top"/>
          </w:tcPr>
          <w:p>
            <w:pPr>
              <w:spacing w:before="127" w:line="221" w:lineRule="auto"/>
              <w:jc w:val="center"/>
              <w:rPr>
                <w:rFonts w:ascii="宋体" w:hAnsi="宋体" w:eastAsia="宋体" w:cs="宋体"/>
                <w:sz w:val="21"/>
                <w:szCs w:val="21"/>
              </w:rPr>
            </w:pPr>
            <w:r>
              <w:rPr>
                <w:rFonts w:ascii="宋体" w:hAnsi="宋体" w:eastAsia="宋体" w:cs="宋体"/>
                <w:sz w:val="21"/>
                <w:szCs w:val="21"/>
              </w:rPr>
              <w:t>水</w:t>
            </w:r>
          </w:p>
        </w:tc>
        <w:tc>
          <w:tcPr>
            <w:tcW w:w="988" w:type="pct"/>
            <w:vAlign w:val="top"/>
          </w:tcPr>
          <w:p>
            <w:pPr>
              <w:spacing w:before="86" w:line="221" w:lineRule="auto"/>
              <w:jc w:val="center"/>
              <w:rPr>
                <w:rFonts w:ascii="宋体" w:hAnsi="宋体" w:eastAsia="宋体" w:cs="宋体"/>
                <w:sz w:val="21"/>
                <w:szCs w:val="21"/>
              </w:rPr>
            </w:pPr>
            <w:r>
              <w:rPr>
                <w:rFonts w:ascii="宋体" w:hAnsi="宋体" w:eastAsia="宋体" w:cs="宋体"/>
                <w:spacing w:val="-11"/>
                <w:sz w:val="21"/>
                <w:szCs w:val="21"/>
              </w:rPr>
              <w:t>自</w:t>
            </w:r>
            <w:r>
              <w:rPr>
                <w:rFonts w:ascii="宋体" w:hAnsi="宋体" w:eastAsia="宋体" w:cs="宋体"/>
                <w:spacing w:val="-8"/>
                <w:sz w:val="21"/>
                <w:szCs w:val="21"/>
              </w:rPr>
              <w:t>来水</w:t>
            </w:r>
          </w:p>
        </w:tc>
        <w:tc>
          <w:tcPr>
            <w:tcW w:w="745" w:type="pct"/>
            <w:vAlign w:val="center"/>
          </w:tcPr>
          <w:p>
            <w:pPr>
              <w:spacing w:before="87" w:line="221" w:lineRule="auto"/>
              <w:jc w:val="center"/>
              <w:rPr>
                <w:rFonts w:ascii="宋体" w:hAnsi="宋体" w:eastAsia="宋体" w:cs="宋体"/>
                <w:sz w:val="21"/>
                <w:szCs w:val="21"/>
              </w:rPr>
            </w:pPr>
            <w:r>
              <w:rPr>
                <w:rFonts w:ascii="宋体" w:hAnsi="宋体" w:eastAsia="宋体" w:cs="宋体"/>
                <w:spacing w:val="-4"/>
                <w:sz w:val="21"/>
                <w:szCs w:val="21"/>
              </w:rPr>
              <w:t>员</w:t>
            </w:r>
            <w:r>
              <w:rPr>
                <w:rFonts w:ascii="宋体" w:hAnsi="宋体" w:eastAsia="宋体" w:cs="宋体"/>
                <w:spacing w:val="-3"/>
                <w:sz w:val="21"/>
                <w:szCs w:val="21"/>
              </w:rPr>
              <w:t>工生活</w:t>
            </w:r>
          </w:p>
        </w:tc>
        <w:tc>
          <w:tcPr>
            <w:tcW w:w="607" w:type="pct"/>
            <w:vAlign w:val="center"/>
          </w:tcPr>
          <w:p>
            <w:pPr>
              <w:spacing w:before="120" w:line="187" w:lineRule="auto"/>
              <w:jc w:val="center"/>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60</w:t>
            </w:r>
            <w:r>
              <w:rPr>
                <w:rFonts w:ascii="Times New Roman" w:hAnsi="Times New Roman" w:eastAsia="Times New Roman" w:cs="Times New Roman"/>
                <w:spacing w:val="-1"/>
                <w:sz w:val="21"/>
                <w:szCs w:val="21"/>
              </w:rPr>
              <w:t>00</w:t>
            </w:r>
          </w:p>
        </w:tc>
        <w:tc>
          <w:tcPr>
            <w:tcW w:w="621" w:type="pct"/>
            <w:vAlign w:val="center"/>
          </w:tcPr>
          <w:p>
            <w:pPr>
              <w:spacing w:before="120" w:line="187" w:lineRule="auto"/>
              <w:jc w:val="center"/>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600</w:t>
            </w:r>
          </w:p>
        </w:tc>
        <w:tc>
          <w:tcPr>
            <w:tcW w:w="621" w:type="pct"/>
            <w:vAlign w:val="top"/>
          </w:tcPr>
          <w:p>
            <w:pPr>
              <w:jc w:val="center"/>
              <w:rPr>
                <w:rFonts w:hint="eastAsia" w:ascii="Arial" w:eastAsia="宋体"/>
                <w:sz w:val="21"/>
                <w:lang w:val="en-US" w:eastAsia="zh-CN"/>
              </w:rPr>
            </w:pPr>
            <w:r>
              <w:rPr>
                <w:rFonts w:hint="eastAsia" w:ascii="Arial"/>
                <w:sz w:val="21"/>
                <w:lang w:val="en-US" w:eastAsia="zh-CN"/>
              </w:rPr>
              <w:t>/</w:t>
            </w:r>
          </w:p>
        </w:tc>
        <w:tc>
          <w:tcPr>
            <w:tcW w:w="516" w:type="pct"/>
            <w:tcBorders>
              <w:right w:val="nil"/>
            </w:tcBorders>
            <w:vAlign w:val="top"/>
          </w:tcPr>
          <w:p>
            <w:pPr>
              <w:jc w:val="center"/>
              <w:rPr>
                <w:rFonts w:hint="eastAsia" w:ascii="Arial" w:eastAsia="宋体"/>
                <w:sz w:val="21"/>
                <w:lang w:val="en-US" w:eastAsia="zh-CN"/>
              </w:rPr>
            </w:pPr>
            <w:r>
              <w:rPr>
                <w:rFonts w:hint="eastAsia" w:ascii="Arial"/>
                <w:sz w:val="21"/>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jc w:val="center"/>
        </w:trPr>
        <w:tc>
          <w:tcPr>
            <w:tcW w:w="295" w:type="pct"/>
            <w:tcBorders>
              <w:left w:val="nil"/>
            </w:tcBorders>
            <w:vAlign w:val="top"/>
          </w:tcPr>
          <w:p>
            <w:pPr>
              <w:spacing w:before="66" w:line="187" w:lineRule="auto"/>
              <w:ind w:left="243"/>
              <w:rPr>
                <w:rFonts w:ascii="Times New Roman" w:hAnsi="Times New Roman" w:eastAsia="Times New Roman" w:cs="Times New Roman"/>
                <w:sz w:val="21"/>
                <w:szCs w:val="21"/>
              </w:rPr>
            </w:pPr>
            <w:r>
              <w:rPr>
                <w:rFonts w:ascii="Times New Roman" w:hAnsi="Times New Roman" w:eastAsia="Times New Roman" w:cs="Times New Roman"/>
                <w:sz w:val="21"/>
                <w:szCs w:val="21"/>
              </w:rPr>
              <w:t>9</w:t>
            </w:r>
          </w:p>
        </w:tc>
        <w:tc>
          <w:tcPr>
            <w:tcW w:w="604" w:type="pct"/>
            <w:vAlign w:val="center"/>
          </w:tcPr>
          <w:p>
            <w:pPr>
              <w:spacing w:before="33" w:line="226" w:lineRule="auto"/>
              <w:jc w:val="center"/>
              <w:rPr>
                <w:rFonts w:ascii="宋体" w:hAnsi="宋体" w:eastAsia="宋体" w:cs="宋体"/>
                <w:sz w:val="21"/>
                <w:szCs w:val="21"/>
              </w:rPr>
            </w:pPr>
            <w:r>
              <w:rPr>
                <w:rFonts w:ascii="宋体" w:hAnsi="宋体" w:eastAsia="宋体" w:cs="宋体"/>
                <w:sz w:val="21"/>
                <w:szCs w:val="21"/>
              </w:rPr>
              <w:t>电</w:t>
            </w:r>
          </w:p>
        </w:tc>
        <w:tc>
          <w:tcPr>
            <w:tcW w:w="988" w:type="pct"/>
            <w:vAlign w:val="center"/>
          </w:tcPr>
          <w:p>
            <w:pPr>
              <w:spacing w:before="33" w:line="221" w:lineRule="auto"/>
              <w:jc w:val="center"/>
              <w:rPr>
                <w:rFonts w:ascii="宋体" w:hAnsi="宋体" w:eastAsia="宋体" w:cs="宋体"/>
                <w:sz w:val="21"/>
                <w:szCs w:val="21"/>
              </w:rPr>
            </w:pPr>
            <w:r>
              <w:rPr>
                <w:rFonts w:ascii="宋体" w:hAnsi="宋体" w:eastAsia="宋体" w:cs="宋体"/>
                <w:spacing w:val="-8"/>
                <w:sz w:val="21"/>
                <w:szCs w:val="21"/>
              </w:rPr>
              <w:t>国</w:t>
            </w:r>
            <w:r>
              <w:rPr>
                <w:rFonts w:ascii="宋体" w:hAnsi="宋体" w:eastAsia="宋体" w:cs="宋体"/>
                <w:spacing w:val="-6"/>
                <w:sz w:val="21"/>
                <w:szCs w:val="21"/>
              </w:rPr>
              <w:t>家电网</w:t>
            </w:r>
          </w:p>
        </w:tc>
        <w:tc>
          <w:tcPr>
            <w:tcW w:w="745" w:type="pct"/>
            <w:vAlign w:val="center"/>
          </w:tcPr>
          <w:p>
            <w:pPr>
              <w:spacing w:before="32" w:line="221" w:lineRule="auto"/>
              <w:jc w:val="center"/>
              <w:rPr>
                <w:rFonts w:ascii="宋体" w:hAnsi="宋体" w:eastAsia="宋体" w:cs="宋体"/>
                <w:sz w:val="21"/>
                <w:szCs w:val="21"/>
              </w:rPr>
            </w:pPr>
            <w:r>
              <w:rPr>
                <w:rFonts w:ascii="宋体" w:hAnsi="宋体" w:eastAsia="宋体" w:cs="宋体"/>
                <w:spacing w:val="-2"/>
                <w:sz w:val="21"/>
                <w:szCs w:val="21"/>
              </w:rPr>
              <w:t>生产生</w:t>
            </w:r>
            <w:r>
              <w:rPr>
                <w:rFonts w:ascii="宋体" w:hAnsi="宋体" w:eastAsia="宋体" w:cs="宋体"/>
                <w:spacing w:val="-1"/>
                <w:sz w:val="21"/>
                <w:szCs w:val="21"/>
              </w:rPr>
              <w:t>活</w:t>
            </w:r>
          </w:p>
        </w:tc>
        <w:tc>
          <w:tcPr>
            <w:tcW w:w="607" w:type="pct"/>
            <w:vAlign w:val="center"/>
          </w:tcPr>
          <w:p>
            <w:pPr>
              <w:spacing w:before="33" w:line="221" w:lineRule="auto"/>
              <w:jc w:val="center"/>
              <w:rPr>
                <w:rFonts w:ascii="宋体" w:hAnsi="宋体" w:eastAsia="宋体" w:cs="宋体"/>
                <w:sz w:val="21"/>
                <w:szCs w:val="21"/>
              </w:rPr>
            </w:pPr>
            <w:r>
              <w:rPr>
                <w:rFonts w:ascii="Times New Roman" w:hAnsi="Times New Roman" w:eastAsia="Times New Roman" w:cs="Times New Roman"/>
                <w:spacing w:val="-1"/>
                <w:sz w:val="21"/>
                <w:szCs w:val="21"/>
              </w:rPr>
              <w:t>50</w:t>
            </w:r>
            <w:r>
              <w:rPr>
                <w:rFonts w:ascii="宋体" w:hAnsi="宋体" w:eastAsia="宋体" w:cs="宋体"/>
                <w:sz w:val="21"/>
                <w:szCs w:val="21"/>
              </w:rPr>
              <w:t>万度</w:t>
            </w:r>
          </w:p>
        </w:tc>
        <w:tc>
          <w:tcPr>
            <w:tcW w:w="621" w:type="pct"/>
            <w:vAlign w:val="center"/>
          </w:tcPr>
          <w:p>
            <w:pPr>
              <w:spacing w:before="33" w:line="221" w:lineRule="auto"/>
              <w:jc w:val="center"/>
              <w:rPr>
                <w:rFonts w:ascii="宋体" w:hAnsi="宋体" w:eastAsia="宋体" w:cs="宋体"/>
                <w:sz w:val="21"/>
                <w:szCs w:val="21"/>
              </w:rPr>
            </w:pPr>
            <w:r>
              <w:rPr>
                <w:rFonts w:hint="eastAsia" w:eastAsia="宋体" w:cs="Times New Roman"/>
                <w:spacing w:val="-5"/>
                <w:sz w:val="21"/>
                <w:szCs w:val="21"/>
                <w:lang w:val="en-US" w:eastAsia="zh-CN"/>
              </w:rPr>
              <w:t>9</w:t>
            </w:r>
            <w:r>
              <w:rPr>
                <w:rFonts w:ascii="宋体" w:hAnsi="宋体" w:eastAsia="宋体" w:cs="宋体"/>
                <w:spacing w:val="-3"/>
                <w:sz w:val="21"/>
                <w:szCs w:val="21"/>
              </w:rPr>
              <w:t>万度</w:t>
            </w:r>
          </w:p>
        </w:tc>
        <w:tc>
          <w:tcPr>
            <w:tcW w:w="621" w:type="pct"/>
            <w:vAlign w:val="top"/>
          </w:tcPr>
          <w:p>
            <w:pPr>
              <w:jc w:val="center"/>
              <w:rPr>
                <w:rFonts w:hint="eastAsia" w:ascii="Arial" w:eastAsia="宋体"/>
                <w:sz w:val="21"/>
                <w:lang w:val="en-US" w:eastAsia="zh-CN"/>
              </w:rPr>
            </w:pPr>
            <w:r>
              <w:rPr>
                <w:rFonts w:hint="eastAsia" w:ascii="Arial"/>
                <w:sz w:val="21"/>
                <w:lang w:val="en-US" w:eastAsia="zh-CN"/>
              </w:rPr>
              <w:t>/</w:t>
            </w:r>
          </w:p>
        </w:tc>
        <w:tc>
          <w:tcPr>
            <w:tcW w:w="516" w:type="pct"/>
            <w:tcBorders>
              <w:right w:val="nil"/>
            </w:tcBorders>
            <w:vAlign w:val="top"/>
          </w:tcPr>
          <w:p>
            <w:pPr>
              <w:jc w:val="center"/>
              <w:rPr>
                <w:rFonts w:hint="eastAsia" w:ascii="Arial" w:eastAsia="宋体"/>
                <w:sz w:val="21"/>
                <w:lang w:val="en-US" w:eastAsia="zh-CN"/>
              </w:rPr>
            </w:pPr>
            <w:r>
              <w:rPr>
                <w:rFonts w:hint="eastAsia" w:ascii="Arial"/>
                <w:sz w:val="21"/>
                <w:lang w:val="en-US" w:eastAsia="zh-CN"/>
              </w:rPr>
              <w:t>/</w:t>
            </w:r>
          </w:p>
        </w:tc>
      </w:tr>
    </w:tbl>
    <w:p>
      <w:pPr>
        <w:rPr>
          <w:rFonts w:hint="default" w:ascii="Times New Roman" w:hAnsi="Times New Roman" w:eastAsia="宋体" w:cs="Times New Roman"/>
          <w:b/>
          <w:bCs/>
          <w:spacing w:val="-2"/>
          <w:sz w:val="21"/>
          <w:szCs w:val="21"/>
          <w:lang w:val="en-US" w:eastAsia="zh-CN"/>
        </w:rPr>
      </w:pPr>
      <w:r>
        <w:rPr>
          <w:rFonts w:hint="eastAsia" w:cs="Times New Roman"/>
          <w:b/>
          <w:bCs/>
          <w:spacing w:val="-2"/>
          <w:sz w:val="21"/>
          <w:szCs w:val="21"/>
          <w:lang w:val="en-US" w:eastAsia="zh-CN"/>
        </w:rPr>
        <w:t>注：实际生产，胶水只需添加乙酸乙酯作为容积，胶水原液本身含有甲苯，无需添加。</w:t>
      </w:r>
    </w:p>
    <w:p>
      <w:pPr>
        <w:pStyle w:val="6"/>
        <w:spacing w:beforeLines="0" w:afterLines="0"/>
        <w:rPr>
          <w:color w:val="auto"/>
          <w:sz w:val="32"/>
          <w:szCs w:val="32"/>
        </w:rPr>
      </w:pPr>
      <w:bookmarkStart w:id="47" w:name="_Toc13333"/>
      <w:bookmarkStart w:id="48" w:name="_Toc3474"/>
      <w:r>
        <w:rPr>
          <w:color w:val="auto"/>
          <w:sz w:val="32"/>
          <w:szCs w:val="32"/>
        </w:rPr>
        <w:t>3.</w:t>
      </w:r>
      <w:r>
        <w:rPr>
          <w:rFonts w:hint="eastAsia"/>
          <w:color w:val="auto"/>
          <w:sz w:val="32"/>
          <w:szCs w:val="32"/>
        </w:rPr>
        <w:t>4水源及水平衡</w:t>
      </w:r>
      <w:bookmarkEnd w:id="46"/>
      <w:bookmarkEnd w:id="47"/>
      <w:bookmarkEnd w:id="48"/>
    </w:p>
    <w:p>
      <w:pPr>
        <w:ind w:firstLine="482" w:firstLineChars="201"/>
        <w:rPr>
          <w:spacing w:val="0"/>
          <w:sz w:val="24"/>
        </w:rPr>
      </w:pPr>
      <w:r>
        <w:rPr>
          <w:rFonts w:hint="eastAsia"/>
          <w:spacing w:val="0"/>
          <w:sz w:val="24"/>
          <w:lang w:eastAsia="zh-CN"/>
        </w:rPr>
        <w:t>总厂区</w:t>
      </w:r>
      <w:r>
        <w:rPr>
          <w:spacing w:val="0"/>
          <w:sz w:val="24"/>
        </w:rPr>
        <w:t>用水量2040t/a，废水产生量为1000t/a，主要为生活污水。</w:t>
      </w:r>
    </w:p>
    <w:p>
      <w:pPr>
        <w:ind w:firstLine="482" w:firstLineChars="201"/>
        <w:rPr>
          <w:rFonts w:hint="eastAsia"/>
          <w:spacing w:val="0"/>
          <w:sz w:val="24"/>
        </w:rPr>
      </w:pPr>
      <w:r>
        <w:rPr>
          <w:spacing w:val="0"/>
          <w:sz w:val="24"/>
        </w:rPr>
        <w:t>本项目的生活污水经厂区自建的化粪池处理后排入市政污水管网，经无为城东污水处理厂处理后，排入西河。本项目实施后水平衡图见图3.4</w:t>
      </w:r>
      <w:r>
        <w:rPr>
          <w:rFonts w:hint="eastAsia"/>
          <w:spacing w:val="0"/>
          <w:sz w:val="24"/>
        </w:rPr>
        <w:t>-1。</w:t>
      </w:r>
    </w:p>
    <w:p>
      <w:pPr>
        <w:pStyle w:val="21"/>
        <w:rPr>
          <w:rFonts w:hint="eastAsia"/>
          <w:spacing w:val="-2"/>
        </w:rPr>
      </w:pPr>
    </w:p>
    <w:p>
      <w:pPr>
        <w:pStyle w:val="21"/>
        <w:rPr>
          <w:rFonts w:hint="eastAsia"/>
          <w:spacing w:val="-2"/>
        </w:rPr>
        <w:sectPr>
          <w:footerReference r:id="rId15" w:type="default"/>
          <w:pgSz w:w="11906" w:h="16838"/>
          <w:pgMar w:top="1440" w:right="1800" w:bottom="1440" w:left="1800" w:header="794" w:footer="992" w:gutter="0"/>
          <w:pgNumType w:fmt="decimal"/>
          <w:cols w:space="425" w:num="1"/>
          <w:docGrid w:type="lines" w:linePitch="312" w:charSpace="0"/>
        </w:sectPr>
      </w:pPr>
    </w:p>
    <w:p>
      <w:pPr>
        <w:pStyle w:val="21"/>
        <w:jc w:val="center"/>
      </w:pPr>
      <w:r>
        <w:drawing>
          <wp:inline distT="0" distB="0" distL="0" distR="0">
            <wp:extent cx="5562600" cy="2752090"/>
            <wp:effectExtent l="0" t="0" r="0" b="10160"/>
            <wp:docPr id="4" name="IM 14"/>
            <wp:cNvGraphicFramePr/>
            <a:graphic xmlns:a="http://schemas.openxmlformats.org/drawingml/2006/main">
              <a:graphicData uri="http://schemas.openxmlformats.org/drawingml/2006/picture">
                <pic:pic xmlns:pic="http://schemas.openxmlformats.org/drawingml/2006/picture">
                  <pic:nvPicPr>
                    <pic:cNvPr id="4" name="IM 14"/>
                    <pic:cNvPicPr/>
                  </pic:nvPicPr>
                  <pic:blipFill>
                    <a:blip r:embed="rId33"/>
                    <a:stretch>
                      <a:fillRect/>
                    </a:stretch>
                  </pic:blipFill>
                  <pic:spPr>
                    <a:xfrm>
                      <a:off x="0" y="0"/>
                      <a:ext cx="5562600" cy="2752090"/>
                    </a:xfrm>
                    <a:prstGeom prst="rect">
                      <a:avLst/>
                    </a:prstGeom>
                  </pic:spPr>
                </pic:pic>
              </a:graphicData>
            </a:graphic>
          </wp:inline>
        </w:drawing>
      </w:r>
    </w:p>
    <w:p>
      <w:pPr>
        <w:jc w:val="center"/>
        <w:rPr>
          <w:rFonts w:hint="default" w:ascii="Times New Roman" w:hAnsi="Times New Roman" w:eastAsia="黑体" w:cs="Times New Roman"/>
          <w:b w:val="0"/>
          <w:bCs w:val="0"/>
          <w:sz w:val="21"/>
          <w:szCs w:val="21"/>
          <w:lang w:val="en-US" w:eastAsia="zh-CN"/>
        </w:rPr>
      </w:pPr>
      <w:r>
        <w:rPr>
          <w:rFonts w:hint="default" w:ascii="Times New Roman" w:hAnsi="Times New Roman" w:eastAsia="黑体" w:cs="Times New Roman"/>
          <w:b w:val="0"/>
          <w:bCs w:val="0"/>
          <w:sz w:val="21"/>
          <w:szCs w:val="21"/>
          <w:lang w:val="en-US" w:eastAsia="zh-CN"/>
        </w:rPr>
        <w:t>图</w:t>
      </w:r>
      <w:r>
        <w:rPr>
          <w:rFonts w:hint="eastAsia" w:ascii="Times New Roman" w:hAnsi="Times New Roman" w:eastAsia="黑体" w:cs="Times New Roman"/>
          <w:b w:val="0"/>
          <w:bCs w:val="0"/>
          <w:sz w:val="21"/>
          <w:szCs w:val="21"/>
          <w:lang w:val="en-US" w:eastAsia="zh-CN"/>
        </w:rPr>
        <w:t>3.4</w:t>
      </w:r>
      <w:r>
        <w:rPr>
          <w:rFonts w:hint="default" w:ascii="Times New Roman" w:hAnsi="Times New Roman" w:eastAsia="黑体" w:cs="Times New Roman"/>
          <w:b w:val="0"/>
          <w:bCs w:val="0"/>
          <w:sz w:val="21"/>
          <w:szCs w:val="21"/>
          <w:lang w:val="en-US" w:eastAsia="zh-CN"/>
        </w:rPr>
        <w:t>-1</w:t>
      </w:r>
      <w:r>
        <w:rPr>
          <w:rFonts w:hint="eastAsia" w:ascii="Times New Roman" w:hAnsi="Times New Roman" w:eastAsia="黑体" w:cs="Times New Roman"/>
          <w:b w:val="0"/>
          <w:bCs w:val="0"/>
          <w:sz w:val="21"/>
          <w:szCs w:val="21"/>
          <w:lang w:val="en-US" w:eastAsia="zh-CN"/>
        </w:rPr>
        <w:t xml:space="preserve">  </w:t>
      </w:r>
      <w:r>
        <w:rPr>
          <w:rFonts w:hint="eastAsia" w:eastAsia="黑体" w:cs="Times New Roman"/>
          <w:b w:val="0"/>
          <w:bCs w:val="0"/>
          <w:sz w:val="21"/>
          <w:szCs w:val="21"/>
          <w:lang w:val="en-US" w:eastAsia="zh-CN"/>
        </w:rPr>
        <w:t>全厂</w:t>
      </w:r>
      <w:r>
        <w:rPr>
          <w:rFonts w:hint="default" w:ascii="Times New Roman" w:hAnsi="Times New Roman" w:eastAsia="黑体" w:cs="Times New Roman"/>
          <w:b w:val="0"/>
          <w:bCs w:val="0"/>
          <w:sz w:val="21"/>
          <w:szCs w:val="21"/>
          <w:lang w:val="en-US" w:eastAsia="zh-CN"/>
        </w:rPr>
        <w:t>水平衡图（单位</w:t>
      </w:r>
      <w:r>
        <w:rPr>
          <w:rFonts w:hint="eastAsia" w:ascii="Times New Roman" w:hAnsi="Times New Roman" w:eastAsia="黑体" w:cs="Times New Roman"/>
          <w:b w:val="0"/>
          <w:bCs w:val="0"/>
          <w:sz w:val="21"/>
          <w:szCs w:val="21"/>
          <w:lang w:val="en-US" w:eastAsia="zh-CN"/>
        </w:rPr>
        <w:t>m</w:t>
      </w:r>
      <w:r>
        <w:rPr>
          <w:rFonts w:hint="eastAsia" w:ascii="Times New Roman" w:hAnsi="Times New Roman" w:eastAsia="黑体" w:cs="Times New Roman"/>
          <w:b w:val="0"/>
          <w:bCs w:val="0"/>
          <w:sz w:val="21"/>
          <w:szCs w:val="21"/>
          <w:vertAlign w:val="superscript"/>
          <w:lang w:val="en-US" w:eastAsia="zh-CN"/>
        </w:rPr>
        <w:t>3</w:t>
      </w:r>
      <w:r>
        <w:rPr>
          <w:rFonts w:hint="default" w:ascii="Times New Roman" w:hAnsi="Times New Roman" w:eastAsia="黑体" w:cs="Times New Roman"/>
          <w:b w:val="0"/>
          <w:bCs w:val="0"/>
          <w:sz w:val="21"/>
          <w:szCs w:val="21"/>
          <w:lang w:val="en-US" w:eastAsia="zh-CN"/>
        </w:rPr>
        <w:t>/</w:t>
      </w:r>
      <w:r>
        <w:rPr>
          <w:rFonts w:hint="eastAsia" w:ascii="Times New Roman" w:hAnsi="Times New Roman" w:eastAsia="黑体" w:cs="Times New Roman"/>
          <w:b w:val="0"/>
          <w:bCs w:val="0"/>
          <w:sz w:val="21"/>
          <w:szCs w:val="21"/>
          <w:lang w:val="en-US" w:eastAsia="zh-CN"/>
        </w:rPr>
        <w:t>d</w:t>
      </w:r>
      <w:r>
        <w:rPr>
          <w:rFonts w:hint="default" w:ascii="Times New Roman" w:hAnsi="Times New Roman" w:eastAsia="黑体" w:cs="Times New Roman"/>
          <w:b w:val="0"/>
          <w:bCs w:val="0"/>
          <w:sz w:val="21"/>
          <w:szCs w:val="21"/>
          <w:lang w:val="en-US" w:eastAsia="zh-CN"/>
        </w:rPr>
        <w:t>）</w:t>
      </w:r>
    </w:p>
    <w:p>
      <w:pPr>
        <w:pStyle w:val="6"/>
        <w:spacing w:before="156" w:after="156"/>
        <w:rPr>
          <w:color w:val="auto"/>
        </w:rPr>
        <w:sectPr>
          <w:footerReference r:id="rId16" w:type="default"/>
          <w:pgSz w:w="11906" w:h="16838"/>
          <w:pgMar w:top="1800" w:right="1440" w:bottom="1800" w:left="1440" w:header="794" w:footer="992" w:gutter="0"/>
          <w:pgNumType w:fmt="decimal"/>
          <w:cols w:space="425" w:num="1"/>
          <w:docGrid w:type="lines" w:linePitch="312" w:charSpace="0"/>
        </w:sectPr>
      </w:pPr>
      <w:bookmarkStart w:id="49" w:name="_Toc9780"/>
      <w:bookmarkStart w:id="50" w:name="_Toc17694"/>
    </w:p>
    <w:p>
      <w:pPr>
        <w:pStyle w:val="6"/>
        <w:keepNext/>
        <w:pageBreakBefore w:val="0"/>
        <w:widowControl w:val="0"/>
        <w:kinsoku/>
        <w:wordWrap/>
        <w:overflowPunct/>
        <w:topLinePunct w:val="0"/>
        <w:autoSpaceDE/>
        <w:autoSpaceDN/>
        <w:bidi w:val="0"/>
        <w:adjustRightInd/>
        <w:snapToGrid/>
        <w:spacing w:beforeLines="0" w:afterLines="0"/>
        <w:ind w:firstLine="0" w:firstLineChars="0"/>
        <w:textAlignment w:val="auto"/>
        <w:rPr>
          <w:color w:val="auto"/>
          <w:sz w:val="32"/>
          <w:szCs w:val="32"/>
        </w:rPr>
      </w:pPr>
      <w:bookmarkStart w:id="51" w:name="_Toc31156"/>
      <w:r>
        <w:rPr>
          <w:color w:val="auto"/>
          <w:sz w:val="32"/>
          <w:szCs w:val="32"/>
        </w:rPr>
        <w:t>3.</w:t>
      </w:r>
      <w:r>
        <w:rPr>
          <w:rFonts w:hint="eastAsia"/>
          <w:color w:val="auto"/>
          <w:sz w:val="32"/>
          <w:szCs w:val="32"/>
        </w:rPr>
        <w:t>5生产工艺</w:t>
      </w:r>
      <w:bookmarkEnd w:id="49"/>
      <w:bookmarkEnd w:id="50"/>
      <w:bookmarkEnd w:id="51"/>
    </w:p>
    <w:p>
      <w:pPr>
        <w:pStyle w:val="7"/>
        <w:keepNext/>
        <w:pageBreakBefore w:val="0"/>
        <w:widowControl w:val="0"/>
        <w:kinsoku/>
        <w:wordWrap/>
        <w:overflowPunct/>
        <w:topLinePunct w:val="0"/>
        <w:autoSpaceDE/>
        <w:autoSpaceDN/>
        <w:bidi w:val="0"/>
        <w:adjustRightInd/>
        <w:snapToGrid/>
        <w:spacing w:beforeLines="0" w:afterLines="0"/>
        <w:ind w:firstLine="0" w:firstLineChars="0"/>
        <w:textAlignment w:val="auto"/>
        <w:rPr>
          <w:sz w:val="30"/>
          <w:szCs w:val="30"/>
        </w:rPr>
      </w:pPr>
      <w:bookmarkStart w:id="52" w:name="_Toc2746"/>
      <w:r>
        <w:rPr>
          <w:rFonts w:hint="eastAsia"/>
          <w:sz w:val="30"/>
          <w:szCs w:val="30"/>
        </w:rPr>
        <w:t>3.5.1工艺流程</w:t>
      </w:r>
      <w:bookmarkEnd w:id="52"/>
    </w:p>
    <w:p>
      <w:pPr>
        <w:ind w:firstLine="480" w:firstLineChars="200"/>
        <w:rPr>
          <w:spacing w:val="0"/>
          <w:sz w:val="24"/>
        </w:rPr>
      </w:pPr>
      <w:r>
        <w:rPr>
          <w:spacing w:val="0"/>
          <w:sz w:val="24"/>
        </w:rPr>
        <w:t>本项目建设锂电池胶带生产线产线。锂电池胶带根据用途分为锂电池终止胶带，PACK胶带，保护膜胶带，极耳胶带，高温胶带，固定胶带，可移动胶带，双面胶带等。</w:t>
      </w:r>
    </w:p>
    <w:p>
      <w:pPr>
        <w:ind w:firstLine="480" w:firstLineChars="200"/>
        <w:rPr>
          <w:spacing w:val="0"/>
          <w:sz w:val="24"/>
        </w:rPr>
      </w:pPr>
      <w:r>
        <w:rPr>
          <w:spacing w:val="0"/>
          <w:sz w:val="24"/>
        </w:rPr>
        <w:t>锂离子胶带结构：锂电池胶带是由基材和专用胶水构成，基材一般采用PP、PET、PI薄膜、纸、布等绝缘材料，在此其表面上涂上耐锂电池电解液专用丙烯酸树脂胶水。</w:t>
      </w:r>
    </w:p>
    <w:p>
      <w:pPr>
        <w:ind w:firstLine="480" w:firstLineChars="200"/>
        <w:rPr>
          <w:color w:val="000000"/>
        </w:rPr>
      </w:pPr>
      <w:r>
        <w:rPr>
          <w:rFonts w:hint="eastAsia"/>
          <w:lang w:eastAsia="zh-CN"/>
        </w:rPr>
        <w:t>锂电池胶带生产</w:t>
      </w:r>
      <w:r>
        <w:t>工艺流程图简图如下：</w:t>
      </w:r>
    </w:p>
    <w:p>
      <w:pPr>
        <w:jc w:val="center"/>
        <w:rPr>
          <w:color w:val="000000"/>
        </w:rPr>
      </w:pPr>
      <w:r>
        <w:drawing>
          <wp:inline distT="0" distB="0" distL="0" distR="0">
            <wp:extent cx="4902200" cy="5051425"/>
            <wp:effectExtent l="0" t="0" r="12700" b="15875"/>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r:embed="rId34"/>
                    <a:stretch>
                      <a:fillRect/>
                    </a:stretch>
                  </pic:blipFill>
                  <pic:spPr>
                    <a:xfrm>
                      <a:off x="0" y="0"/>
                      <a:ext cx="4902834" cy="5052059"/>
                    </a:xfrm>
                    <a:prstGeom prst="rect">
                      <a:avLst/>
                    </a:prstGeom>
                  </pic:spPr>
                </pic:pic>
              </a:graphicData>
            </a:graphic>
          </wp:inline>
        </w:drawing>
      </w:r>
    </w:p>
    <w:p>
      <w:pPr>
        <w:jc w:val="center"/>
        <w:rPr>
          <w:rFonts w:hint="default" w:ascii="Times New Roman" w:hAnsi="Times New Roman" w:eastAsia="黑体" w:cs="Times New Roman"/>
          <w:b w:val="0"/>
          <w:bCs w:val="0"/>
          <w:sz w:val="21"/>
          <w:szCs w:val="21"/>
          <w:lang w:val="en-US" w:eastAsia="zh-CN"/>
        </w:rPr>
      </w:pPr>
      <w:r>
        <w:rPr>
          <w:rFonts w:hint="eastAsia" w:ascii="Times New Roman" w:hAnsi="Times New Roman" w:eastAsia="黑体" w:cs="Times New Roman"/>
          <w:b w:val="0"/>
          <w:bCs w:val="0"/>
          <w:sz w:val="21"/>
          <w:szCs w:val="21"/>
          <w:lang w:val="en-US" w:eastAsia="zh-CN"/>
        </w:rPr>
        <w:t xml:space="preserve">图3.5-1  </w:t>
      </w:r>
      <w:r>
        <w:rPr>
          <w:rFonts w:hint="default" w:ascii="Times New Roman" w:hAnsi="Times New Roman" w:eastAsia="黑体" w:cs="Times New Roman"/>
          <w:b w:val="0"/>
          <w:bCs w:val="0"/>
          <w:sz w:val="21"/>
          <w:szCs w:val="21"/>
          <w:lang w:val="en-US" w:eastAsia="zh-CN"/>
        </w:rPr>
        <w:t>锂电池胶带生产工艺及产污节点图</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ascii="宋体" w:hAnsi="宋体" w:eastAsia="宋体" w:cs="宋体"/>
          <w:spacing w:val="0"/>
          <w:sz w:val="24"/>
          <w:szCs w:val="24"/>
        </w:rPr>
      </w:pPr>
      <w:bookmarkStart w:id="53" w:name="_Toc29150"/>
      <w:r>
        <w:rPr>
          <w:rFonts w:ascii="宋体" w:hAnsi="宋体" w:eastAsia="宋体" w:cs="宋体"/>
          <w:spacing w:val="0"/>
          <w:sz w:val="24"/>
          <w:szCs w:val="24"/>
        </w:rPr>
        <w:t>工艺简介：</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s="Times New Roman"/>
          <w:spacing w:val="0"/>
          <w:sz w:val="24"/>
          <w:szCs w:val="24"/>
        </w:rPr>
      </w:pPr>
      <w:r>
        <w:rPr>
          <w:rFonts w:hint="default" w:ascii="Times New Roman" w:hAnsi="Times New Roman" w:eastAsia="宋体" w:cs="Times New Roman"/>
          <w:spacing w:val="0"/>
          <w:sz w:val="24"/>
          <w:szCs w:val="24"/>
        </w:rPr>
        <w:t>(</w:t>
      </w:r>
      <w:r>
        <w:rPr>
          <w:rFonts w:hint="default" w:ascii="Times New Roman" w:hAnsi="Times New Roman" w:eastAsia="Times New Roman" w:cs="Times New Roman"/>
          <w:spacing w:val="0"/>
          <w:sz w:val="24"/>
          <w:szCs w:val="24"/>
        </w:rPr>
        <w:t>1</w:t>
      </w:r>
      <w:r>
        <w:rPr>
          <w:rFonts w:hint="default" w:ascii="Times New Roman" w:hAnsi="Times New Roman" w:eastAsia="宋体" w:cs="Times New Roman"/>
          <w:spacing w:val="0"/>
          <w:sz w:val="24"/>
          <w:szCs w:val="24"/>
        </w:rPr>
        <w:t>)搅拌</w:t>
      </w:r>
    </w:p>
    <w:p>
      <w:pPr>
        <w:keepNext w:val="0"/>
        <w:keepLines w:val="0"/>
        <w:pageBreakBefore w:val="0"/>
        <w:widowControl w:val="0"/>
        <w:kinsoku/>
        <w:wordWrap/>
        <w:overflowPunct/>
        <w:topLinePunct w:val="0"/>
        <w:autoSpaceDE/>
        <w:autoSpaceDN/>
        <w:bidi w:val="0"/>
        <w:adjustRightInd/>
        <w:snapToGrid/>
        <w:ind w:firstLine="482"/>
        <w:textAlignment w:val="auto"/>
        <w:rPr>
          <w:rFonts w:ascii="宋体" w:hAnsi="宋体" w:cs="宋体"/>
          <w:spacing w:val="0"/>
          <w:sz w:val="24"/>
        </w:rPr>
      </w:pPr>
      <w:r>
        <w:rPr>
          <w:rFonts w:ascii="宋体" w:hAnsi="宋体" w:cs="宋体"/>
          <w:spacing w:val="0"/>
          <w:sz w:val="24"/>
        </w:rPr>
        <w:t>离型剂、溶剂经精确计量后投入搅拌机，全程密闭，由于本项目投料采用人工投料+机械投料，离型剂为粉末状经人工称量后投入搅拌机中，溶剂由管道投入搅拌机中，投料过程密闭车间内进行，无粉尘产生。密闭搅拌均匀后制成浆状的涂布物质。溶剂采用甲苯或乙酸乙酯，在后面的涂布干燥过程中甲苯或乙酸乙酯全部挥发，剩余物料全部留在基材上，成为锂离子胶带的黏粘性物质。</w:t>
      </w:r>
    </w:p>
    <w:p>
      <w:pPr>
        <w:keepNext w:val="0"/>
        <w:keepLines w:val="0"/>
        <w:pageBreakBefore w:val="0"/>
        <w:widowControl w:val="0"/>
        <w:kinsoku/>
        <w:wordWrap/>
        <w:overflowPunct/>
        <w:topLinePunct w:val="0"/>
        <w:autoSpaceDE/>
        <w:autoSpaceDN/>
        <w:bidi w:val="0"/>
        <w:adjustRightInd/>
        <w:snapToGrid/>
        <w:ind w:firstLine="482"/>
        <w:textAlignment w:val="auto"/>
        <w:rPr>
          <w:rFonts w:ascii="宋体" w:hAnsi="宋体" w:cs="宋体"/>
          <w:spacing w:val="0"/>
          <w:sz w:val="24"/>
        </w:rPr>
      </w:pPr>
      <w:r>
        <w:rPr>
          <w:rFonts w:ascii="宋体" w:hAnsi="宋体" w:cs="宋体"/>
          <w:spacing w:val="0"/>
          <w:sz w:val="24"/>
        </w:rPr>
        <w:t>固化剂、色膏经电子称精确计量后投入搅拌机，溶剂和胶水由管道投入搅拌机中，该投料过程也为密闭投料。密闭搅拌均匀后制成浆状的物质。胶水浆料采用甲苯或乙酸乙酯作为溶剂，在后面的上胶干燥过程中水全部挥发，其余的胶水、色膏、固化剂等全部留在集流体上，成为锂离子胶带的黏粘性物质。</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s="Times New Roman"/>
          <w:spacing w:val="0"/>
          <w:sz w:val="24"/>
          <w:szCs w:val="24"/>
        </w:rPr>
      </w:pPr>
      <w:r>
        <w:rPr>
          <w:rFonts w:hint="default" w:ascii="Times New Roman" w:hAnsi="Times New Roman" w:eastAsia="宋体" w:cs="Times New Roman"/>
          <w:spacing w:val="0"/>
          <w:sz w:val="24"/>
          <w:szCs w:val="24"/>
        </w:rPr>
        <w:t>搅拌工序示意见图3</w:t>
      </w:r>
      <w:r>
        <w:rPr>
          <w:rFonts w:hint="default" w:ascii="Times New Roman" w:hAnsi="Times New Roman" w:eastAsia="宋体" w:cs="Times New Roman"/>
          <w:spacing w:val="0"/>
          <w:sz w:val="24"/>
          <w:szCs w:val="24"/>
          <w:lang w:val="en-US" w:eastAsia="zh-CN"/>
        </w:rPr>
        <w:t>.5-2</w:t>
      </w:r>
      <w:r>
        <w:rPr>
          <w:rFonts w:hint="default" w:ascii="Times New Roman" w:hAnsi="Times New Roman" w:eastAsia="宋体" w:cs="Times New Roman"/>
          <w:spacing w:val="0"/>
          <w:sz w:val="24"/>
          <w:szCs w:val="24"/>
        </w:rPr>
        <w:t>。</w:t>
      </w:r>
    </w:p>
    <w:p>
      <w:pPr>
        <w:spacing w:before="188" w:line="3420" w:lineRule="exact"/>
        <w:ind w:firstLine="868"/>
        <w:textAlignment w:val="center"/>
      </w:pPr>
      <w:r>
        <w:drawing>
          <wp:inline distT="0" distB="0" distL="0" distR="0">
            <wp:extent cx="4181475" cy="2171700"/>
            <wp:effectExtent l="0" t="0" r="9525" b="0"/>
            <wp:docPr id="9" name="IM 8"/>
            <wp:cNvGraphicFramePr/>
            <a:graphic xmlns:a="http://schemas.openxmlformats.org/drawingml/2006/main">
              <a:graphicData uri="http://schemas.openxmlformats.org/drawingml/2006/picture">
                <pic:pic xmlns:pic="http://schemas.openxmlformats.org/drawingml/2006/picture">
                  <pic:nvPicPr>
                    <pic:cNvPr id="9" name="IM 8"/>
                    <pic:cNvPicPr/>
                  </pic:nvPicPr>
                  <pic:blipFill>
                    <a:blip r:embed="rId35"/>
                    <a:stretch>
                      <a:fillRect/>
                    </a:stretch>
                  </pic:blipFill>
                  <pic:spPr>
                    <a:xfrm>
                      <a:off x="0" y="0"/>
                      <a:ext cx="4181475" cy="2171700"/>
                    </a:xfrm>
                    <a:prstGeom prst="rect">
                      <a:avLst/>
                    </a:prstGeom>
                  </pic:spPr>
                </pic:pic>
              </a:graphicData>
            </a:graphic>
          </wp:inline>
        </w:drawing>
      </w:r>
    </w:p>
    <w:p>
      <w:pPr>
        <w:jc w:val="center"/>
        <w:rPr>
          <w:rFonts w:hint="default" w:ascii="Times New Roman" w:hAnsi="Times New Roman" w:eastAsia="黑体" w:cs="Times New Roman"/>
          <w:b w:val="0"/>
          <w:bCs w:val="0"/>
          <w:sz w:val="21"/>
          <w:szCs w:val="21"/>
          <w:lang w:val="en-US" w:eastAsia="zh-CN"/>
        </w:rPr>
      </w:pPr>
      <w:r>
        <w:rPr>
          <w:rFonts w:hint="default" w:ascii="Times New Roman" w:hAnsi="Times New Roman" w:eastAsia="黑体" w:cs="Times New Roman"/>
          <w:b w:val="0"/>
          <w:bCs w:val="0"/>
          <w:sz w:val="21"/>
          <w:szCs w:val="21"/>
          <w:lang w:val="en-US" w:eastAsia="zh-CN"/>
        </w:rPr>
        <w:t>图</w:t>
      </w:r>
      <w:r>
        <w:rPr>
          <w:rFonts w:hint="eastAsia" w:ascii="Times New Roman" w:hAnsi="Times New Roman" w:eastAsia="黑体" w:cs="Times New Roman"/>
          <w:b w:val="0"/>
          <w:bCs w:val="0"/>
          <w:sz w:val="21"/>
          <w:szCs w:val="21"/>
          <w:lang w:val="en-US" w:eastAsia="zh-CN"/>
        </w:rPr>
        <w:t>3.5-2</w:t>
      </w:r>
      <w:r>
        <w:rPr>
          <w:rFonts w:hint="default" w:ascii="Times New Roman" w:hAnsi="Times New Roman" w:eastAsia="黑体" w:cs="Times New Roman"/>
          <w:b w:val="0"/>
          <w:bCs w:val="0"/>
          <w:sz w:val="21"/>
          <w:szCs w:val="21"/>
          <w:lang w:val="en-US" w:eastAsia="zh-CN"/>
        </w:rPr>
        <w:t>搅拌工序示意图</w:t>
      </w:r>
    </w:p>
    <w:p>
      <w:pPr>
        <w:keepNext w:val="0"/>
        <w:keepLines w:val="0"/>
        <w:pageBreakBefore w:val="0"/>
        <w:widowControl w:val="0"/>
        <w:kinsoku/>
        <w:wordWrap/>
        <w:overflowPunct/>
        <w:topLinePunct w:val="0"/>
        <w:autoSpaceDE/>
        <w:autoSpaceDN/>
        <w:bidi w:val="0"/>
        <w:adjustRightInd/>
        <w:snapToGrid/>
        <w:ind w:firstLine="482"/>
        <w:textAlignment w:val="auto"/>
        <w:rPr>
          <w:rFonts w:ascii="宋体" w:hAnsi="宋体" w:cs="宋体"/>
          <w:spacing w:val="0"/>
          <w:sz w:val="24"/>
        </w:rPr>
      </w:pPr>
      <w:r>
        <w:rPr>
          <w:rFonts w:hint="default" w:ascii="Times New Roman" w:hAnsi="Times New Roman" w:cs="Times New Roman"/>
          <w:spacing w:val="0"/>
          <w:sz w:val="24"/>
        </w:rPr>
        <w:t>(2)涂布干燥</w:t>
      </w:r>
    </w:p>
    <w:p>
      <w:pPr>
        <w:keepNext w:val="0"/>
        <w:keepLines w:val="0"/>
        <w:pageBreakBefore w:val="0"/>
        <w:widowControl w:val="0"/>
        <w:kinsoku/>
        <w:wordWrap/>
        <w:overflowPunct/>
        <w:topLinePunct w:val="0"/>
        <w:autoSpaceDE/>
        <w:autoSpaceDN/>
        <w:bidi w:val="0"/>
        <w:adjustRightInd/>
        <w:snapToGrid/>
        <w:ind w:firstLine="482"/>
        <w:textAlignment w:val="auto"/>
        <w:rPr>
          <w:rFonts w:hint="default" w:ascii="Times New Roman" w:hAnsi="Times New Roman" w:cs="Times New Roman"/>
          <w:spacing w:val="0"/>
          <w:sz w:val="24"/>
        </w:rPr>
      </w:pPr>
      <w:r>
        <w:rPr>
          <w:rFonts w:hint="default" w:ascii="Times New Roman" w:hAnsi="Times New Roman" w:cs="Times New Roman"/>
          <w:spacing w:val="0"/>
          <w:sz w:val="24"/>
        </w:rPr>
        <w:t>涂布过程，即卷成筒状的集流体材料在机械的带动下匀速通过盛有胶水的槽子，使混合膏料均匀涂布于基材的一面。涂布后的基材进入干燥箱进行干燥，干燥箱采用电加热，干燥温度约为70-150℃，逐渐加热烘干保证胶水中的稀释剂全部挥发，而其他物质不会分解或损失。干燥后进行收卷，供下一步工序进行加工。溶剂全部挥发进入废气处理系统，该回收系统采用密闭循环的管道，不向外界直接排放废气。根据生产需要，涂布机头、胶槽每年需进行定期清理，清理下废渣委托处置。产生废抹布、手套及少量无组织挥发废气。</w:t>
      </w:r>
    </w:p>
    <w:p>
      <w:pPr>
        <w:keepNext w:val="0"/>
        <w:keepLines w:val="0"/>
        <w:pageBreakBefore w:val="0"/>
        <w:widowControl w:val="0"/>
        <w:kinsoku/>
        <w:wordWrap/>
        <w:overflowPunct/>
        <w:topLinePunct w:val="0"/>
        <w:autoSpaceDE/>
        <w:autoSpaceDN/>
        <w:bidi w:val="0"/>
        <w:adjustRightInd/>
        <w:snapToGrid/>
        <w:ind w:firstLine="482"/>
        <w:textAlignment w:val="auto"/>
        <w:rPr>
          <w:rFonts w:hint="default" w:ascii="Times New Roman" w:hAnsi="Times New Roman" w:cs="Times New Roman"/>
          <w:spacing w:val="0"/>
          <w:sz w:val="24"/>
        </w:rPr>
      </w:pPr>
      <w:r>
        <w:rPr>
          <w:rFonts w:hint="default" w:ascii="Times New Roman" w:hAnsi="Times New Roman" w:cs="Times New Roman"/>
          <w:spacing w:val="0"/>
          <w:sz w:val="24"/>
        </w:rPr>
        <w:t>本项目锂电池胶带设备连接示意图详见图3</w:t>
      </w:r>
      <w:r>
        <w:rPr>
          <w:rFonts w:hint="eastAsia" w:cs="Times New Roman"/>
          <w:spacing w:val="0"/>
          <w:sz w:val="24"/>
          <w:lang w:val="en-US" w:eastAsia="zh-CN"/>
        </w:rPr>
        <w:t>.</w:t>
      </w:r>
      <w:r>
        <w:rPr>
          <w:rFonts w:hint="default" w:ascii="Times New Roman" w:hAnsi="Times New Roman" w:cs="Times New Roman"/>
          <w:spacing w:val="0"/>
          <w:sz w:val="24"/>
        </w:rPr>
        <w:t>5</w:t>
      </w:r>
      <w:r>
        <w:rPr>
          <w:rFonts w:hint="eastAsia" w:cs="Times New Roman"/>
          <w:spacing w:val="0"/>
          <w:sz w:val="24"/>
          <w:lang w:val="en-US" w:eastAsia="zh-CN"/>
        </w:rPr>
        <w:t>-3</w:t>
      </w:r>
      <w:r>
        <w:rPr>
          <w:rFonts w:hint="default" w:ascii="Times New Roman" w:hAnsi="Times New Roman" w:cs="Times New Roman"/>
          <w:spacing w:val="0"/>
          <w:sz w:val="24"/>
        </w:rPr>
        <w:t>和图3</w:t>
      </w:r>
      <w:r>
        <w:rPr>
          <w:rFonts w:hint="eastAsia" w:cs="Times New Roman"/>
          <w:spacing w:val="0"/>
          <w:sz w:val="24"/>
          <w:lang w:val="en-US" w:eastAsia="zh-CN"/>
        </w:rPr>
        <w:t>.5-4</w:t>
      </w:r>
      <w:r>
        <w:rPr>
          <w:rFonts w:hint="default" w:ascii="Times New Roman" w:hAnsi="Times New Roman" w:cs="Times New Roman"/>
          <w:spacing w:val="0"/>
          <w:sz w:val="24"/>
        </w:rPr>
        <w:t>。</w:t>
      </w:r>
    </w:p>
    <w:p>
      <w:pPr>
        <w:pStyle w:val="10"/>
        <w:rPr>
          <w:rFonts w:ascii="宋体" w:hAnsi="宋体" w:cs="宋体"/>
          <w:spacing w:val="0"/>
          <w:sz w:val="24"/>
        </w:rPr>
      </w:pPr>
    </w:p>
    <w:p/>
    <w:p>
      <w:pPr>
        <w:spacing w:line="4050" w:lineRule="exact"/>
        <w:ind w:firstLine="868"/>
        <w:textAlignment w:val="center"/>
      </w:pPr>
      <w:r>
        <w:drawing>
          <wp:inline distT="0" distB="0" distL="0" distR="0">
            <wp:extent cx="4257675" cy="2686050"/>
            <wp:effectExtent l="0" t="0" r="9525" b="0"/>
            <wp:docPr id="36" name="IM 9"/>
            <wp:cNvGraphicFramePr/>
            <a:graphic xmlns:a="http://schemas.openxmlformats.org/drawingml/2006/main">
              <a:graphicData uri="http://schemas.openxmlformats.org/drawingml/2006/picture">
                <pic:pic xmlns:pic="http://schemas.openxmlformats.org/drawingml/2006/picture">
                  <pic:nvPicPr>
                    <pic:cNvPr id="36" name="IM 9"/>
                    <pic:cNvPicPr/>
                  </pic:nvPicPr>
                  <pic:blipFill>
                    <a:blip r:embed="rId36"/>
                    <a:stretch>
                      <a:fillRect/>
                    </a:stretch>
                  </pic:blipFill>
                  <pic:spPr>
                    <a:xfrm>
                      <a:off x="0" y="0"/>
                      <a:ext cx="4257675" cy="2686050"/>
                    </a:xfrm>
                    <a:prstGeom prst="rect">
                      <a:avLst/>
                    </a:prstGeom>
                  </pic:spPr>
                </pic:pic>
              </a:graphicData>
            </a:graphic>
          </wp:inline>
        </w:drawing>
      </w:r>
    </w:p>
    <w:p>
      <w:pPr>
        <w:jc w:val="center"/>
        <w:rPr>
          <w:rFonts w:hint="default" w:ascii="Times New Roman" w:hAnsi="Times New Roman" w:eastAsia="黑体" w:cs="Times New Roman"/>
          <w:b/>
          <w:bCs/>
          <w:color w:val="auto"/>
          <w:sz w:val="21"/>
          <w:szCs w:val="21"/>
        </w:rPr>
      </w:pPr>
    </w:p>
    <w:p>
      <w:pPr>
        <w:jc w:val="center"/>
        <w:rPr>
          <w:rFonts w:hint="default" w:ascii="Times New Roman" w:hAnsi="Times New Roman" w:eastAsia="黑体" w:cs="Times New Roman"/>
          <w:b w:val="0"/>
          <w:bCs w:val="0"/>
          <w:sz w:val="21"/>
          <w:szCs w:val="21"/>
          <w:lang w:val="en-US" w:eastAsia="zh-CN"/>
        </w:rPr>
      </w:pPr>
      <w:r>
        <w:rPr>
          <w:rFonts w:hint="default" w:ascii="Times New Roman" w:hAnsi="Times New Roman" w:eastAsia="黑体" w:cs="Times New Roman"/>
          <w:b w:val="0"/>
          <w:bCs w:val="0"/>
          <w:sz w:val="21"/>
          <w:szCs w:val="21"/>
          <w:lang w:val="en-US" w:eastAsia="zh-CN"/>
        </w:rPr>
        <w:t>图3</w:t>
      </w:r>
      <w:r>
        <w:rPr>
          <w:rFonts w:hint="eastAsia" w:ascii="Times New Roman" w:hAnsi="Times New Roman" w:eastAsia="黑体" w:cs="Times New Roman"/>
          <w:b w:val="0"/>
          <w:bCs w:val="0"/>
          <w:sz w:val="21"/>
          <w:szCs w:val="21"/>
          <w:lang w:val="en-US" w:eastAsia="zh-CN"/>
        </w:rPr>
        <w:t>.5-3</w:t>
      </w:r>
      <w:r>
        <w:rPr>
          <w:rFonts w:hint="default" w:ascii="Times New Roman" w:hAnsi="Times New Roman" w:eastAsia="黑体" w:cs="Times New Roman"/>
          <w:b w:val="0"/>
          <w:bCs w:val="0"/>
          <w:sz w:val="21"/>
          <w:szCs w:val="21"/>
          <w:lang w:val="en-US" w:eastAsia="zh-CN"/>
        </w:rPr>
        <w:t>本项目涂布上胶干燥总体设备连接示意图</w:t>
      </w:r>
    </w:p>
    <w:p>
      <w:pPr>
        <w:spacing w:line="259" w:lineRule="auto"/>
        <w:rPr>
          <w:rFonts w:ascii="Arial"/>
          <w:sz w:val="21"/>
        </w:rPr>
      </w:pPr>
      <w:r>
        <w:drawing>
          <wp:anchor distT="0" distB="0" distL="0" distR="0" simplePos="0" relativeHeight="251676672" behindDoc="0" locked="0" layoutInCell="1" allowOverlap="1">
            <wp:simplePos x="0" y="0"/>
            <wp:positionH relativeFrom="column">
              <wp:posOffset>1113155</wp:posOffset>
            </wp:positionH>
            <wp:positionV relativeFrom="paragraph">
              <wp:posOffset>118110</wp:posOffset>
            </wp:positionV>
            <wp:extent cx="3152140" cy="1571625"/>
            <wp:effectExtent l="0" t="0" r="10160" b="9525"/>
            <wp:wrapTopAndBottom/>
            <wp:docPr id="37" name="IM 10"/>
            <wp:cNvGraphicFramePr/>
            <a:graphic xmlns:a="http://schemas.openxmlformats.org/drawingml/2006/main">
              <a:graphicData uri="http://schemas.openxmlformats.org/drawingml/2006/picture">
                <pic:pic xmlns:pic="http://schemas.openxmlformats.org/drawingml/2006/picture">
                  <pic:nvPicPr>
                    <pic:cNvPr id="37" name="IM 10"/>
                    <pic:cNvPicPr/>
                  </pic:nvPicPr>
                  <pic:blipFill>
                    <a:blip r:embed="rId37"/>
                    <a:stretch>
                      <a:fillRect/>
                    </a:stretch>
                  </pic:blipFill>
                  <pic:spPr>
                    <a:xfrm>
                      <a:off x="0" y="0"/>
                      <a:ext cx="3152140" cy="1571625"/>
                    </a:xfrm>
                    <a:prstGeom prst="rect">
                      <a:avLst/>
                    </a:prstGeom>
                  </pic:spPr>
                </pic:pic>
              </a:graphicData>
            </a:graphic>
          </wp:anchor>
        </w:drawing>
      </w:r>
    </w:p>
    <w:p>
      <w:pPr>
        <w:jc w:val="center"/>
        <w:rPr>
          <w:rFonts w:hint="default" w:ascii="Times New Roman" w:hAnsi="Times New Roman" w:eastAsia="黑体" w:cs="Times New Roman"/>
          <w:b w:val="0"/>
          <w:bCs w:val="0"/>
          <w:sz w:val="21"/>
          <w:szCs w:val="21"/>
          <w:lang w:val="en-US" w:eastAsia="zh-CN"/>
        </w:rPr>
      </w:pPr>
      <w:r>
        <w:rPr>
          <w:rFonts w:hint="default" w:ascii="Times New Roman" w:hAnsi="Times New Roman" w:eastAsia="黑体" w:cs="Times New Roman"/>
          <w:b w:val="0"/>
          <w:bCs w:val="0"/>
          <w:sz w:val="21"/>
          <w:szCs w:val="21"/>
          <w:lang w:val="en-US" w:eastAsia="zh-CN"/>
        </w:rPr>
        <w:t>图</w:t>
      </w:r>
      <w:r>
        <w:rPr>
          <w:rFonts w:hint="eastAsia" w:ascii="Times New Roman" w:hAnsi="Times New Roman" w:eastAsia="黑体" w:cs="Times New Roman"/>
          <w:b w:val="0"/>
          <w:bCs w:val="0"/>
          <w:sz w:val="21"/>
          <w:szCs w:val="21"/>
          <w:lang w:val="en-US" w:eastAsia="zh-CN"/>
        </w:rPr>
        <w:t>3.5-4</w:t>
      </w:r>
      <w:r>
        <w:rPr>
          <w:rFonts w:hint="default" w:ascii="Times New Roman" w:hAnsi="Times New Roman" w:eastAsia="黑体" w:cs="Times New Roman"/>
          <w:b w:val="0"/>
          <w:bCs w:val="0"/>
          <w:sz w:val="21"/>
          <w:szCs w:val="21"/>
          <w:lang w:val="en-US" w:eastAsia="zh-CN"/>
        </w:rPr>
        <w:t>项目涂布上胶点工作示意图</w:t>
      </w:r>
    </w:p>
    <w:p>
      <w:pPr>
        <w:keepNext w:val="0"/>
        <w:keepLines w:val="0"/>
        <w:pageBreakBefore w:val="0"/>
        <w:widowControl w:val="0"/>
        <w:kinsoku/>
        <w:wordWrap/>
        <w:overflowPunct/>
        <w:topLinePunct w:val="0"/>
        <w:autoSpaceDE/>
        <w:autoSpaceDN/>
        <w:bidi w:val="0"/>
        <w:adjustRightInd/>
        <w:snapToGrid/>
        <w:ind w:firstLine="482"/>
        <w:textAlignment w:val="auto"/>
        <w:rPr>
          <w:rFonts w:hint="default" w:ascii="Times New Roman" w:hAnsi="Times New Roman" w:cs="Times New Roman"/>
          <w:spacing w:val="0"/>
          <w:sz w:val="24"/>
        </w:rPr>
      </w:pPr>
      <w:r>
        <w:rPr>
          <w:rFonts w:hint="default" w:ascii="Times New Roman" w:hAnsi="Times New Roman" w:cs="Times New Roman"/>
          <w:spacing w:val="0"/>
          <w:sz w:val="24"/>
        </w:rPr>
        <w:t>(</w:t>
      </w:r>
      <w:r>
        <w:rPr>
          <w:rFonts w:hint="eastAsia" w:cs="Times New Roman"/>
          <w:spacing w:val="0"/>
          <w:sz w:val="24"/>
          <w:lang w:val="en-US" w:eastAsia="zh-CN"/>
        </w:rPr>
        <w:t>3</w:t>
      </w:r>
      <w:r>
        <w:rPr>
          <w:rFonts w:hint="default" w:ascii="Times New Roman" w:hAnsi="Times New Roman" w:cs="Times New Roman"/>
          <w:spacing w:val="0"/>
          <w:sz w:val="24"/>
        </w:rPr>
        <w:t>)收卷</w:t>
      </w:r>
    </w:p>
    <w:p>
      <w:pPr>
        <w:keepNext w:val="0"/>
        <w:keepLines w:val="0"/>
        <w:pageBreakBefore w:val="0"/>
        <w:widowControl w:val="0"/>
        <w:kinsoku/>
        <w:wordWrap/>
        <w:overflowPunct/>
        <w:topLinePunct w:val="0"/>
        <w:autoSpaceDE/>
        <w:autoSpaceDN/>
        <w:bidi w:val="0"/>
        <w:adjustRightInd/>
        <w:snapToGrid/>
        <w:ind w:firstLine="482"/>
        <w:textAlignment w:val="auto"/>
        <w:rPr>
          <w:rFonts w:hint="default" w:ascii="Times New Roman" w:hAnsi="Times New Roman" w:cs="Times New Roman"/>
          <w:spacing w:val="0"/>
          <w:sz w:val="24"/>
        </w:rPr>
      </w:pPr>
      <w:r>
        <w:rPr>
          <w:rFonts w:hint="default" w:ascii="Times New Roman" w:hAnsi="Times New Roman" w:cs="Times New Roman"/>
          <w:spacing w:val="0"/>
          <w:sz w:val="24"/>
        </w:rPr>
        <w:t>收卷示意见图3</w:t>
      </w:r>
      <w:r>
        <w:rPr>
          <w:rFonts w:hint="eastAsia" w:cs="Times New Roman"/>
          <w:spacing w:val="0"/>
          <w:sz w:val="24"/>
          <w:lang w:val="en-US" w:eastAsia="zh-CN"/>
        </w:rPr>
        <w:t>.5-5</w:t>
      </w:r>
      <w:r>
        <w:rPr>
          <w:rFonts w:hint="default" w:ascii="Times New Roman" w:hAnsi="Times New Roman" w:cs="Times New Roman"/>
          <w:spacing w:val="0"/>
          <w:sz w:val="24"/>
        </w:rPr>
        <w:t>。</w:t>
      </w:r>
    </w:p>
    <w:p>
      <w:pPr>
        <w:spacing w:before="51" w:line="2570" w:lineRule="exact"/>
        <w:ind w:firstLine="133"/>
        <w:textAlignment w:val="center"/>
      </w:pPr>
      <w:r>
        <w:drawing>
          <wp:inline distT="0" distB="0" distL="0" distR="0">
            <wp:extent cx="5267325" cy="1631315"/>
            <wp:effectExtent l="0" t="0" r="9525" b="6985"/>
            <wp:docPr id="38" name="IM 11"/>
            <wp:cNvGraphicFramePr/>
            <a:graphic xmlns:a="http://schemas.openxmlformats.org/drawingml/2006/main">
              <a:graphicData uri="http://schemas.openxmlformats.org/drawingml/2006/picture">
                <pic:pic xmlns:pic="http://schemas.openxmlformats.org/drawingml/2006/picture">
                  <pic:nvPicPr>
                    <pic:cNvPr id="38" name="IM 11"/>
                    <pic:cNvPicPr/>
                  </pic:nvPicPr>
                  <pic:blipFill>
                    <a:blip r:embed="rId38"/>
                    <a:stretch>
                      <a:fillRect/>
                    </a:stretch>
                  </pic:blipFill>
                  <pic:spPr>
                    <a:xfrm>
                      <a:off x="0" y="0"/>
                      <a:ext cx="5267325" cy="1631949"/>
                    </a:xfrm>
                    <a:prstGeom prst="rect">
                      <a:avLst/>
                    </a:prstGeom>
                  </pic:spPr>
                </pic:pic>
              </a:graphicData>
            </a:graphic>
          </wp:inline>
        </w:drawing>
      </w:r>
    </w:p>
    <w:p>
      <w:pPr>
        <w:jc w:val="center"/>
        <w:rPr>
          <w:rFonts w:hint="default" w:ascii="Times New Roman" w:hAnsi="Times New Roman" w:eastAsia="黑体" w:cs="Times New Roman"/>
          <w:b w:val="0"/>
          <w:bCs w:val="0"/>
          <w:sz w:val="21"/>
          <w:szCs w:val="21"/>
          <w:lang w:val="en-US" w:eastAsia="zh-CN"/>
        </w:rPr>
      </w:pPr>
      <w:r>
        <w:rPr>
          <w:rFonts w:hint="default" w:ascii="Times New Roman" w:hAnsi="Times New Roman" w:eastAsia="黑体" w:cs="Times New Roman"/>
          <w:b w:val="0"/>
          <w:bCs w:val="0"/>
          <w:sz w:val="21"/>
          <w:szCs w:val="21"/>
          <w:lang w:val="en-US" w:eastAsia="zh-CN"/>
        </w:rPr>
        <w:t>图3</w:t>
      </w:r>
      <w:r>
        <w:rPr>
          <w:rFonts w:hint="eastAsia" w:ascii="Times New Roman" w:hAnsi="Times New Roman" w:eastAsia="黑体" w:cs="Times New Roman"/>
          <w:b w:val="0"/>
          <w:bCs w:val="0"/>
          <w:sz w:val="21"/>
          <w:szCs w:val="21"/>
          <w:lang w:val="en-US" w:eastAsia="zh-CN"/>
        </w:rPr>
        <w:t>.5-5</w:t>
      </w:r>
      <w:r>
        <w:rPr>
          <w:rFonts w:hint="default" w:ascii="Times New Roman" w:hAnsi="Times New Roman" w:eastAsia="黑体" w:cs="Times New Roman"/>
          <w:b w:val="0"/>
          <w:bCs w:val="0"/>
          <w:sz w:val="21"/>
          <w:szCs w:val="21"/>
          <w:lang w:val="en-US" w:eastAsia="zh-CN"/>
        </w:rPr>
        <w:t>收卷示意图</w:t>
      </w:r>
    </w:p>
    <w:p>
      <w:pPr>
        <w:keepNext w:val="0"/>
        <w:keepLines w:val="0"/>
        <w:pageBreakBefore w:val="0"/>
        <w:widowControl w:val="0"/>
        <w:kinsoku/>
        <w:wordWrap/>
        <w:overflowPunct/>
        <w:topLinePunct w:val="0"/>
        <w:autoSpaceDE/>
        <w:autoSpaceDN/>
        <w:bidi w:val="0"/>
        <w:adjustRightInd/>
        <w:snapToGrid/>
        <w:ind w:firstLine="482"/>
        <w:textAlignment w:val="auto"/>
        <w:rPr>
          <w:rFonts w:hint="default" w:ascii="Times New Roman" w:hAnsi="Times New Roman" w:cs="Times New Roman"/>
          <w:spacing w:val="0"/>
          <w:sz w:val="24"/>
        </w:rPr>
      </w:pPr>
      <w:r>
        <w:rPr>
          <w:rFonts w:hint="default" w:ascii="Times New Roman" w:hAnsi="Times New Roman" w:cs="Times New Roman"/>
          <w:spacing w:val="0"/>
          <w:sz w:val="24"/>
        </w:rPr>
        <w:t>(</w:t>
      </w:r>
      <w:r>
        <w:rPr>
          <w:rFonts w:hint="eastAsia" w:cs="Times New Roman"/>
          <w:spacing w:val="0"/>
          <w:sz w:val="24"/>
          <w:lang w:val="en-US" w:eastAsia="zh-CN"/>
        </w:rPr>
        <w:t>4</w:t>
      </w:r>
      <w:r>
        <w:rPr>
          <w:rFonts w:hint="default" w:ascii="Times New Roman" w:hAnsi="Times New Roman" w:cs="Times New Roman"/>
          <w:spacing w:val="0"/>
          <w:sz w:val="24"/>
        </w:rPr>
        <w:t>)熟化</w:t>
      </w:r>
    </w:p>
    <w:p>
      <w:pPr>
        <w:keepNext w:val="0"/>
        <w:keepLines w:val="0"/>
        <w:pageBreakBefore w:val="0"/>
        <w:widowControl w:val="0"/>
        <w:kinsoku/>
        <w:wordWrap/>
        <w:overflowPunct/>
        <w:topLinePunct w:val="0"/>
        <w:autoSpaceDE/>
        <w:autoSpaceDN/>
        <w:bidi w:val="0"/>
        <w:adjustRightInd/>
        <w:snapToGrid/>
        <w:ind w:firstLine="482"/>
        <w:textAlignment w:val="auto"/>
        <w:rPr>
          <w:rFonts w:ascii="宋体" w:hAnsi="宋体" w:eastAsia="宋体" w:cs="宋体"/>
          <w:sz w:val="24"/>
          <w:szCs w:val="24"/>
        </w:rPr>
      </w:pPr>
      <w:r>
        <w:rPr>
          <w:rFonts w:hint="default" w:ascii="Times New Roman" w:hAnsi="Times New Roman" w:cs="Times New Roman"/>
          <w:spacing w:val="0"/>
          <w:sz w:val="24"/>
        </w:rPr>
        <w:t>将加工好的锂电池胶带，放置在50℃室温的房间内，24小时，保证敷在薄膜的胶水的稳定，确保产品的质量。</w:t>
      </w:r>
    </w:p>
    <w:p>
      <w:pPr>
        <w:keepNext w:val="0"/>
        <w:keepLines w:val="0"/>
        <w:pageBreakBefore w:val="0"/>
        <w:widowControl w:val="0"/>
        <w:kinsoku/>
        <w:wordWrap/>
        <w:overflowPunct/>
        <w:topLinePunct w:val="0"/>
        <w:autoSpaceDE/>
        <w:autoSpaceDN/>
        <w:bidi w:val="0"/>
        <w:adjustRightInd/>
        <w:snapToGrid/>
        <w:ind w:firstLine="482"/>
        <w:textAlignment w:val="auto"/>
        <w:rPr>
          <w:rFonts w:hint="default" w:ascii="Times New Roman" w:hAnsi="Times New Roman" w:cs="Times New Roman"/>
          <w:spacing w:val="0"/>
          <w:sz w:val="24"/>
        </w:rPr>
      </w:pPr>
      <w:r>
        <w:rPr>
          <w:rFonts w:hint="default" w:ascii="Times New Roman" w:hAnsi="Times New Roman" w:cs="Times New Roman"/>
          <w:spacing w:val="0"/>
          <w:sz w:val="24"/>
        </w:rPr>
        <w:t>(</w:t>
      </w:r>
      <w:r>
        <w:rPr>
          <w:rFonts w:hint="eastAsia" w:cs="Times New Roman"/>
          <w:spacing w:val="0"/>
          <w:sz w:val="24"/>
          <w:lang w:val="en-US" w:eastAsia="zh-CN"/>
        </w:rPr>
        <w:t>5</w:t>
      </w:r>
      <w:r>
        <w:rPr>
          <w:rFonts w:hint="default" w:ascii="Times New Roman" w:hAnsi="Times New Roman" w:cs="Times New Roman"/>
          <w:spacing w:val="0"/>
          <w:sz w:val="24"/>
        </w:rPr>
        <w:t>)复卷</w:t>
      </w:r>
    </w:p>
    <w:p>
      <w:pPr>
        <w:ind w:firstLine="480"/>
        <w:rPr>
          <w:rFonts w:hint="default" w:ascii="宋体" w:hAnsi="宋体" w:cs="宋体"/>
          <w:spacing w:val="-2"/>
        </w:rPr>
      </w:pPr>
      <w:r>
        <w:rPr>
          <w:rFonts w:hint="default" w:ascii="宋体" w:hAnsi="宋体" w:cs="宋体"/>
          <w:spacing w:val="-2"/>
        </w:rPr>
        <w:t>将加工好的大卷胶带进行二次复卷，收卷成不同长度规格的小卷。</w:t>
      </w:r>
    </w:p>
    <w:p>
      <w:pPr>
        <w:ind w:firstLine="480"/>
        <w:rPr>
          <w:rFonts w:hint="default" w:ascii="Times New Roman" w:hAnsi="Times New Roman" w:cs="Times New Roman"/>
          <w:spacing w:val="-2"/>
        </w:rPr>
      </w:pPr>
      <w:r>
        <w:rPr>
          <w:rFonts w:hint="default" w:ascii="Times New Roman" w:hAnsi="Times New Roman" w:cs="Times New Roman"/>
          <w:spacing w:val="-2"/>
        </w:rPr>
        <w:t>(</w:t>
      </w:r>
      <w:r>
        <w:rPr>
          <w:rFonts w:hint="eastAsia" w:cs="Times New Roman"/>
          <w:spacing w:val="-2"/>
          <w:lang w:val="en-US" w:eastAsia="zh-CN"/>
        </w:rPr>
        <w:t>6</w:t>
      </w:r>
      <w:r>
        <w:rPr>
          <w:rFonts w:hint="default" w:ascii="Times New Roman" w:hAnsi="Times New Roman" w:cs="Times New Roman"/>
          <w:spacing w:val="-2"/>
        </w:rPr>
        <w:t>)切分</w:t>
      </w:r>
    </w:p>
    <w:p>
      <w:pPr>
        <w:ind w:firstLine="480"/>
        <w:rPr>
          <w:rFonts w:hint="default" w:ascii="宋体" w:hAnsi="宋体" w:cs="宋体"/>
          <w:spacing w:val="-2"/>
        </w:rPr>
      </w:pPr>
      <w:r>
        <w:rPr>
          <w:rFonts w:hint="default" w:ascii="宋体" w:hAnsi="宋体" w:cs="宋体"/>
          <w:spacing w:val="-2"/>
        </w:rPr>
        <w:t>将复卷后的的大卷胶带切分成不同宽度的产品。</w:t>
      </w:r>
    </w:p>
    <w:p>
      <w:pPr>
        <w:pStyle w:val="7"/>
        <w:spacing w:beforeLines="0" w:afterLines="0"/>
        <w:ind w:left="0" w:leftChars="0" w:firstLine="0" w:firstLineChars="0"/>
        <w:rPr>
          <w:rFonts w:hint="default" w:eastAsia="宋体"/>
          <w:sz w:val="30"/>
          <w:szCs w:val="30"/>
          <w:lang w:val="en-US" w:eastAsia="zh-CN"/>
        </w:rPr>
      </w:pPr>
      <w:r>
        <w:rPr>
          <w:rFonts w:hint="eastAsia"/>
          <w:sz w:val="30"/>
          <w:szCs w:val="30"/>
        </w:rPr>
        <w:t>3</w:t>
      </w:r>
      <w:r>
        <w:rPr>
          <w:sz w:val="30"/>
          <w:szCs w:val="30"/>
        </w:rPr>
        <w:t>.</w:t>
      </w:r>
      <w:r>
        <w:rPr>
          <w:rFonts w:hint="eastAsia"/>
          <w:sz w:val="30"/>
          <w:szCs w:val="30"/>
        </w:rPr>
        <w:t>5</w:t>
      </w:r>
      <w:r>
        <w:rPr>
          <w:sz w:val="30"/>
          <w:szCs w:val="30"/>
        </w:rPr>
        <w:t>.2产污环节分析</w:t>
      </w:r>
    </w:p>
    <w:p>
      <w:pPr>
        <w:ind w:firstLine="480"/>
        <w:rPr>
          <w:rFonts w:hint="default" w:ascii="宋体" w:hAnsi="宋体" w:cs="宋体"/>
          <w:spacing w:val="-2"/>
        </w:rPr>
      </w:pPr>
      <w:r>
        <w:rPr>
          <w:rFonts w:hint="default" w:ascii="宋体" w:hAnsi="宋体" w:cs="宋体"/>
          <w:spacing w:val="-2"/>
        </w:rPr>
        <w:t>项目投料过程溶剂和未稀释的胶水采用管道吸取进行投加，配方中固化剂和离型剂使用的粉末原料较少，因此粉末原料在投加过程产生的粉尘不考虑。</w:t>
      </w:r>
    </w:p>
    <w:p>
      <w:pPr>
        <w:ind w:firstLine="480"/>
        <w:rPr>
          <w:rFonts w:hint="eastAsia" w:ascii="宋体" w:hAnsi="宋体" w:cs="宋体"/>
          <w:spacing w:val="-2"/>
          <w:lang w:eastAsia="zh-CN"/>
        </w:rPr>
      </w:pPr>
      <w:r>
        <w:rPr>
          <w:rFonts w:hint="eastAsia" w:ascii="宋体" w:hAnsi="宋体" w:cs="宋体"/>
          <w:spacing w:val="-2"/>
          <w:lang w:eastAsia="zh-CN"/>
        </w:rPr>
        <w:t>产污</w:t>
      </w:r>
      <w:r>
        <w:rPr>
          <w:rFonts w:hint="default" w:ascii="宋体" w:hAnsi="宋体" w:cs="宋体"/>
          <w:spacing w:val="-2"/>
        </w:rPr>
        <w:t>具体情况见表</w:t>
      </w:r>
      <w:r>
        <w:rPr>
          <w:rFonts w:hint="default" w:ascii="Times New Roman" w:hAnsi="Times New Roman" w:cs="Times New Roman"/>
          <w:spacing w:val="-2"/>
        </w:rPr>
        <w:t>3.5-1</w:t>
      </w:r>
      <w:r>
        <w:rPr>
          <w:rFonts w:hint="default" w:ascii="Times New Roman" w:hAnsi="Times New Roman" w:cs="Times New Roman"/>
          <w:spacing w:val="-2"/>
          <w:lang w:eastAsia="zh-CN"/>
        </w:rPr>
        <w:t>。</w:t>
      </w:r>
    </w:p>
    <w:p>
      <w:pPr>
        <w:jc w:val="center"/>
        <w:rPr>
          <w:rFonts w:hint="default" w:ascii="Times New Roman" w:hAnsi="Times New Roman" w:eastAsia="黑体" w:cs="Times New Roman"/>
          <w:b w:val="0"/>
          <w:bCs w:val="0"/>
          <w:sz w:val="21"/>
          <w:szCs w:val="21"/>
          <w:lang w:val="en-US" w:eastAsia="zh-CN"/>
        </w:rPr>
      </w:pPr>
      <w:r>
        <w:rPr>
          <w:rFonts w:hint="eastAsia" w:ascii="Times New Roman" w:hAnsi="Times New Roman" w:eastAsia="黑体" w:cs="Times New Roman"/>
          <w:b w:val="0"/>
          <w:bCs w:val="0"/>
          <w:sz w:val="21"/>
          <w:szCs w:val="21"/>
          <w:lang w:val="en-US" w:eastAsia="zh-CN"/>
        </w:rPr>
        <w:t>表3.5-1  项目主要污染因子汇总</w:t>
      </w:r>
      <w:bookmarkEnd w:id="53"/>
      <w:bookmarkStart w:id="54" w:name="_Toc31162"/>
      <w:bookmarkStart w:id="55" w:name="_Toc31509"/>
    </w:p>
    <w:tbl>
      <w:tblPr>
        <w:tblStyle w:val="18"/>
        <w:tblW w:w="4998" w:type="pct"/>
        <w:jc w:val="center"/>
        <w:tblLayout w:type="autofit"/>
        <w:tblCellMar>
          <w:top w:w="0" w:type="dxa"/>
          <w:left w:w="0" w:type="dxa"/>
          <w:bottom w:w="0" w:type="dxa"/>
          <w:right w:w="0" w:type="dxa"/>
        </w:tblCellMar>
      </w:tblPr>
      <w:tblGrid>
        <w:gridCol w:w="1891"/>
        <w:gridCol w:w="1772"/>
        <w:gridCol w:w="4584"/>
      </w:tblGrid>
      <w:tr>
        <w:tblPrEx>
          <w:tblCellMar>
            <w:top w:w="0" w:type="dxa"/>
            <w:left w:w="0" w:type="dxa"/>
            <w:bottom w:w="0" w:type="dxa"/>
            <w:right w:w="0" w:type="dxa"/>
          </w:tblCellMar>
        </w:tblPrEx>
        <w:trPr>
          <w:trHeight w:val="460" w:hRule="exact"/>
          <w:jc w:val="center"/>
        </w:trPr>
        <w:tc>
          <w:tcPr>
            <w:tcW w:w="1146" w:type="pct"/>
            <w:tcBorders>
              <w:top w:val="single" w:color="000000" w:sz="12" w:space="0"/>
              <w:left w:val="nil"/>
              <w:bottom w:val="single" w:color="000000" w:sz="4" w:space="0"/>
              <w:right w:val="single" w:color="000000" w:sz="4" w:space="0"/>
            </w:tcBorders>
            <w:vAlign w:val="center"/>
          </w:tcPr>
          <w:p>
            <w:pPr>
              <w:jc w:val="center"/>
              <w:rPr>
                <w:sz w:val="21"/>
                <w:szCs w:val="21"/>
              </w:rPr>
            </w:pPr>
            <w:r>
              <w:rPr>
                <w:sz w:val="21"/>
                <w:szCs w:val="21"/>
              </w:rPr>
              <w:t>序号</w:t>
            </w:r>
          </w:p>
        </w:tc>
        <w:tc>
          <w:tcPr>
            <w:tcW w:w="1074" w:type="pct"/>
            <w:tcBorders>
              <w:top w:val="single" w:color="000000" w:sz="12" w:space="0"/>
              <w:left w:val="single" w:color="000000" w:sz="4" w:space="0"/>
              <w:bottom w:val="single" w:color="000000" w:sz="4" w:space="0"/>
              <w:right w:val="single" w:color="000000" w:sz="4" w:space="0"/>
            </w:tcBorders>
            <w:vAlign w:val="center"/>
          </w:tcPr>
          <w:p>
            <w:pPr>
              <w:jc w:val="center"/>
              <w:rPr>
                <w:sz w:val="21"/>
                <w:szCs w:val="21"/>
              </w:rPr>
            </w:pPr>
            <w:r>
              <w:rPr>
                <w:sz w:val="21"/>
                <w:szCs w:val="21"/>
              </w:rPr>
              <w:t>工序</w:t>
            </w:r>
          </w:p>
        </w:tc>
        <w:tc>
          <w:tcPr>
            <w:tcW w:w="2778" w:type="pct"/>
            <w:tcBorders>
              <w:top w:val="single" w:color="000000" w:sz="12" w:space="0"/>
              <w:left w:val="single" w:color="000000" w:sz="4" w:space="0"/>
              <w:bottom w:val="single" w:color="000000" w:sz="4" w:space="0"/>
              <w:right w:val="nil"/>
            </w:tcBorders>
            <w:vAlign w:val="center"/>
          </w:tcPr>
          <w:p>
            <w:pPr>
              <w:spacing w:line="240" w:lineRule="auto"/>
              <w:jc w:val="center"/>
              <w:rPr>
                <w:rFonts w:hint="eastAsia"/>
                <w:sz w:val="21"/>
                <w:szCs w:val="21"/>
                <w:lang w:eastAsia="zh-CN"/>
              </w:rPr>
            </w:pPr>
            <w:r>
              <w:rPr>
                <w:rFonts w:hint="eastAsia"/>
                <w:sz w:val="21"/>
                <w:szCs w:val="21"/>
                <w:lang w:eastAsia="zh-CN"/>
              </w:rPr>
              <w:t>产污</w:t>
            </w:r>
          </w:p>
        </w:tc>
      </w:tr>
      <w:tr>
        <w:tblPrEx>
          <w:tblCellMar>
            <w:top w:w="0" w:type="dxa"/>
            <w:left w:w="0" w:type="dxa"/>
            <w:bottom w:w="0" w:type="dxa"/>
            <w:right w:w="0" w:type="dxa"/>
          </w:tblCellMar>
        </w:tblPrEx>
        <w:trPr>
          <w:trHeight w:val="450" w:hRule="exact"/>
          <w:jc w:val="center"/>
        </w:trPr>
        <w:tc>
          <w:tcPr>
            <w:tcW w:w="1146" w:type="pct"/>
            <w:vMerge w:val="restart"/>
            <w:tcBorders>
              <w:top w:val="single" w:color="000000" w:sz="4" w:space="0"/>
              <w:left w:val="nil"/>
              <w:right w:val="single" w:color="000000" w:sz="4" w:space="0"/>
            </w:tcBorders>
            <w:vAlign w:val="center"/>
          </w:tcPr>
          <w:p>
            <w:pPr>
              <w:spacing w:line="240" w:lineRule="auto"/>
              <w:jc w:val="center"/>
              <w:rPr>
                <w:rFonts w:hint="eastAsia"/>
                <w:sz w:val="21"/>
                <w:szCs w:val="21"/>
                <w:lang w:eastAsia="zh-CN"/>
              </w:rPr>
            </w:pPr>
            <w:r>
              <w:rPr>
                <w:rFonts w:hint="eastAsia"/>
                <w:sz w:val="21"/>
                <w:szCs w:val="21"/>
                <w:lang w:eastAsia="zh-CN"/>
              </w:rPr>
              <w:t>1</w:t>
            </w:r>
          </w:p>
        </w:tc>
        <w:tc>
          <w:tcPr>
            <w:tcW w:w="1074" w:type="pct"/>
            <w:vMerge w:val="restart"/>
            <w:tcBorders>
              <w:top w:val="single" w:color="000000" w:sz="4" w:space="0"/>
              <w:left w:val="single" w:color="000000" w:sz="4" w:space="0"/>
              <w:right w:val="single" w:color="000000" w:sz="4" w:space="0"/>
            </w:tcBorders>
            <w:vAlign w:val="center"/>
          </w:tcPr>
          <w:p>
            <w:pPr>
              <w:spacing w:line="240" w:lineRule="auto"/>
              <w:jc w:val="center"/>
              <w:rPr>
                <w:rFonts w:hint="eastAsia"/>
                <w:sz w:val="21"/>
                <w:szCs w:val="21"/>
                <w:lang w:eastAsia="zh-CN"/>
              </w:rPr>
            </w:pPr>
            <w:r>
              <w:rPr>
                <w:rFonts w:hint="eastAsia"/>
                <w:sz w:val="21"/>
                <w:szCs w:val="21"/>
                <w:lang w:eastAsia="zh-CN"/>
              </w:rPr>
              <w:t>搅拌</w:t>
            </w:r>
          </w:p>
        </w:tc>
        <w:tc>
          <w:tcPr>
            <w:tcW w:w="2778" w:type="pct"/>
            <w:tcBorders>
              <w:top w:val="single" w:color="000000" w:sz="4" w:space="0"/>
              <w:left w:val="single" w:color="000000" w:sz="4" w:space="0"/>
              <w:bottom w:val="single" w:color="000000" w:sz="4" w:space="0"/>
              <w:right w:val="nil"/>
            </w:tcBorders>
            <w:vAlign w:val="center"/>
          </w:tcPr>
          <w:p>
            <w:pPr>
              <w:spacing w:line="240" w:lineRule="auto"/>
              <w:jc w:val="center"/>
              <w:rPr>
                <w:rFonts w:hint="eastAsia"/>
                <w:sz w:val="21"/>
                <w:szCs w:val="21"/>
                <w:lang w:eastAsia="zh-CN"/>
              </w:rPr>
            </w:pPr>
            <w:r>
              <w:rPr>
                <w:rFonts w:hint="eastAsia"/>
                <w:sz w:val="21"/>
                <w:szCs w:val="21"/>
                <w:lang w:eastAsia="zh-CN"/>
              </w:rPr>
              <w:t>S1：废抹布、手套</w:t>
            </w:r>
          </w:p>
        </w:tc>
      </w:tr>
      <w:tr>
        <w:tblPrEx>
          <w:tblCellMar>
            <w:top w:w="0" w:type="dxa"/>
            <w:left w:w="0" w:type="dxa"/>
            <w:bottom w:w="0" w:type="dxa"/>
            <w:right w:w="0" w:type="dxa"/>
          </w:tblCellMar>
        </w:tblPrEx>
        <w:trPr>
          <w:trHeight w:val="450" w:hRule="exact"/>
          <w:jc w:val="center"/>
        </w:trPr>
        <w:tc>
          <w:tcPr>
            <w:tcW w:w="1146" w:type="pct"/>
            <w:vMerge w:val="continue"/>
            <w:tcBorders>
              <w:left w:val="nil"/>
              <w:right w:val="single" w:color="000000" w:sz="4" w:space="0"/>
            </w:tcBorders>
            <w:vAlign w:val="center"/>
          </w:tcPr>
          <w:p>
            <w:pPr>
              <w:spacing w:line="240" w:lineRule="auto"/>
              <w:jc w:val="center"/>
              <w:rPr>
                <w:rFonts w:hint="eastAsia"/>
                <w:sz w:val="21"/>
                <w:szCs w:val="21"/>
                <w:lang w:eastAsia="zh-CN"/>
              </w:rPr>
            </w:pPr>
          </w:p>
        </w:tc>
        <w:tc>
          <w:tcPr>
            <w:tcW w:w="1074" w:type="pct"/>
            <w:vMerge w:val="continue"/>
            <w:tcBorders>
              <w:left w:val="single" w:color="000000" w:sz="4" w:space="0"/>
              <w:right w:val="single" w:color="000000" w:sz="4" w:space="0"/>
            </w:tcBorders>
            <w:vAlign w:val="center"/>
          </w:tcPr>
          <w:p>
            <w:pPr>
              <w:spacing w:line="240" w:lineRule="auto"/>
              <w:jc w:val="center"/>
              <w:rPr>
                <w:rFonts w:hint="eastAsia"/>
                <w:sz w:val="21"/>
                <w:szCs w:val="21"/>
                <w:lang w:eastAsia="zh-CN"/>
              </w:rPr>
            </w:pPr>
          </w:p>
        </w:tc>
        <w:tc>
          <w:tcPr>
            <w:tcW w:w="2778" w:type="pct"/>
            <w:tcBorders>
              <w:top w:val="single" w:color="000000" w:sz="4" w:space="0"/>
              <w:left w:val="single" w:color="000000" w:sz="4" w:space="0"/>
              <w:bottom w:val="single" w:color="000000" w:sz="4" w:space="0"/>
              <w:right w:val="nil"/>
            </w:tcBorders>
            <w:vAlign w:val="center"/>
          </w:tcPr>
          <w:p>
            <w:pPr>
              <w:spacing w:line="240" w:lineRule="auto"/>
              <w:jc w:val="center"/>
              <w:rPr>
                <w:rFonts w:hint="eastAsia"/>
                <w:sz w:val="21"/>
                <w:szCs w:val="21"/>
                <w:lang w:eastAsia="zh-CN"/>
              </w:rPr>
            </w:pPr>
            <w:r>
              <w:rPr>
                <w:rFonts w:hint="eastAsia"/>
                <w:sz w:val="21"/>
                <w:szCs w:val="21"/>
                <w:lang w:eastAsia="zh-CN"/>
              </w:rPr>
              <w:t>S2：废渣</w:t>
            </w:r>
          </w:p>
        </w:tc>
      </w:tr>
      <w:tr>
        <w:tblPrEx>
          <w:tblCellMar>
            <w:top w:w="0" w:type="dxa"/>
            <w:left w:w="0" w:type="dxa"/>
            <w:bottom w:w="0" w:type="dxa"/>
            <w:right w:w="0" w:type="dxa"/>
          </w:tblCellMar>
        </w:tblPrEx>
        <w:trPr>
          <w:trHeight w:val="450" w:hRule="exact"/>
          <w:jc w:val="center"/>
        </w:trPr>
        <w:tc>
          <w:tcPr>
            <w:tcW w:w="1146" w:type="pct"/>
            <w:vMerge w:val="continue"/>
            <w:tcBorders>
              <w:left w:val="nil"/>
              <w:bottom w:val="single" w:color="000000" w:sz="4" w:space="0"/>
              <w:right w:val="single" w:color="000000" w:sz="4" w:space="0"/>
            </w:tcBorders>
            <w:vAlign w:val="center"/>
          </w:tcPr>
          <w:p>
            <w:pPr>
              <w:spacing w:line="240" w:lineRule="auto"/>
              <w:jc w:val="center"/>
              <w:rPr>
                <w:rFonts w:hint="eastAsia"/>
                <w:sz w:val="21"/>
                <w:szCs w:val="21"/>
                <w:lang w:eastAsia="zh-CN"/>
              </w:rPr>
            </w:pPr>
          </w:p>
        </w:tc>
        <w:tc>
          <w:tcPr>
            <w:tcW w:w="1074" w:type="pct"/>
            <w:vMerge w:val="continue"/>
            <w:tcBorders>
              <w:left w:val="single" w:color="000000" w:sz="4" w:space="0"/>
              <w:bottom w:val="single" w:color="000000" w:sz="4" w:space="0"/>
              <w:right w:val="single" w:color="000000" w:sz="4" w:space="0"/>
            </w:tcBorders>
            <w:vAlign w:val="center"/>
          </w:tcPr>
          <w:p>
            <w:pPr>
              <w:spacing w:line="240" w:lineRule="auto"/>
              <w:jc w:val="center"/>
              <w:rPr>
                <w:rFonts w:hint="eastAsia"/>
                <w:sz w:val="21"/>
                <w:szCs w:val="21"/>
                <w:lang w:eastAsia="zh-CN"/>
              </w:rPr>
            </w:pPr>
          </w:p>
        </w:tc>
        <w:tc>
          <w:tcPr>
            <w:tcW w:w="2778" w:type="pct"/>
            <w:tcBorders>
              <w:top w:val="single" w:color="000000" w:sz="4" w:space="0"/>
              <w:left w:val="single" w:color="000000" w:sz="4" w:space="0"/>
              <w:bottom w:val="single" w:color="000000" w:sz="4" w:space="0"/>
              <w:right w:val="nil"/>
            </w:tcBorders>
            <w:vAlign w:val="center"/>
          </w:tcPr>
          <w:p>
            <w:pPr>
              <w:spacing w:line="240" w:lineRule="auto"/>
              <w:jc w:val="center"/>
              <w:rPr>
                <w:rFonts w:hint="eastAsia"/>
                <w:sz w:val="21"/>
                <w:szCs w:val="21"/>
                <w:lang w:eastAsia="zh-CN"/>
              </w:rPr>
            </w:pPr>
            <w:r>
              <w:rPr>
                <w:rFonts w:hint="eastAsia"/>
                <w:sz w:val="21"/>
                <w:szCs w:val="21"/>
                <w:lang w:eastAsia="zh-CN"/>
              </w:rPr>
              <w:t>S3：废包装桶</w:t>
            </w:r>
          </w:p>
        </w:tc>
      </w:tr>
      <w:tr>
        <w:tblPrEx>
          <w:tblCellMar>
            <w:top w:w="0" w:type="dxa"/>
            <w:left w:w="0" w:type="dxa"/>
            <w:bottom w:w="0" w:type="dxa"/>
            <w:right w:w="0" w:type="dxa"/>
          </w:tblCellMar>
        </w:tblPrEx>
        <w:trPr>
          <w:trHeight w:val="450" w:hRule="exact"/>
          <w:jc w:val="center"/>
        </w:trPr>
        <w:tc>
          <w:tcPr>
            <w:tcW w:w="1146" w:type="pct"/>
            <w:vMerge w:val="restart"/>
            <w:tcBorders>
              <w:top w:val="single" w:color="000000" w:sz="4" w:space="0"/>
              <w:left w:val="nil"/>
              <w:right w:val="single" w:color="000000" w:sz="4" w:space="0"/>
            </w:tcBorders>
            <w:vAlign w:val="center"/>
          </w:tcPr>
          <w:p>
            <w:pPr>
              <w:spacing w:line="240" w:lineRule="auto"/>
              <w:jc w:val="center"/>
              <w:rPr>
                <w:rFonts w:hint="eastAsia"/>
                <w:sz w:val="21"/>
                <w:szCs w:val="21"/>
                <w:lang w:eastAsia="zh-CN"/>
              </w:rPr>
            </w:pPr>
            <w:r>
              <w:rPr>
                <w:rFonts w:hint="eastAsia"/>
                <w:sz w:val="21"/>
                <w:szCs w:val="21"/>
                <w:lang w:eastAsia="zh-CN"/>
              </w:rPr>
              <w:t>2</w:t>
            </w:r>
          </w:p>
        </w:tc>
        <w:tc>
          <w:tcPr>
            <w:tcW w:w="1074" w:type="pct"/>
            <w:vMerge w:val="restart"/>
            <w:tcBorders>
              <w:top w:val="single" w:color="000000" w:sz="4" w:space="0"/>
              <w:left w:val="single" w:color="000000" w:sz="4" w:space="0"/>
              <w:right w:val="single" w:color="000000" w:sz="4" w:space="0"/>
            </w:tcBorders>
            <w:vAlign w:val="center"/>
          </w:tcPr>
          <w:p>
            <w:pPr>
              <w:spacing w:line="240" w:lineRule="auto"/>
              <w:jc w:val="center"/>
              <w:rPr>
                <w:rFonts w:hint="eastAsia"/>
                <w:sz w:val="21"/>
                <w:szCs w:val="21"/>
                <w:lang w:eastAsia="zh-CN"/>
              </w:rPr>
            </w:pPr>
            <w:r>
              <w:rPr>
                <w:rFonts w:hint="eastAsia"/>
                <w:sz w:val="21"/>
                <w:szCs w:val="21"/>
                <w:lang w:eastAsia="zh-CN"/>
              </w:rPr>
              <w:t>涂布</w:t>
            </w:r>
          </w:p>
        </w:tc>
        <w:tc>
          <w:tcPr>
            <w:tcW w:w="2778" w:type="pct"/>
            <w:tcBorders>
              <w:top w:val="single" w:color="000000" w:sz="4" w:space="0"/>
              <w:left w:val="single" w:color="000000" w:sz="4" w:space="0"/>
              <w:bottom w:val="single" w:color="000000" w:sz="4" w:space="0"/>
              <w:right w:val="nil"/>
            </w:tcBorders>
            <w:vAlign w:val="center"/>
          </w:tcPr>
          <w:p>
            <w:pPr>
              <w:spacing w:line="240" w:lineRule="auto"/>
              <w:jc w:val="center"/>
              <w:rPr>
                <w:rFonts w:hint="eastAsia"/>
                <w:sz w:val="21"/>
                <w:szCs w:val="21"/>
                <w:lang w:eastAsia="zh-CN"/>
              </w:rPr>
            </w:pPr>
            <w:r>
              <w:rPr>
                <w:rFonts w:hint="eastAsia"/>
                <w:sz w:val="21"/>
                <w:szCs w:val="21"/>
                <w:lang w:eastAsia="zh-CN"/>
              </w:rPr>
              <w:t>G1：有机废气</w:t>
            </w:r>
          </w:p>
        </w:tc>
      </w:tr>
      <w:tr>
        <w:tblPrEx>
          <w:tblCellMar>
            <w:top w:w="0" w:type="dxa"/>
            <w:left w:w="0" w:type="dxa"/>
            <w:bottom w:w="0" w:type="dxa"/>
            <w:right w:w="0" w:type="dxa"/>
          </w:tblCellMar>
        </w:tblPrEx>
        <w:trPr>
          <w:trHeight w:val="450" w:hRule="exact"/>
          <w:jc w:val="center"/>
        </w:trPr>
        <w:tc>
          <w:tcPr>
            <w:tcW w:w="1146" w:type="pct"/>
            <w:vMerge w:val="continue"/>
            <w:tcBorders>
              <w:left w:val="nil"/>
              <w:bottom w:val="single" w:color="000000" w:sz="4" w:space="0"/>
              <w:right w:val="single" w:color="000000" w:sz="4" w:space="0"/>
            </w:tcBorders>
            <w:vAlign w:val="center"/>
          </w:tcPr>
          <w:p>
            <w:pPr>
              <w:spacing w:line="240" w:lineRule="auto"/>
              <w:jc w:val="center"/>
              <w:rPr>
                <w:rFonts w:hint="eastAsia"/>
                <w:sz w:val="21"/>
                <w:szCs w:val="21"/>
                <w:lang w:eastAsia="zh-CN"/>
              </w:rPr>
            </w:pPr>
          </w:p>
        </w:tc>
        <w:tc>
          <w:tcPr>
            <w:tcW w:w="1074" w:type="pct"/>
            <w:vMerge w:val="continue"/>
            <w:tcBorders>
              <w:left w:val="single" w:color="000000" w:sz="4" w:space="0"/>
              <w:bottom w:val="single" w:color="000000" w:sz="4" w:space="0"/>
              <w:right w:val="single" w:color="000000" w:sz="4" w:space="0"/>
            </w:tcBorders>
            <w:vAlign w:val="center"/>
          </w:tcPr>
          <w:p>
            <w:pPr>
              <w:spacing w:line="240" w:lineRule="auto"/>
              <w:jc w:val="center"/>
              <w:rPr>
                <w:rFonts w:hint="eastAsia"/>
                <w:sz w:val="21"/>
                <w:szCs w:val="21"/>
                <w:lang w:eastAsia="zh-CN"/>
              </w:rPr>
            </w:pPr>
          </w:p>
        </w:tc>
        <w:tc>
          <w:tcPr>
            <w:tcW w:w="2778" w:type="pct"/>
            <w:tcBorders>
              <w:top w:val="single" w:color="000000" w:sz="4" w:space="0"/>
              <w:left w:val="single" w:color="000000" w:sz="4" w:space="0"/>
              <w:bottom w:val="single" w:color="000000" w:sz="4" w:space="0"/>
              <w:right w:val="nil"/>
            </w:tcBorders>
            <w:vAlign w:val="center"/>
          </w:tcPr>
          <w:p>
            <w:pPr>
              <w:spacing w:line="240" w:lineRule="auto"/>
              <w:jc w:val="center"/>
              <w:rPr>
                <w:rFonts w:hint="eastAsia"/>
                <w:sz w:val="21"/>
                <w:szCs w:val="21"/>
                <w:lang w:eastAsia="zh-CN"/>
              </w:rPr>
            </w:pPr>
            <w:r>
              <w:rPr>
                <w:rFonts w:hint="eastAsia"/>
                <w:sz w:val="21"/>
                <w:szCs w:val="21"/>
                <w:lang w:eastAsia="zh-CN"/>
              </w:rPr>
              <w:t>S1：废抹布、手套</w:t>
            </w:r>
          </w:p>
        </w:tc>
      </w:tr>
      <w:tr>
        <w:tblPrEx>
          <w:tblCellMar>
            <w:top w:w="0" w:type="dxa"/>
            <w:left w:w="0" w:type="dxa"/>
            <w:bottom w:w="0" w:type="dxa"/>
            <w:right w:w="0" w:type="dxa"/>
          </w:tblCellMar>
        </w:tblPrEx>
        <w:trPr>
          <w:trHeight w:val="450" w:hRule="exact"/>
          <w:jc w:val="center"/>
        </w:trPr>
        <w:tc>
          <w:tcPr>
            <w:tcW w:w="1146" w:type="pct"/>
            <w:vMerge w:val="restart"/>
            <w:tcBorders>
              <w:top w:val="single" w:color="000000" w:sz="4" w:space="0"/>
              <w:left w:val="nil"/>
              <w:right w:val="single" w:color="000000" w:sz="4" w:space="0"/>
            </w:tcBorders>
            <w:vAlign w:val="center"/>
          </w:tcPr>
          <w:p>
            <w:pPr>
              <w:spacing w:line="240" w:lineRule="auto"/>
              <w:jc w:val="center"/>
              <w:rPr>
                <w:rFonts w:hint="eastAsia"/>
                <w:sz w:val="21"/>
                <w:szCs w:val="21"/>
                <w:lang w:eastAsia="zh-CN"/>
              </w:rPr>
            </w:pPr>
            <w:r>
              <w:rPr>
                <w:rFonts w:hint="eastAsia"/>
                <w:sz w:val="21"/>
                <w:szCs w:val="21"/>
                <w:lang w:eastAsia="zh-CN"/>
              </w:rPr>
              <w:t>3</w:t>
            </w:r>
          </w:p>
        </w:tc>
        <w:tc>
          <w:tcPr>
            <w:tcW w:w="1074" w:type="pct"/>
            <w:vMerge w:val="restart"/>
            <w:tcBorders>
              <w:top w:val="single" w:color="000000" w:sz="4" w:space="0"/>
              <w:left w:val="single" w:color="000000" w:sz="4" w:space="0"/>
              <w:right w:val="single" w:color="000000" w:sz="4" w:space="0"/>
            </w:tcBorders>
            <w:vAlign w:val="center"/>
          </w:tcPr>
          <w:p>
            <w:pPr>
              <w:spacing w:line="240" w:lineRule="auto"/>
              <w:jc w:val="center"/>
              <w:rPr>
                <w:rFonts w:hint="eastAsia"/>
                <w:sz w:val="21"/>
                <w:szCs w:val="21"/>
                <w:lang w:eastAsia="zh-CN"/>
              </w:rPr>
            </w:pPr>
            <w:r>
              <w:rPr>
                <w:rFonts w:hint="eastAsia"/>
                <w:sz w:val="21"/>
                <w:szCs w:val="21"/>
                <w:lang w:eastAsia="zh-CN"/>
              </w:rPr>
              <w:t>上胶</w:t>
            </w:r>
          </w:p>
        </w:tc>
        <w:tc>
          <w:tcPr>
            <w:tcW w:w="2778" w:type="pct"/>
            <w:tcBorders>
              <w:top w:val="single" w:color="000000" w:sz="4" w:space="0"/>
              <w:left w:val="single" w:color="000000" w:sz="4" w:space="0"/>
              <w:bottom w:val="single" w:color="000000" w:sz="4" w:space="0"/>
              <w:right w:val="nil"/>
            </w:tcBorders>
            <w:vAlign w:val="center"/>
          </w:tcPr>
          <w:p>
            <w:pPr>
              <w:spacing w:line="240" w:lineRule="auto"/>
              <w:jc w:val="center"/>
              <w:rPr>
                <w:rFonts w:hint="eastAsia"/>
                <w:sz w:val="21"/>
                <w:szCs w:val="21"/>
                <w:lang w:eastAsia="zh-CN"/>
              </w:rPr>
            </w:pPr>
            <w:r>
              <w:rPr>
                <w:rFonts w:hint="eastAsia"/>
                <w:sz w:val="21"/>
                <w:szCs w:val="21"/>
                <w:lang w:val="en-US" w:eastAsia="zh-CN"/>
              </w:rPr>
              <w:t>G1</w:t>
            </w:r>
            <w:r>
              <w:rPr>
                <w:rFonts w:hint="eastAsia"/>
                <w:sz w:val="21"/>
                <w:szCs w:val="21"/>
                <w:lang w:eastAsia="zh-CN"/>
              </w:rPr>
              <w:t>：有机废气</w:t>
            </w:r>
          </w:p>
        </w:tc>
      </w:tr>
      <w:tr>
        <w:tblPrEx>
          <w:tblCellMar>
            <w:top w:w="0" w:type="dxa"/>
            <w:left w:w="0" w:type="dxa"/>
            <w:bottom w:w="0" w:type="dxa"/>
            <w:right w:w="0" w:type="dxa"/>
          </w:tblCellMar>
        </w:tblPrEx>
        <w:trPr>
          <w:trHeight w:val="450" w:hRule="exact"/>
          <w:jc w:val="center"/>
        </w:trPr>
        <w:tc>
          <w:tcPr>
            <w:tcW w:w="1146" w:type="pct"/>
            <w:vMerge w:val="continue"/>
            <w:tcBorders>
              <w:left w:val="nil"/>
              <w:right w:val="single" w:color="000000" w:sz="4" w:space="0"/>
            </w:tcBorders>
            <w:vAlign w:val="center"/>
          </w:tcPr>
          <w:p>
            <w:pPr>
              <w:spacing w:line="240" w:lineRule="auto"/>
              <w:jc w:val="center"/>
              <w:rPr>
                <w:rFonts w:hint="eastAsia"/>
                <w:sz w:val="21"/>
                <w:szCs w:val="21"/>
                <w:lang w:eastAsia="zh-CN"/>
              </w:rPr>
            </w:pPr>
          </w:p>
        </w:tc>
        <w:tc>
          <w:tcPr>
            <w:tcW w:w="1074" w:type="pct"/>
            <w:vMerge w:val="continue"/>
            <w:tcBorders>
              <w:left w:val="single" w:color="000000" w:sz="4" w:space="0"/>
              <w:right w:val="single" w:color="000000" w:sz="4" w:space="0"/>
            </w:tcBorders>
            <w:vAlign w:val="center"/>
          </w:tcPr>
          <w:p>
            <w:pPr>
              <w:spacing w:line="240" w:lineRule="auto"/>
              <w:jc w:val="center"/>
              <w:rPr>
                <w:rFonts w:hint="eastAsia"/>
                <w:sz w:val="21"/>
                <w:szCs w:val="21"/>
                <w:lang w:eastAsia="zh-CN"/>
              </w:rPr>
            </w:pPr>
          </w:p>
        </w:tc>
        <w:tc>
          <w:tcPr>
            <w:tcW w:w="2778" w:type="pct"/>
            <w:tcBorders>
              <w:top w:val="single" w:color="000000" w:sz="4" w:space="0"/>
              <w:left w:val="single" w:color="000000" w:sz="4" w:space="0"/>
              <w:bottom w:val="single" w:color="000000" w:sz="4" w:space="0"/>
              <w:right w:val="nil"/>
            </w:tcBorders>
            <w:vAlign w:val="center"/>
          </w:tcPr>
          <w:p>
            <w:pPr>
              <w:spacing w:line="240" w:lineRule="auto"/>
              <w:jc w:val="center"/>
              <w:rPr>
                <w:rFonts w:hint="eastAsia"/>
                <w:sz w:val="21"/>
                <w:szCs w:val="21"/>
                <w:lang w:eastAsia="zh-CN"/>
              </w:rPr>
            </w:pPr>
            <w:r>
              <w:rPr>
                <w:rFonts w:hint="eastAsia"/>
                <w:sz w:val="21"/>
                <w:szCs w:val="21"/>
                <w:lang w:eastAsia="zh-CN"/>
              </w:rPr>
              <w:t>S1：废抹布、手套</w:t>
            </w:r>
          </w:p>
        </w:tc>
      </w:tr>
      <w:tr>
        <w:tblPrEx>
          <w:tblCellMar>
            <w:top w:w="0" w:type="dxa"/>
            <w:left w:w="0" w:type="dxa"/>
            <w:bottom w:w="0" w:type="dxa"/>
            <w:right w:w="0" w:type="dxa"/>
          </w:tblCellMar>
        </w:tblPrEx>
        <w:trPr>
          <w:trHeight w:val="450" w:hRule="exact"/>
          <w:jc w:val="center"/>
        </w:trPr>
        <w:tc>
          <w:tcPr>
            <w:tcW w:w="1146" w:type="pct"/>
            <w:vMerge w:val="continue"/>
            <w:tcBorders>
              <w:left w:val="nil"/>
              <w:bottom w:val="single" w:color="000000" w:sz="4" w:space="0"/>
              <w:right w:val="single" w:color="000000" w:sz="4" w:space="0"/>
            </w:tcBorders>
            <w:vAlign w:val="center"/>
          </w:tcPr>
          <w:p>
            <w:pPr>
              <w:spacing w:line="240" w:lineRule="auto"/>
              <w:jc w:val="center"/>
              <w:rPr>
                <w:rFonts w:hint="eastAsia"/>
                <w:sz w:val="21"/>
                <w:szCs w:val="21"/>
                <w:lang w:eastAsia="zh-CN"/>
              </w:rPr>
            </w:pPr>
          </w:p>
        </w:tc>
        <w:tc>
          <w:tcPr>
            <w:tcW w:w="1074" w:type="pct"/>
            <w:vMerge w:val="continue"/>
            <w:tcBorders>
              <w:left w:val="single" w:color="000000" w:sz="4" w:space="0"/>
              <w:bottom w:val="single" w:color="000000" w:sz="4" w:space="0"/>
              <w:right w:val="single" w:color="000000" w:sz="4" w:space="0"/>
            </w:tcBorders>
            <w:vAlign w:val="center"/>
          </w:tcPr>
          <w:p>
            <w:pPr>
              <w:spacing w:line="240" w:lineRule="auto"/>
              <w:jc w:val="center"/>
              <w:rPr>
                <w:rFonts w:hint="eastAsia"/>
                <w:sz w:val="21"/>
                <w:szCs w:val="21"/>
                <w:lang w:eastAsia="zh-CN"/>
              </w:rPr>
            </w:pPr>
          </w:p>
        </w:tc>
        <w:tc>
          <w:tcPr>
            <w:tcW w:w="2778" w:type="pct"/>
            <w:tcBorders>
              <w:top w:val="single" w:color="000000" w:sz="4" w:space="0"/>
              <w:left w:val="single" w:color="000000" w:sz="4" w:space="0"/>
              <w:bottom w:val="single" w:color="000000" w:sz="4" w:space="0"/>
              <w:right w:val="nil"/>
            </w:tcBorders>
            <w:vAlign w:val="center"/>
          </w:tcPr>
          <w:p>
            <w:pPr>
              <w:spacing w:line="240" w:lineRule="auto"/>
              <w:jc w:val="center"/>
              <w:rPr>
                <w:rFonts w:hint="eastAsia"/>
                <w:sz w:val="21"/>
                <w:szCs w:val="21"/>
                <w:lang w:eastAsia="zh-CN"/>
              </w:rPr>
            </w:pPr>
            <w:r>
              <w:rPr>
                <w:rFonts w:hint="eastAsia"/>
                <w:sz w:val="21"/>
                <w:szCs w:val="21"/>
                <w:lang w:eastAsia="zh-CN"/>
              </w:rPr>
              <w:t>S2：废渣</w:t>
            </w:r>
          </w:p>
        </w:tc>
      </w:tr>
      <w:tr>
        <w:tblPrEx>
          <w:tblCellMar>
            <w:top w:w="0" w:type="dxa"/>
            <w:left w:w="0" w:type="dxa"/>
            <w:bottom w:w="0" w:type="dxa"/>
            <w:right w:w="0" w:type="dxa"/>
          </w:tblCellMar>
        </w:tblPrEx>
        <w:trPr>
          <w:trHeight w:val="450" w:hRule="exact"/>
          <w:jc w:val="center"/>
        </w:trPr>
        <w:tc>
          <w:tcPr>
            <w:tcW w:w="1146" w:type="pct"/>
            <w:tcBorders>
              <w:top w:val="single" w:color="000000" w:sz="4" w:space="0"/>
              <w:left w:val="nil"/>
              <w:bottom w:val="single" w:color="000000" w:sz="4" w:space="0"/>
              <w:right w:val="single" w:color="000000" w:sz="4" w:space="0"/>
            </w:tcBorders>
            <w:vAlign w:val="center"/>
          </w:tcPr>
          <w:p>
            <w:pPr>
              <w:spacing w:line="240" w:lineRule="auto"/>
              <w:jc w:val="center"/>
              <w:rPr>
                <w:rFonts w:hint="eastAsia"/>
                <w:sz w:val="21"/>
                <w:szCs w:val="21"/>
                <w:lang w:eastAsia="zh-CN"/>
              </w:rPr>
            </w:pPr>
            <w:r>
              <w:rPr>
                <w:rFonts w:hint="eastAsia"/>
                <w:sz w:val="21"/>
                <w:szCs w:val="21"/>
                <w:lang w:eastAsia="zh-CN"/>
              </w:rPr>
              <w:t>4</w:t>
            </w:r>
          </w:p>
        </w:tc>
        <w:tc>
          <w:tcPr>
            <w:tcW w:w="1074" w:type="pct"/>
            <w:tcBorders>
              <w:top w:val="single" w:color="000000" w:sz="4" w:space="0"/>
              <w:left w:val="single" w:color="000000" w:sz="4" w:space="0"/>
              <w:bottom w:val="single" w:color="000000" w:sz="4" w:space="0"/>
              <w:right w:val="single" w:color="000000" w:sz="4" w:space="0"/>
            </w:tcBorders>
            <w:vAlign w:val="center"/>
          </w:tcPr>
          <w:p>
            <w:pPr>
              <w:spacing w:line="240" w:lineRule="auto"/>
              <w:jc w:val="center"/>
              <w:rPr>
                <w:rFonts w:hint="eastAsia"/>
                <w:sz w:val="21"/>
                <w:szCs w:val="21"/>
                <w:lang w:eastAsia="zh-CN"/>
              </w:rPr>
            </w:pPr>
            <w:r>
              <w:rPr>
                <w:rFonts w:hint="eastAsia"/>
                <w:sz w:val="21"/>
                <w:szCs w:val="21"/>
                <w:lang w:eastAsia="zh-CN"/>
              </w:rPr>
              <w:t>切分</w:t>
            </w:r>
          </w:p>
        </w:tc>
        <w:tc>
          <w:tcPr>
            <w:tcW w:w="2778" w:type="pct"/>
            <w:tcBorders>
              <w:top w:val="single" w:color="000000" w:sz="4" w:space="0"/>
              <w:left w:val="single" w:color="000000" w:sz="4" w:space="0"/>
              <w:bottom w:val="single" w:color="000000" w:sz="4" w:space="0"/>
              <w:right w:val="nil"/>
            </w:tcBorders>
            <w:vAlign w:val="center"/>
          </w:tcPr>
          <w:p>
            <w:pPr>
              <w:spacing w:line="240" w:lineRule="auto"/>
              <w:jc w:val="center"/>
              <w:rPr>
                <w:rFonts w:hint="eastAsia"/>
                <w:sz w:val="21"/>
                <w:szCs w:val="21"/>
                <w:lang w:eastAsia="zh-CN"/>
              </w:rPr>
            </w:pPr>
            <w:r>
              <w:rPr>
                <w:rFonts w:hint="eastAsia"/>
                <w:sz w:val="21"/>
                <w:szCs w:val="21"/>
                <w:lang w:eastAsia="zh-CN"/>
              </w:rPr>
              <w:t>S4：边角料</w:t>
            </w:r>
          </w:p>
        </w:tc>
      </w:tr>
      <w:tr>
        <w:tblPrEx>
          <w:tblCellMar>
            <w:top w:w="0" w:type="dxa"/>
            <w:left w:w="0" w:type="dxa"/>
            <w:bottom w:w="0" w:type="dxa"/>
            <w:right w:w="0" w:type="dxa"/>
          </w:tblCellMar>
        </w:tblPrEx>
        <w:trPr>
          <w:trHeight w:val="450" w:hRule="exact"/>
          <w:jc w:val="center"/>
        </w:trPr>
        <w:tc>
          <w:tcPr>
            <w:tcW w:w="1146" w:type="pct"/>
            <w:tcBorders>
              <w:top w:val="single" w:color="000000" w:sz="4" w:space="0"/>
              <w:left w:val="nil"/>
              <w:bottom w:val="single" w:color="000000" w:sz="4" w:space="0"/>
              <w:right w:val="single" w:color="000000" w:sz="4" w:space="0"/>
            </w:tcBorders>
            <w:vAlign w:val="center"/>
          </w:tcPr>
          <w:p>
            <w:pPr>
              <w:spacing w:line="240" w:lineRule="auto"/>
              <w:jc w:val="center"/>
              <w:rPr>
                <w:rFonts w:hint="eastAsia"/>
                <w:sz w:val="21"/>
                <w:szCs w:val="21"/>
                <w:lang w:eastAsia="zh-CN"/>
              </w:rPr>
            </w:pPr>
            <w:r>
              <w:rPr>
                <w:rFonts w:hint="eastAsia"/>
                <w:sz w:val="21"/>
                <w:szCs w:val="21"/>
                <w:lang w:eastAsia="zh-CN"/>
              </w:rPr>
              <w:t>5</w:t>
            </w:r>
          </w:p>
        </w:tc>
        <w:tc>
          <w:tcPr>
            <w:tcW w:w="1074" w:type="pct"/>
            <w:tcBorders>
              <w:top w:val="single" w:color="000000" w:sz="4" w:space="0"/>
              <w:left w:val="single" w:color="000000" w:sz="4" w:space="0"/>
              <w:bottom w:val="single" w:color="000000" w:sz="4" w:space="0"/>
              <w:right w:val="single" w:color="000000" w:sz="4" w:space="0"/>
            </w:tcBorders>
            <w:vAlign w:val="center"/>
          </w:tcPr>
          <w:p>
            <w:pPr>
              <w:spacing w:line="240" w:lineRule="auto"/>
              <w:jc w:val="center"/>
              <w:rPr>
                <w:rFonts w:hint="eastAsia"/>
                <w:sz w:val="21"/>
                <w:szCs w:val="21"/>
                <w:lang w:eastAsia="zh-CN"/>
              </w:rPr>
            </w:pPr>
            <w:r>
              <w:rPr>
                <w:rFonts w:hint="eastAsia"/>
                <w:sz w:val="21"/>
                <w:szCs w:val="21"/>
                <w:lang w:eastAsia="zh-CN"/>
              </w:rPr>
              <w:t>车间地面清理</w:t>
            </w:r>
          </w:p>
        </w:tc>
        <w:tc>
          <w:tcPr>
            <w:tcW w:w="2778" w:type="pct"/>
            <w:tcBorders>
              <w:top w:val="single" w:color="000000" w:sz="4" w:space="0"/>
              <w:left w:val="single" w:color="000000" w:sz="4" w:space="0"/>
              <w:bottom w:val="single" w:color="000000" w:sz="4" w:space="0"/>
              <w:right w:val="nil"/>
            </w:tcBorders>
            <w:vAlign w:val="center"/>
          </w:tcPr>
          <w:p>
            <w:pPr>
              <w:spacing w:line="240" w:lineRule="auto"/>
              <w:jc w:val="center"/>
              <w:rPr>
                <w:rFonts w:hint="eastAsia"/>
                <w:sz w:val="21"/>
                <w:szCs w:val="21"/>
                <w:lang w:eastAsia="zh-CN"/>
              </w:rPr>
            </w:pPr>
            <w:r>
              <w:rPr>
                <w:rFonts w:hint="eastAsia"/>
                <w:sz w:val="21"/>
                <w:szCs w:val="21"/>
                <w:lang w:eastAsia="zh-CN"/>
              </w:rPr>
              <w:t>废防渗布</w:t>
            </w:r>
          </w:p>
        </w:tc>
      </w:tr>
      <w:tr>
        <w:tblPrEx>
          <w:tblCellMar>
            <w:top w:w="0" w:type="dxa"/>
            <w:left w:w="0" w:type="dxa"/>
            <w:bottom w:w="0" w:type="dxa"/>
            <w:right w:w="0" w:type="dxa"/>
          </w:tblCellMar>
        </w:tblPrEx>
        <w:trPr>
          <w:trHeight w:val="450" w:hRule="exact"/>
          <w:jc w:val="center"/>
        </w:trPr>
        <w:tc>
          <w:tcPr>
            <w:tcW w:w="1146" w:type="pct"/>
            <w:tcBorders>
              <w:top w:val="single" w:color="000000" w:sz="4" w:space="0"/>
              <w:left w:val="nil"/>
              <w:bottom w:val="single" w:color="000000" w:sz="4" w:space="0"/>
              <w:right w:val="single" w:color="000000" w:sz="4" w:space="0"/>
            </w:tcBorders>
            <w:vAlign w:val="center"/>
          </w:tcPr>
          <w:p>
            <w:pPr>
              <w:spacing w:line="240" w:lineRule="auto"/>
              <w:jc w:val="center"/>
              <w:rPr>
                <w:rFonts w:hint="eastAsia"/>
                <w:sz w:val="21"/>
                <w:szCs w:val="21"/>
                <w:lang w:eastAsia="zh-CN"/>
              </w:rPr>
            </w:pPr>
            <w:r>
              <w:rPr>
                <w:rFonts w:hint="eastAsia"/>
                <w:sz w:val="21"/>
                <w:szCs w:val="21"/>
                <w:lang w:eastAsia="zh-CN"/>
              </w:rPr>
              <w:t>6</w:t>
            </w:r>
          </w:p>
        </w:tc>
        <w:tc>
          <w:tcPr>
            <w:tcW w:w="1074" w:type="pct"/>
            <w:tcBorders>
              <w:top w:val="single" w:color="000000" w:sz="4" w:space="0"/>
              <w:left w:val="single" w:color="000000" w:sz="4" w:space="0"/>
              <w:bottom w:val="single" w:color="000000" w:sz="4" w:space="0"/>
              <w:right w:val="single" w:color="000000" w:sz="4" w:space="0"/>
            </w:tcBorders>
            <w:vAlign w:val="center"/>
          </w:tcPr>
          <w:p>
            <w:pPr>
              <w:spacing w:line="240" w:lineRule="auto"/>
              <w:jc w:val="center"/>
              <w:rPr>
                <w:rFonts w:hint="eastAsia"/>
                <w:sz w:val="21"/>
                <w:szCs w:val="21"/>
                <w:lang w:eastAsia="zh-CN"/>
              </w:rPr>
            </w:pPr>
            <w:r>
              <w:rPr>
                <w:rFonts w:hint="eastAsia"/>
                <w:sz w:val="21"/>
                <w:szCs w:val="21"/>
                <w:lang w:eastAsia="zh-CN"/>
              </w:rPr>
              <w:t>包装</w:t>
            </w:r>
          </w:p>
        </w:tc>
        <w:tc>
          <w:tcPr>
            <w:tcW w:w="2778" w:type="pct"/>
            <w:tcBorders>
              <w:top w:val="single" w:color="000000" w:sz="4" w:space="0"/>
              <w:left w:val="single" w:color="000000" w:sz="4" w:space="0"/>
              <w:bottom w:val="single" w:color="000000" w:sz="4" w:space="0"/>
              <w:right w:val="nil"/>
            </w:tcBorders>
            <w:vAlign w:val="center"/>
          </w:tcPr>
          <w:p>
            <w:pPr>
              <w:spacing w:line="240" w:lineRule="auto"/>
              <w:jc w:val="center"/>
              <w:rPr>
                <w:rFonts w:hint="eastAsia"/>
                <w:sz w:val="21"/>
                <w:szCs w:val="21"/>
                <w:lang w:eastAsia="zh-CN"/>
              </w:rPr>
            </w:pPr>
            <w:r>
              <w:rPr>
                <w:rFonts w:hint="eastAsia"/>
                <w:sz w:val="21"/>
                <w:szCs w:val="21"/>
                <w:lang w:eastAsia="zh-CN"/>
              </w:rPr>
              <w:t>包装纸箱及塑料包装袋</w:t>
            </w:r>
          </w:p>
        </w:tc>
      </w:tr>
      <w:tr>
        <w:tblPrEx>
          <w:tblCellMar>
            <w:top w:w="0" w:type="dxa"/>
            <w:left w:w="0" w:type="dxa"/>
            <w:bottom w:w="0" w:type="dxa"/>
            <w:right w:w="0" w:type="dxa"/>
          </w:tblCellMar>
        </w:tblPrEx>
        <w:trPr>
          <w:trHeight w:val="450" w:hRule="exact"/>
          <w:jc w:val="center"/>
        </w:trPr>
        <w:tc>
          <w:tcPr>
            <w:tcW w:w="1146" w:type="pct"/>
            <w:tcBorders>
              <w:top w:val="single" w:color="000000" w:sz="4" w:space="0"/>
              <w:left w:val="nil"/>
              <w:bottom w:val="single" w:color="000000" w:sz="4" w:space="0"/>
              <w:right w:val="single" w:color="000000" w:sz="4" w:space="0"/>
            </w:tcBorders>
            <w:vAlign w:val="center"/>
          </w:tcPr>
          <w:p>
            <w:pPr>
              <w:spacing w:line="240" w:lineRule="auto"/>
              <w:jc w:val="center"/>
              <w:rPr>
                <w:rFonts w:hint="eastAsia"/>
                <w:sz w:val="21"/>
                <w:szCs w:val="21"/>
                <w:lang w:eastAsia="zh-CN"/>
              </w:rPr>
            </w:pPr>
            <w:r>
              <w:rPr>
                <w:rFonts w:hint="eastAsia"/>
                <w:sz w:val="21"/>
                <w:szCs w:val="21"/>
                <w:lang w:eastAsia="zh-CN"/>
              </w:rPr>
              <w:t>7</w:t>
            </w:r>
          </w:p>
        </w:tc>
        <w:tc>
          <w:tcPr>
            <w:tcW w:w="1074" w:type="pct"/>
            <w:tcBorders>
              <w:top w:val="single" w:color="000000" w:sz="4" w:space="0"/>
              <w:left w:val="single" w:color="000000" w:sz="4" w:space="0"/>
              <w:bottom w:val="single" w:color="000000" w:sz="4" w:space="0"/>
              <w:right w:val="single" w:color="000000" w:sz="4" w:space="0"/>
            </w:tcBorders>
            <w:vAlign w:val="center"/>
          </w:tcPr>
          <w:p>
            <w:pPr>
              <w:spacing w:line="240" w:lineRule="auto"/>
              <w:jc w:val="center"/>
              <w:rPr>
                <w:rFonts w:hint="eastAsia"/>
                <w:sz w:val="21"/>
                <w:szCs w:val="21"/>
                <w:lang w:eastAsia="zh-CN"/>
              </w:rPr>
            </w:pPr>
            <w:r>
              <w:rPr>
                <w:rFonts w:hint="eastAsia"/>
                <w:sz w:val="21"/>
                <w:szCs w:val="21"/>
                <w:lang w:eastAsia="zh-CN"/>
              </w:rPr>
              <w:t>职工生活</w:t>
            </w:r>
          </w:p>
        </w:tc>
        <w:tc>
          <w:tcPr>
            <w:tcW w:w="2778" w:type="pct"/>
            <w:tcBorders>
              <w:top w:val="single" w:color="000000" w:sz="4" w:space="0"/>
              <w:left w:val="single" w:color="000000" w:sz="4" w:space="0"/>
              <w:bottom w:val="single" w:color="000000" w:sz="4" w:space="0"/>
              <w:right w:val="nil"/>
            </w:tcBorders>
            <w:vAlign w:val="center"/>
          </w:tcPr>
          <w:p>
            <w:pPr>
              <w:spacing w:line="240" w:lineRule="auto"/>
              <w:jc w:val="center"/>
              <w:rPr>
                <w:rFonts w:hint="eastAsia"/>
                <w:sz w:val="21"/>
                <w:szCs w:val="21"/>
                <w:lang w:eastAsia="zh-CN"/>
              </w:rPr>
            </w:pPr>
            <w:r>
              <w:rPr>
                <w:rFonts w:hint="eastAsia"/>
                <w:sz w:val="21"/>
                <w:szCs w:val="21"/>
                <w:lang w:eastAsia="zh-CN"/>
              </w:rPr>
              <w:t>生活垃圾、生活污水、食堂废气</w:t>
            </w:r>
          </w:p>
        </w:tc>
      </w:tr>
      <w:tr>
        <w:tblPrEx>
          <w:tblCellMar>
            <w:top w:w="0" w:type="dxa"/>
            <w:left w:w="0" w:type="dxa"/>
            <w:bottom w:w="0" w:type="dxa"/>
            <w:right w:w="0" w:type="dxa"/>
          </w:tblCellMar>
        </w:tblPrEx>
        <w:trPr>
          <w:trHeight w:val="460" w:hRule="exact"/>
          <w:jc w:val="center"/>
        </w:trPr>
        <w:tc>
          <w:tcPr>
            <w:tcW w:w="1146" w:type="pct"/>
            <w:tcBorders>
              <w:top w:val="single" w:color="000000" w:sz="4" w:space="0"/>
              <w:left w:val="nil"/>
              <w:bottom w:val="single" w:color="000000" w:sz="12" w:space="0"/>
              <w:right w:val="single" w:color="000000" w:sz="4" w:space="0"/>
            </w:tcBorders>
            <w:vAlign w:val="center"/>
          </w:tcPr>
          <w:p>
            <w:pPr>
              <w:spacing w:line="240" w:lineRule="auto"/>
              <w:jc w:val="center"/>
              <w:rPr>
                <w:rFonts w:hint="eastAsia"/>
                <w:sz w:val="21"/>
                <w:szCs w:val="21"/>
                <w:lang w:eastAsia="zh-CN"/>
              </w:rPr>
            </w:pPr>
            <w:r>
              <w:rPr>
                <w:rFonts w:hint="eastAsia"/>
                <w:sz w:val="21"/>
                <w:szCs w:val="21"/>
                <w:lang w:eastAsia="zh-CN"/>
              </w:rPr>
              <w:t>8</w:t>
            </w:r>
          </w:p>
        </w:tc>
        <w:tc>
          <w:tcPr>
            <w:tcW w:w="1074" w:type="pct"/>
            <w:tcBorders>
              <w:top w:val="single" w:color="000000" w:sz="4" w:space="0"/>
              <w:left w:val="single" w:color="000000" w:sz="4" w:space="0"/>
              <w:bottom w:val="single" w:color="000000" w:sz="12" w:space="0"/>
              <w:right w:val="single" w:color="000000" w:sz="4" w:space="0"/>
            </w:tcBorders>
            <w:vAlign w:val="center"/>
          </w:tcPr>
          <w:p>
            <w:pPr>
              <w:spacing w:line="240" w:lineRule="auto"/>
              <w:jc w:val="center"/>
              <w:rPr>
                <w:rFonts w:hint="eastAsia"/>
                <w:sz w:val="21"/>
                <w:szCs w:val="21"/>
                <w:lang w:eastAsia="zh-CN"/>
              </w:rPr>
            </w:pPr>
            <w:r>
              <w:rPr>
                <w:rFonts w:hint="eastAsia"/>
                <w:sz w:val="21"/>
                <w:szCs w:val="21"/>
                <w:lang w:eastAsia="zh-CN"/>
              </w:rPr>
              <w:t>设备运行</w:t>
            </w:r>
          </w:p>
        </w:tc>
        <w:tc>
          <w:tcPr>
            <w:tcW w:w="2778" w:type="pct"/>
            <w:tcBorders>
              <w:top w:val="single" w:color="000000" w:sz="4" w:space="0"/>
              <w:left w:val="single" w:color="000000" w:sz="4" w:space="0"/>
              <w:bottom w:val="single" w:color="000000" w:sz="12" w:space="0"/>
              <w:right w:val="nil"/>
            </w:tcBorders>
            <w:vAlign w:val="center"/>
          </w:tcPr>
          <w:p>
            <w:pPr>
              <w:spacing w:line="240" w:lineRule="auto"/>
              <w:jc w:val="center"/>
              <w:rPr>
                <w:rFonts w:hint="eastAsia"/>
                <w:sz w:val="21"/>
                <w:szCs w:val="21"/>
                <w:lang w:eastAsia="zh-CN"/>
              </w:rPr>
            </w:pPr>
            <w:r>
              <w:rPr>
                <w:rFonts w:hint="eastAsia"/>
                <w:sz w:val="21"/>
                <w:szCs w:val="21"/>
                <w:lang w:eastAsia="zh-CN"/>
              </w:rPr>
              <w:t>噪声</w:t>
            </w:r>
          </w:p>
        </w:tc>
      </w:tr>
      <w:bookmarkEnd w:id="54"/>
      <w:bookmarkEnd w:id="55"/>
    </w:tbl>
    <w:p>
      <w:pPr>
        <w:rPr>
          <w:rFonts w:hint="eastAsia"/>
          <w:color w:val="auto"/>
          <w:sz w:val="32"/>
          <w:szCs w:val="32"/>
        </w:rPr>
      </w:pPr>
    </w:p>
    <w:p>
      <w:pPr>
        <w:pStyle w:val="2"/>
        <w:ind w:left="0" w:leftChars="0" w:firstLine="0" w:firstLineChars="0"/>
        <w:rPr>
          <w:rFonts w:hint="eastAsia"/>
          <w:color w:val="auto"/>
          <w:sz w:val="32"/>
          <w:szCs w:val="32"/>
        </w:rPr>
      </w:pPr>
    </w:p>
    <w:p>
      <w:pPr>
        <w:rPr>
          <w:rFonts w:hint="eastAsia"/>
          <w:color w:val="auto"/>
          <w:sz w:val="32"/>
          <w:szCs w:val="32"/>
        </w:rPr>
      </w:pPr>
    </w:p>
    <w:p>
      <w:pPr>
        <w:pStyle w:val="2"/>
        <w:ind w:left="0" w:leftChars="0" w:firstLine="0" w:firstLineChars="0"/>
        <w:rPr>
          <w:rFonts w:hint="eastAsia"/>
          <w:color w:val="auto"/>
          <w:sz w:val="32"/>
          <w:szCs w:val="32"/>
        </w:rPr>
      </w:pPr>
    </w:p>
    <w:p>
      <w:pPr>
        <w:rPr>
          <w:rFonts w:hint="eastAsia"/>
          <w:color w:val="auto"/>
          <w:sz w:val="32"/>
          <w:szCs w:val="32"/>
        </w:rPr>
      </w:pPr>
    </w:p>
    <w:p>
      <w:pPr>
        <w:pStyle w:val="2"/>
        <w:ind w:left="0" w:leftChars="0" w:firstLine="0" w:firstLineChars="0"/>
        <w:rPr>
          <w:rFonts w:hint="eastAsia"/>
          <w:color w:val="auto"/>
          <w:sz w:val="32"/>
          <w:szCs w:val="32"/>
        </w:rPr>
      </w:pPr>
    </w:p>
    <w:p>
      <w:pPr>
        <w:pStyle w:val="6"/>
        <w:keepNext/>
        <w:pageBreakBefore w:val="0"/>
        <w:widowControl w:val="0"/>
        <w:kinsoku/>
        <w:wordWrap/>
        <w:overflowPunct/>
        <w:topLinePunct w:val="0"/>
        <w:autoSpaceDE/>
        <w:autoSpaceDN/>
        <w:bidi w:val="0"/>
        <w:adjustRightInd/>
        <w:snapToGrid/>
        <w:spacing w:beforeLines="0" w:afterLines="0"/>
        <w:ind w:firstLine="0" w:firstLineChars="0"/>
        <w:textAlignment w:val="auto"/>
        <w:rPr>
          <w:rFonts w:hint="eastAsia"/>
        </w:rPr>
      </w:pPr>
      <w:bookmarkStart w:id="56" w:name="_Toc25916"/>
      <w:r>
        <w:rPr>
          <w:rFonts w:hint="eastAsia"/>
          <w:color w:val="auto"/>
          <w:sz w:val="32"/>
          <w:szCs w:val="32"/>
        </w:rPr>
        <w:t>3.6项目变动情况</w:t>
      </w:r>
      <w:bookmarkEnd w:id="56"/>
    </w:p>
    <w:p>
      <w:pPr>
        <w:jc w:val="center"/>
        <w:rPr>
          <w:rFonts w:hint="default" w:ascii="Times New Roman" w:hAnsi="Times New Roman" w:eastAsia="黑体" w:cs="Times New Roman"/>
          <w:b w:val="0"/>
          <w:bCs w:val="0"/>
          <w:sz w:val="21"/>
          <w:szCs w:val="21"/>
          <w:lang w:val="en-US" w:eastAsia="zh-CN"/>
        </w:rPr>
      </w:pPr>
      <w:r>
        <w:rPr>
          <w:rFonts w:hint="default" w:ascii="Times New Roman" w:hAnsi="Times New Roman" w:eastAsia="黑体" w:cs="Times New Roman"/>
          <w:b w:val="0"/>
          <w:bCs w:val="0"/>
          <w:sz w:val="21"/>
          <w:szCs w:val="21"/>
          <w:lang w:val="en-US" w:eastAsia="zh-CN"/>
        </w:rPr>
        <w:t>表</w:t>
      </w:r>
      <w:r>
        <w:rPr>
          <w:rFonts w:hint="eastAsia" w:ascii="Times New Roman" w:hAnsi="Times New Roman" w:eastAsia="黑体" w:cs="Times New Roman"/>
          <w:b w:val="0"/>
          <w:bCs w:val="0"/>
          <w:sz w:val="21"/>
          <w:szCs w:val="21"/>
          <w:lang w:val="en-US" w:eastAsia="zh-CN"/>
        </w:rPr>
        <w:t>3.</w:t>
      </w:r>
      <w:r>
        <w:rPr>
          <w:rFonts w:hint="eastAsia" w:eastAsia="黑体" w:cs="Times New Roman"/>
          <w:b w:val="0"/>
          <w:bCs w:val="0"/>
          <w:sz w:val="21"/>
          <w:szCs w:val="21"/>
          <w:lang w:val="en-US" w:eastAsia="zh-CN"/>
        </w:rPr>
        <w:t>6</w:t>
      </w:r>
      <w:r>
        <w:rPr>
          <w:rFonts w:hint="eastAsia" w:ascii="Times New Roman" w:hAnsi="Times New Roman" w:eastAsia="黑体" w:cs="Times New Roman"/>
          <w:b w:val="0"/>
          <w:bCs w:val="0"/>
          <w:sz w:val="21"/>
          <w:szCs w:val="21"/>
          <w:lang w:val="en-US" w:eastAsia="zh-CN"/>
        </w:rPr>
        <w:t>-</w:t>
      </w:r>
      <w:r>
        <w:rPr>
          <w:rFonts w:hint="eastAsia" w:eastAsia="黑体" w:cs="Times New Roman"/>
          <w:b w:val="0"/>
          <w:bCs w:val="0"/>
          <w:sz w:val="21"/>
          <w:szCs w:val="21"/>
          <w:lang w:val="en-US" w:eastAsia="zh-CN"/>
        </w:rPr>
        <w:t>1</w:t>
      </w:r>
      <w:r>
        <w:rPr>
          <w:rFonts w:hint="default" w:ascii="Times New Roman" w:hAnsi="Times New Roman" w:eastAsia="黑体" w:cs="Times New Roman"/>
          <w:b w:val="0"/>
          <w:bCs w:val="0"/>
          <w:sz w:val="21"/>
          <w:szCs w:val="21"/>
          <w:lang w:val="en-US" w:eastAsia="zh-CN"/>
        </w:rPr>
        <w:t xml:space="preserve"> 项目变动情况</w:t>
      </w:r>
      <w:r>
        <w:rPr>
          <w:rFonts w:hint="eastAsia" w:ascii="Times New Roman" w:hAnsi="Times New Roman" w:eastAsia="黑体" w:cs="Times New Roman"/>
          <w:b w:val="0"/>
          <w:bCs w:val="0"/>
          <w:sz w:val="21"/>
          <w:szCs w:val="21"/>
          <w:lang w:val="en-US" w:eastAsia="zh-CN"/>
        </w:rPr>
        <w:t>一览表</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2"/>
        <w:gridCol w:w="657"/>
        <w:gridCol w:w="1740"/>
        <w:gridCol w:w="3022"/>
        <w:gridCol w:w="1288"/>
        <w:gridCol w:w="1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379"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序号</w:t>
            </w:r>
          </w:p>
        </w:tc>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类别</w:t>
            </w:r>
          </w:p>
        </w:tc>
        <w:tc>
          <w:tcPr>
            <w:tcW w:w="1027"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环评及批复要求</w:t>
            </w: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实际建设内容</w:t>
            </w:r>
          </w:p>
        </w:tc>
        <w:tc>
          <w:tcPr>
            <w:tcW w:w="76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rPr>
              <w:t>变动原因</w:t>
            </w:r>
            <w:r>
              <w:rPr>
                <w:rFonts w:hint="eastAsia" w:cs="Times New Roman"/>
                <w:b/>
                <w:bCs/>
                <w:sz w:val="21"/>
                <w:szCs w:val="21"/>
                <w:lang w:val="en-US" w:eastAsia="zh-CN"/>
              </w:rPr>
              <w:t>及分析</w:t>
            </w:r>
          </w:p>
        </w:tc>
        <w:tc>
          <w:tcPr>
            <w:tcW w:w="659"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6" w:hRule="atLeast"/>
          <w:tblHeader/>
          <w:jc w:val="center"/>
        </w:trPr>
        <w:tc>
          <w:tcPr>
            <w:tcW w:w="379"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主体工程</w:t>
            </w:r>
          </w:p>
        </w:tc>
        <w:tc>
          <w:tcPr>
            <w:tcW w:w="1027"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共设置三个生产车间，每个车间设计两条锂电池胶带生产线，共6条生产线</w:t>
            </w: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原环评中设置</w:t>
            </w:r>
            <w:r>
              <w:rPr>
                <w:rFonts w:hint="default" w:ascii="Times New Roman" w:hAnsi="Times New Roman" w:eastAsia="宋体" w:cs="Times New Roman"/>
                <w:sz w:val="21"/>
                <w:szCs w:val="21"/>
                <w:lang w:eastAsia="zh-CN"/>
              </w:rPr>
              <w:t>三个车间，</w:t>
            </w:r>
            <w:r>
              <w:rPr>
                <w:rFonts w:hint="default" w:ascii="Times New Roman" w:hAnsi="Times New Roman" w:eastAsia="宋体" w:cs="Times New Roman"/>
                <w:sz w:val="21"/>
                <w:szCs w:val="21"/>
                <w:lang w:val="en-US" w:eastAsia="zh-CN"/>
              </w:rPr>
              <w:t>每个车间两条生产线，实际</w:t>
            </w:r>
            <w:r>
              <w:rPr>
                <w:rFonts w:hint="eastAsia" w:ascii="Times New Roman" w:hAnsi="Times New Roman" w:eastAsia="宋体" w:cs="Times New Roman"/>
                <w:sz w:val="21"/>
                <w:szCs w:val="21"/>
                <w:lang w:val="en-US" w:eastAsia="zh-CN"/>
              </w:rPr>
              <w:t>建设</w:t>
            </w:r>
            <w:r>
              <w:rPr>
                <w:rFonts w:hint="default" w:ascii="Times New Roman" w:hAnsi="Times New Roman" w:eastAsia="宋体" w:cs="Times New Roman"/>
                <w:sz w:val="21"/>
                <w:szCs w:val="21"/>
                <w:lang w:val="en-US" w:eastAsia="zh-CN"/>
              </w:rPr>
              <w:t>为</w:t>
            </w:r>
            <w:r>
              <w:rPr>
                <w:rFonts w:hint="default" w:ascii="Times New Roman" w:hAnsi="Times New Roman" w:eastAsia="宋体" w:cs="Times New Roman"/>
                <w:sz w:val="21"/>
                <w:szCs w:val="21"/>
                <w:lang w:eastAsia="zh-CN"/>
              </w:rPr>
              <w:t>两个车间，</w:t>
            </w:r>
            <w:r>
              <w:rPr>
                <w:rFonts w:hint="default" w:ascii="Times New Roman" w:hAnsi="Times New Roman" w:eastAsia="宋体" w:cs="Times New Roman"/>
                <w:sz w:val="21"/>
                <w:szCs w:val="21"/>
                <w:lang w:val="en-US" w:eastAsia="zh-CN"/>
              </w:rPr>
              <w:t>每个车间三条生产</w:t>
            </w:r>
            <w:r>
              <w:rPr>
                <w:rFonts w:hint="default" w:ascii="Times New Roman" w:hAnsi="Times New Roman" w:eastAsia="宋体" w:cs="Times New Roman"/>
                <w:sz w:val="21"/>
                <w:szCs w:val="21"/>
                <w:lang w:eastAsia="zh-CN"/>
              </w:rPr>
              <w:t>线，</w:t>
            </w:r>
            <w:r>
              <w:rPr>
                <w:rFonts w:hint="default" w:ascii="Times New Roman" w:hAnsi="Times New Roman" w:eastAsia="宋体" w:cs="Times New Roman"/>
                <w:sz w:val="21"/>
                <w:szCs w:val="21"/>
                <w:lang w:val="en-US" w:eastAsia="zh-CN"/>
              </w:rPr>
              <w:t>原环评产品仓库设置在各自车间内</w:t>
            </w:r>
            <w:r>
              <w:rPr>
                <w:rFonts w:hint="eastAsia" w:ascii="Times New Roman" w:hAnsi="Times New Roman" w:eastAsia="宋体" w:cs="Times New Roman"/>
                <w:sz w:val="21"/>
                <w:szCs w:val="21"/>
                <w:lang w:val="en-US" w:eastAsia="zh-CN"/>
              </w:rPr>
              <w:t>。1、2、3号生产线位于1号车间；4、5、6号生产线位于2号车间</w:t>
            </w:r>
          </w:p>
        </w:tc>
        <w:tc>
          <w:tcPr>
            <w:tcW w:w="76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厂区规划变动</w:t>
            </w:r>
            <w:r>
              <w:rPr>
                <w:rFonts w:hint="eastAsia" w:cs="Times New Roman"/>
                <w:sz w:val="21"/>
                <w:szCs w:val="21"/>
                <w:lang w:val="en-US" w:eastAsia="zh-CN"/>
              </w:rPr>
              <w:t>，实际生产线为6条未变动，生产线数量及产能未改变。</w:t>
            </w:r>
          </w:p>
        </w:tc>
        <w:tc>
          <w:tcPr>
            <w:tcW w:w="659"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6" w:hRule="atLeast"/>
          <w:tblHeader/>
          <w:jc w:val="center"/>
        </w:trPr>
        <w:tc>
          <w:tcPr>
            <w:tcW w:w="379"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储运工程</w:t>
            </w:r>
          </w:p>
        </w:tc>
        <w:tc>
          <w:tcPr>
            <w:tcW w:w="1027"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设计一个仓库的储运工程</w:t>
            </w: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现改为</w:t>
            </w:r>
            <w:r>
              <w:rPr>
                <w:rFonts w:hint="default"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lang w:eastAsia="zh-CN"/>
              </w:rPr>
              <w:t>#车间，建设复卷、模切、分切车间及半成品仓库。</w:t>
            </w:r>
          </w:p>
        </w:tc>
        <w:tc>
          <w:tcPr>
            <w:tcW w:w="76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厂区内部规划变动，功能未变</w:t>
            </w:r>
          </w:p>
        </w:tc>
        <w:tc>
          <w:tcPr>
            <w:tcW w:w="659"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6" w:hRule="atLeast"/>
          <w:tblHeader/>
          <w:jc w:val="center"/>
        </w:trPr>
        <w:tc>
          <w:tcPr>
            <w:tcW w:w="379"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p>
        </w:tc>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废气处理</w:t>
            </w:r>
          </w:p>
        </w:tc>
        <w:tc>
          <w:tcPr>
            <w:tcW w:w="1027"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3套催化燃烧装置</w:t>
            </w: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建设单位通过调整生产线布置，将第</w:t>
            </w:r>
            <w:r>
              <w:rPr>
                <w:rFonts w:hint="default" w:ascii="Times New Roman" w:hAnsi="Times New Roman" w:eastAsia="宋体" w:cs="Times New Roman"/>
                <w:sz w:val="21"/>
                <w:szCs w:val="21"/>
                <w:lang w:eastAsia="zh-CN"/>
              </w:rPr>
              <w:t>4、5、6</w:t>
            </w:r>
            <w:r>
              <w:rPr>
                <w:rFonts w:hint="default" w:ascii="Times New Roman" w:hAnsi="Times New Roman" w:eastAsia="宋体" w:cs="Times New Roman"/>
                <w:sz w:val="21"/>
                <w:szCs w:val="21"/>
                <w:lang w:val="en-US" w:eastAsia="zh-CN"/>
              </w:rPr>
              <w:t>生产线布设在</w:t>
            </w:r>
            <w:r>
              <w:rPr>
                <w:rFonts w:hint="eastAsia" w:cs="Times New Roman"/>
                <w:sz w:val="21"/>
                <w:szCs w:val="21"/>
                <w:lang w:val="en-US" w:eastAsia="zh-CN"/>
              </w:rPr>
              <w:t>2</w:t>
            </w:r>
            <w:r>
              <w:rPr>
                <w:rFonts w:hint="default" w:ascii="Times New Roman" w:hAnsi="Times New Roman" w:eastAsia="宋体" w:cs="Times New Roman"/>
                <w:sz w:val="21"/>
                <w:szCs w:val="21"/>
                <w:lang w:val="en-US" w:eastAsia="zh-CN"/>
              </w:rPr>
              <w:t>号厂房内，三条生产线废气通过一套废气催化燃烧处理设施处理后排放，本阶段仅设置一套</w:t>
            </w:r>
            <w:bookmarkStart w:id="163" w:name="_GoBack"/>
            <w:bookmarkEnd w:id="163"/>
          </w:p>
        </w:tc>
        <w:tc>
          <w:tcPr>
            <w:tcW w:w="76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根据现场监测结果有机废气可以达标排放，处理效率为98%，满足环评和设计文件要求</w:t>
            </w:r>
          </w:p>
        </w:tc>
        <w:tc>
          <w:tcPr>
            <w:tcW w:w="659"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否</w:t>
            </w:r>
          </w:p>
        </w:tc>
      </w:tr>
    </w:tbl>
    <w:p>
      <w:pPr>
        <w:ind w:firstLine="480" w:firstLineChars="200"/>
        <w:rPr>
          <w:rFonts w:hint="default" w:cs="Times New Roman" w:eastAsiaTheme="minorEastAsia"/>
          <w:spacing w:val="0"/>
          <w:w w:val="100"/>
          <w:kern w:val="2"/>
          <w:position w:val="0"/>
          <w:sz w:val="24"/>
          <w:szCs w:val="24"/>
          <w:shd w:val="clear"/>
          <w:lang w:val="en-US" w:eastAsia="zh-CN" w:bidi="ar-SA"/>
        </w:rPr>
      </w:pPr>
      <w:r>
        <w:rPr>
          <w:rFonts w:hint="eastAsia" w:cs="Times New Roman" w:eastAsiaTheme="minorEastAsia"/>
          <w:spacing w:val="0"/>
          <w:w w:val="100"/>
          <w:kern w:val="2"/>
          <w:position w:val="0"/>
          <w:sz w:val="24"/>
          <w:szCs w:val="24"/>
          <w:shd w:val="clear"/>
          <w:lang w:val="en-US" w:eastAsia="zh-CN" w:bidi="ar-SA"/>
        </w:rPr>
        <w:t>1、本次验收主体工程将原环评中设置三个车间，每个车间两条生产线，实际建设为两个车间，每个车间三条生产线，原环评产品仓库设置在各自车间内。1、2、3号生产线位于1号车间；4、5、6号生产线位于2号车间。厂内生产线数量和产品规模未发生变动。</w:t>
      </w:r>
    </w:p>
    <w:p>
      <w:pPr>
        <w:ind w:firstLine="480" w:firstLineChars="200"/>
        <w:rPr>
          <w:rFonts w:hint="default" w:cs="Times New Roman" w:eastAsiaTheme="minorEastAsia"/>
          <w:spacing w:val="0"/>
          <w:w w:val="100"/>
          <w:kern w:val="2"/>
          <w:position w:val="0"/>
          <w:sz w:val="24"/>
          <w:szCs w:val="24"/>
          <w:shd w:val="clear"/>
          <w:lang w:val="en-US" w:eastAsia="zh-CN" w:bidi="ar-SA"/>
        </w:rPr>
      </w:pPr>
      <w:r>
        <w:rPr>
          <w:rFonts w:hint="eastAsia" w:cs="Times New Roman" w:eastAsiaTheme="minorEastAsia"/>
          <w:spacing w:val="0"/>
          <w:w w:val="100"/>
          <w:kern w:val="2"/>
          <w:position w:val="0"/>
          <w:sz w:val="24"/>
          <w:szCs w:val="24"/>
          <w:shd w:val="clear"/>
          <w:lang w:val="en-US" w:eastAsia="zh-CN" w:bidi="ar-SA"/>
        </w:rPr>
        <w:t>2、厂区将原设计中的仓库合并到4#车间，与原有设计功能一致未发生变动，</w:t>
      </w:r>
    </w:p>
    <w:p>
      <w:pPr>
        <w:ind w:firstLine="480" w:firstLineChars="200"/>
        <w:rPr>
          <w:rFonts w:hint="default"/>
          <w:lang w:val="en-US" w:eastAsia="zh-CN"/>
        </w:rPr>
      </w:pPr>
      <w:r>
        <w:rPr>
          <w:rFonts w:hint="eastAsia" w:cs="Times New Roman" w:eastAsiaTheme="minorEastAsia"/>
          <w:spacing w:val="0"/>
          <w:w w:val="100"/>
          <w:kern w:val="2"/>
          <w:position w:val="0"/>
          <w:sz w:val="24"/>
          <w:szCs w:val="24"/>
          <w:shd w:val="clear"/>
          <w:lang w:val="en-US" w:eastAsia="zh-CN" w:bidi="ar-SA"/>
        </w:rPr>
        <w:t>3、由于现有的蓄热式氧化炉废气处理设施规模较大、处理效率较高，处理工艺更加先进；经现场监测</w:t>
      </w:r>
      <w:r>
        <w:rPr>
          <w:rFonts w:hint="eastAsia"/>
          <w:lang w:eastAsia="zh-CN"/>
        </w:rPr>
        <w:t>本次验收总量甲苯：</w:t>
      </w:r>
      <w:r>
        <w:rPr>
          <w:rFonts w:hint="eastAsia"/>
          <w:lang w:val="en-US" w:eastAsia="zh-CN"/>
        </w:rPr>
        <w:t>0.083t/a；非甲烷总烃：0.121t/a；乙酸乙酯：0.207t/a；满足环评</w:t>
      </w:r>
      <w:r>
        <w:rPr>
          <w:rFonts w:hint="eastAsia"/>
          <w:lang w:eastAsia="zh-CN"/>
        </w:rPr>
        <w:t>甲苯</w:t>
      </w:r>
      <w:r>
        <w:rPr>
          <w:rFonts w:hint="eastAsia"/>
          <w:lang w:val="en-US" w:eastAsia="zh-CN"/>
        </w:rPr>
        <w:t>3.661</w:t>
      </w:r>
      <w:r>
        <w:rPr>
          <w:rFonts w:hint="eastAsia"/>
          <w:lang w:eastAsia="zh-CN"/>
        </w:rPr>
        <w:t>t/a、乙酸乙酯</w:t>
      </w:r>
      <w:r>
        <w:rPr>
          <w:rFonts w:hint="eastAsia"/>
          <w:lang w:val="en-US" w:eastAsia="zh-CN"/>
        </w:rPr>
        <w:t>8.627</w:t>
      </w:r>
      <w:r>
        <w:rPr>
          <w:rFonts w:hint="eastAsia"/>
          <w:lang w:eastAsia="zh-CN"/>
        </w:rPr>
        <w:t>t/a、非甲烷总烃</w:t>
      </w:r>
      <w:r>
        <w:rPr>
          <w:rFonts w:hint="eastAsia"/>
          <w:lang w:val="en-US" w:eastAsia="zh-CN"/>
        </w:rPr>
        <w:t>0.814</w:t>
      </w:r>
      <w:r>
        <w:rPr>
          <w:rFonts w:hint="eastAsia"/>
          <w:lang w:eastAsia="zh-CN"/>
        </w:rPr>
        <w:t>t/a（</w:t>
      </w:r>
      <w:r>
        <w:rPr>
          <w:rFonts w:hint="eastAsia"/>
          <w:sz w:val="24"/>
          <w:szCs w:val="24"/>
          <w:lang w:val="en-US" w:eastAsia="zh-CN"/>
        </w:rPr>
        <w:t>原环评和批复的一半，</w:t>
      </w:r>
      <w:r>
        <w:rPr>
          <w:rFonts w:hint="eastAsia" w:ascii="Times New Roman" w:hAnsi="Times New Roman" w:cs="Times New Roman"/>
          <w:sz w:val="24"/>
          <w:szCs w:val="24"/>
        </w:rPr>
        <w:t>4、5、6号生产线</w:t>
      </w:r>
      <w:r>
        <w:rPr>
          <w:rFonts w:hint="eastAsia" w:cs="Times New Roman"/>
          <w:sz w:val="24"/>
          <w:szCs w:val="24"/>
          <w:lang w:val="en-US" w:eastAsia="zh-CN"/>
        </w:rPr>
        <w:t>的排放许可总量</w:t>
      </w:r>
      <w:r>
        <w:rPr>
          <w:rFonts w:hint="eastAsia"/>
          <w:lang w:eastAsia="zh-CN"/>
        </w:rPr>
        <w:t>）的总量控制要求。甲苯处理效率：</w:t>
      </w:r>
      <w:r>
        <w:rPr>
          <w:rFonts w:hint="eastAsia"/>
          <w:lang w:val="en-US" w:eastAsia="zh-CN"/>
        </w:rPr>
        <w:t>99%；非甲烷总烃处理效率：98%；乙酸乙酯处理效率：98%，满足环评和批复的排放和总量要求。</w:t>
      </w:r>
    </w:p>
    <w:p>
      <w:pPr>
        <w:keepNext w:val="0"/>
        <w:keepLines w:val="0"/>
        <w:pageBreakBefore w:val="0"/>
        <w:widowControl w:val="0"/>
        <w:kinsoku/>
        <w:wordWrap/>
        <w:overflowPunct/>
        <w:topLinePunct w:val="0"/>
        <w:autoSpaceDE/>
        <w:autoSpaceDN/>
        <w:bidi w:val="0"/>
        <w:adjustRightInd/>
        <w:snapToGrid/>
        <w:spacing w:before="199" w:beforeLines="50" w:line="360" w:lineRule="auto"/>
        <w:ind w:leftChars="0" w:firstLine="480" w:firstLineChars="200"/>
        <w:jc w:val="left"/>
        <w:textAlignment w:val="auto"/>
        <w:rPr>
          <w:rFonts w:hint="eastAsia"/>
        </w:rPr>
      </w:pPr>
      <w:r>
        <w:rPr>
          <w:rFonts w:hint="default" w:ascii="Times New Roman" w:hAnsi="Times New Roman" w:cs="Times New Roman" w:eastAsiaTheme="minorEastAsia"/>
          <w:spacing w:val="0"/>
          <w:w w:val="100"/>
          <w:kern w:val="2"/>
          <w:position w:val="0"/>
          <w:sz w:val="24"/>
          <w:szCs w:val="24"/>
          <w:shd w:val="clear"/>
          <w:lang w:val="en-US" w:eastAsia="zh-CN" w:bidi="ar-SA"/>
        </w:rPr>
        <w:t>由上可知本项目</w:t>
      </w:r>
      <w:r>
        <w:rPr>
          <w:rFonts w:hint="eastAsia" w:cs="Times New Roman" w:eastAsiaTheme="minorEastAsia"/>
          <w:spacing w:val="0"/>
          <w:w w:val="100"/>
          <w:kern w:val="2"/>
          <w:position w:val="0"/>
          <w:sz w:val="24"/>
          <w:szCs w:val="24"/>
          <w:shd w:val="clear"/>
          <w:lang w:val="en-US" w:eastAsia="zh-CN" w:bidi="ar-SA"/>
        </w:rPr>
        <w:t>厂房</w:t>
      </w:r>
      <w:r>
        <w:rPr>
          <w:rFonts w:hint="default" w:ascii="Times New Roman" w:hAnsi="Times New Roman" w:cs="Times New Roman" w:eastAsiaTheme="minorEastAsia"/>
          <w:spacing w:val="0"/>
          <w:w w:val="100"/>
          <w:kern w:val="2"/>
          <w:position w:val="0"/>
          <w:sz w:val="24"/>
          <w:szCs w:val="24"/>
          <w:shd w:val="clear"/>
          <w:lang w:val="en-US" w:eastAsia="zh-CN" w:bidi="ar-SA"/>
        </w:rPr>
        <w:t>变动</w:t>
      </w:r>
      <w:r>
        <w:rPr>
          <w:rFonts w:hint="eastAsia" w:cs="Times New Roman" w:eastAsiaTheme="minorEastAsia"/>
          <w:spacing w:val="0"/>
          <w:w w:val="100"/>
          <w:kern w:val="2"/>
          <w:position w:val="0"/>
          <w:sz w:val="24"/>
          <w:szCs w:val="24"/>
          <w:shd w:val="clear"/>
          <w:lang w:val="en-US" w:eastAsia="zh-CN" w:bidi="ar-SA"/>
        </w:rPr>
        <w:t>不会产生造成环境影响，因此</w:t>
      </w:r>
      <w:r>
        <w:rPr>
          <w:rFonts w:hint="default" w:ascii="Times New Roman" w:hAnsi="Times New Roman" w:cs="Times New Roman" w:eastAsiaTheme="minorEastAsia"/>
          <w:spacing w:val="0"/>
          <w:w w:val="100"/>
          <w:kern w:val="2"/>
          <w:position w:val="0"/>
          <w:sz w:val="24"/>
          <w:szCs w:val="24"/>
          <w:shd w:val="clear"/>
          <w:lang w:val="en-US" w:eastAsia="zh-CN" w:bidi="ar-SA"/>
        </w:rPr>
        <w:t>不属于重大变动。综上所述，根据《污染影响类建设项目重大变动清单（试行）》（环办环评函〔2020〕688号）可知，</w:t>
      </w:r>
      <w:r>
        <w:rPr>
          <w:rFonts w:hint="eastAsia" w:cs="Times New Roman" w:eastAsiaTheme="minorEastAsia"/>
          <w:spacing w:val="0"/>
          <w:w w:val="100"/>
          <w:kern w:val="2"/>
          <w:position w:val="0"/>
          <w:sz w:val="24"/>
          <w:szCs w:val="24"/>
          <w:shd w:val="clear"/>
          <w:lang w:val="en-US" w:eastAsia="zh-CN" w:bidi="ar-SA"/>
        </w:rPr>
        <w:t>本次验收</w:t>
      </w:r>
      <w:r>
        <w:rPr>
          <w:rFonts w:hint="default" w:ascii="Times New Roman" w:hAnsi="Times New Roman" w:cs="Times New Roman" w:eastAsiaTheme="minorEastAsia"/>
          <w:spacing w:val="0"/>
          <w:w w:val="100"/>
          <w:kern w:val="2"/>
          <w:position w:val="0"/>
          <w:sz w:val="24"/>
          <w:szCs w:val="24"/>
          <w:shd w:val="clear"/>
          <w:lang w:val="en-US" w:eastAsia="zh-CN" w:bidi="ar-SA"/>
        </w:rPr>
        <w:t>性质、规模、地点、生产工艺、环境保护措施发生重大变动，则需重新报批环评手续</w:t>
      </w:r>
      <w:r>
        <w:rPr>
          <w:rFonts w:hint="eastAsia" w:cs="Times New Roman" w:eastAsiaTheme="minorEastAsia"/>
          <w:spacing w:val="0"/>
          <w:w w:val="100"/>
          <w:kern w:val="2"/>
          <w:position w:val="0"/>
          <w:sz w:val="24"/>
          <w:szCs w:val="24"/>
          <w:shd w:val="clear"/>
          <w:lang w:val="en-US" w:eastAsia="zh-CN" w:bidi="ar-SA"/>
        </w:rPr>
        <w:t>。</w:t>
      </w:r>
    </w:p>
    <w:p>
      <w:pPr>
        <w:rPr>
          <w:rFonts w:hint="default"/>
          <w:lang w:val="en-US" w:eastAsia="zh-CN"/>
        </w:rPr>
        <w:sectPr>
          <w:footerReference r:id="rId17" w:type="default"/>
          <w:pgSz w:w="11850" w:h="16783"/>
          <w:pgMar w:top="1440" w:right="1800" w:bottom="1440" w:left="1800" w:header="794" w:footer="851" w:gutter="0"/>
          <w:pgNumType w:fmt="decimal"/>
          <w:cols w:space="720" w:num="1"/>
          <w:docGrid w:linePitch="395" w:charSpace="0"/>
        </w:sectPr>
      </w:pPr>
    </w:p>
    <w:p>
      <w:pPr>
        <w:pStyle w:val="5"/>
        <w:keepNext/>
        <w:keepLines/>
        <w:pageBreakBefore w:val="0"/>
        <w:widowControl w:val="0"/>
        <w:kinsoku/>
        <w:wordWrap/>
        <w:overflowPunct/>
        <w:topLinePunct w:val="0"/>
        <w:autoSpaceDE/>
        <w:autoSpaceDN/>
        <w:bidi w:val="0"/>
        <w:adjustRightInd/>
        <w:snapToGrid/>
        <w:spacing w:beforeLines="0" w:afterLines="0"/>
        <w:ind w:firstLine="0" w:firstLineChars="0"/>
        <w:textAlignment w:val="auto"/>
        <w:rPr>
          <w:sz w:val="36"/>
          <w:szCs w:val="36"/>
        </w:rPr>
      </w:pPr>
      <w:bookmarkStart w:id="57" w:name="_Toc3302"/>
      <w:bookmarkStart w:id="58" w:name="_Toc15036"/>
      <w:bookmarkStart w:id="59" w:name="_Toc21190"/>
      <w:r>
        <w:rPr>
          <w:rFonts w:hint="eastAsia"/>
          <w:sz w:val="36"/>
          <w:szCs w:val="36"/>
        </w:rPr>
        <w:t>4环境保护设施</w:t>
      </w:r>
      <w:bookmarkEnd w:id="57"/>
      <w:bookmarkEnd w:id="58"/>
      <w:bookmarkEnd w:id="59"/>
    </w:p>
    <w:p>
      <w:pPr>
        <w:pStyle w:val="6"/>
        <w:keepNext/>
        <w:pageBreakBefore w:val="0"/>
        <w:widowControl w:val="0"/>
        <w:kinsoku/>
        <w:wordWrap/>
        <w:overflowPunct/>
        <w:topLinePunct w:val="0"/>
        <w:autoSpaceDE/>
        <w:autoSpaceDN/>
        <w:bidi w:val="0"/>
        <w:adjustRightInd/>
        <w:snapToGrid/>
        <w:spacing w:beforeLines="0" w:afterLines="0"/>
        <w:ind w:firstLine="0" w:firstLineChars="0"/>
        <w:textAlignment w:val="auto"/>
        <w:rPr>
          <w:color w:val="auto"/>
          <w:sz w:val="32"/>
          <w:szCs w:val="32"/>
        </w:rPr>
      </w:pPr>
      <w:bookmarkStart w:id="60" w:name="_Toc31914"/>
      <w:bookmarkStart w:id="61" w:name="_Toc31218"/>
      <w:bookmarkStart w:id="62" w:name="_Toc12169"/>
      <w:r>
        <w:rPr>
          <w:rFonts w:hint="eastAsia"/>
          <w:color w:val="auto"/>
          <w:sz w:val="32"/>
          <w:szCs w:val="32"/>
        </w:rPr>
        <w:t>4.1污染物治理/处置设施</w:t>
      </w:r>
      <w:bookmarkEnd w:id="60"/>
      <w:bookmarkEnd w:id="61"/>
      <w:bookmarkEnd w:id="62"/>
    </w:p>
    <w:p>
      <w:pPr>
        <w:pStyle w:val="7"/>
        <w:keepNext/>
        <w:keepLines/>
        <w:pageBreakBefore w:val="0"/>
        <w:widowControl w:val="0"/>
        <w:kinsoku/>
        <w:wordWrap/>
        <w:overflowPunct/>
        <w:topLinePunct w:val="0"/>
        <w:autoSpaceDE/>
        <w:autoSpaceDN/>
        <w:bidi w:val="0"/>
        <w:adjustRightInd/>
        <w:snapToGrid/>
        <w:spacing w:beforeLines="0" w:afterLines="0"/>
        <w:ind w:firstLine="0" w:firstLineChars="0"/>
        <w:textAlignment w:val="auto"/>
        <w:rPr>
          <w:sz w:val="30"/>
          <w:szCs w:val="30"/>
        </w:rPr>
      </w:pPr>
      <w:bookmarkStart w:id="63" w:name="_Toc15345"/>
      <w:r>
        <w:rPr>
          <w:sz w:val="30"/>
          <w:szCs w:val="30"/>
        </w:rPr>
        <w:t>4.1.1废水</w:t>
      </w:r>
      <w:bookmarkEnd w:id="63"/>
    </w:p>
    <w:p>
      <w:pPr>
        <w:keepLines w:val="0"/>
        <w:pageBreakBefore w:val="0"/>
        <w:kinsoku/>
        <w:wordWrap/>
        <w:overflowPunct/>
        <w:topLinePunct w:val="0"/>
        <w:autoSpaceDE/>
        <w:autoSpaceDN/>
        <w:bidi w:val="0"/>
        <w:adjustRightInd/>
        <w:snapToGrid/>
        <w:spacing w:line="360" w:lineRule="auto"/>
        <w:ind w:leftChars="0" w:firstLine="480" w:firstLineChars="200"/>
        <w:jc w:val="left"/>
        <w:textAlignment w:val="auto"/>
      </w:pPr>
      <w:r>
        <w:rPr>
          <w:rFonts w:hint="eastAsia" w:cs="Times New Roman" w:eastAsiaTheme="minorEastAsia"/>
          <w:spacing w:val="0"/>
          <w:w w:val="100"/>
          <w:kern w:val="2"/>
          <w:position w:val="0"/>
          <w:sz w:val="24"/>
          <w:szCs w:val="24"/>
          <w:shd w:val="clear"/>
          <w:lang w:val="en-US" w:eastAsia="zh-CN" w:bidi="ar-SA"/>
        </w:rPr>
        <w:t>总厂区</w:t>
      </w:r>
      <w:r>
        <w:rPr>
          <w:rFonts w:hint="default" w:ascii="Times New Roman" w:hAnsi="Times New Roman" w:cs="Times New Roman" w:eastAsiaTheme="minorEastAsia"/>
          <w:spacing w:val="0"/>
          <w:w w:val="100"/>
          <w:kern w:val="2"/>
          <w:position w:val="0"/>
          <w:sz w:val="24"/>
          <w:szCs w:val="24"/>
          <w:shd w:val="clear"/>
          <w:lang w:val="en-US" w:eastAsia="zh-CN" w:bidi="ar-SA"/>
        </w:rPr>
        <w:t>用水量2040t/a，废水产生量为1000t/a，主要为生活污水。生活污水经厂区自建的化粪池处理后排入市政污水管网，经无为城东污水处理厂处理后，排入西河。</w:t>
      </w:r>
    </w:p>
    <w:p>
      <w:pPr>
        <w:pStyle w:val="7"/>
        <w:pageBreakBefore w:val="0"/>
        <w:widowControl w:val="0"/>
        <w:kinsoku/>
        <w:wordWrap/>
        <w:overflowPunct/>
        <w:topLinePunct w:val="0"/>
        <w:autoSpaceDE/>
        <w:autoSpaceDN/>
        <w:bidi w:val="0"/>
        <w:adjustRightInd/>
        <w:snapToGrid/>
        <w:spacing w:beforeLines="0" w:afterLines="0"/>
        <w:ind w:firstLine="0" w:firstLineChars="0"/>
        <w:textAlignment w:val="auto"/>
        <w:rPr>
          <w:sz w:val="30"/>
          <w:szCs w:val="30"/>
        </w:rPr>
      </w:pPr>
      <w:bookmarkStart w:id="64" w:name="_Toc29458"/>
      <w:r>
        <w:rPr>
          <w:sz w:val="30"/>
          <w:szCs w:val="30"/>
        </w:rPr>
        <w:t>4.1.</w:t>
      </w:r>
      <w:r>
        <w:rPr>
          <w:rFonts w:hint="eastAsia"/>
          <w:sz w:val="30"/>
          <w:szCs w:val="30"/>
        </w:rPr>
        <w:t>2</w:t>
      </w:r>
      <w:r>
        <w:rPr>
          <w:sz w:val="30"/>
          <w:szCs w:val="30"/>
        </w:rPr>
        <w:t>废</w:t>
      </w:r>
      <w:r>
        <w:rPr>
          <w:rFonts w:hint="eastAsia"/>
          <w:sz w:val="30"/>
          <w:szCs w:val="30"/>
        </w:rPr>
        <w:t>气</w:t>
      </w:r>
      <w:bookmarkEnd w:id="64"/>
    </w:p>
    <w:p>
      <w:pPr>
        <w:ind w:firstLine="480" w:firstLineChars="200"/>
      </w:pPr>
      <w:r>
        <w:t>根据工程分析，本项目产生的废气主要为有机废气，主要成分为甲苯、乙酸乙酯和非甲烷总烃。</w:t>
      </w:r>
    </w:p>
    <w:p>
      <w:pPr>
        <w:rPr>
          <w:rFonts w:hint="eastAsia" w:eastAsia="宋体"/>
          <w:b/>
          <w:bCs/>
          <w:lang w:eastAsia="zh-CN"/>
        </w:rPr>
      </w:pPr>
      <w:r>
        <w:rPr>
          <w:rFonts w:hint="eastAsia"/>
          <w:b/>
          <w:bCs/>
        </w:rPr>
        <w:t>（一）</w:t>
      </w:r>
      <w:r>
        <w:rPr>
          <w:rFonts w:hint="eastAsia"/>
          <w:b/>
          <w:bCs/>
          <w:lang w:eastAsia="zh-CN"/>
        </w:rPr>
        <w:t>有组织废气</w:t>
      </w:r>
    </w:p>
    <w:p>
      <w:pPr>
        <w:ind w:firstLine="476" w:firstLineChars="200"/>
        <w:rPr>
          <w:rFonts w:hint="eastAsia" w:ascii="Times New Roman" w:hAnsi="Times New Roman" w:eastAsia="宋体" w:cs="Times New Roman"/>
          <w:lang w:eastAsia="zh-CN"/>
        </w:rPr>
      </w:pPr>
      <w:r>
        <w:rPr>
          <w:rFonts w:hint="default" w:ascii="Times New Roman" w:hAnsi="Times New Roman" w:cs="Times New Roman"/>
          <w:spacing w:val="-1"/>
        </w:rPr>
        <w:t>项目有机废气主要产生于烘干阶段，涂胶及配料阶段也有少量有机废气挥发出来</w:t>
      </w:r>
      <w:r>
        <w:rPr>
          <w:rFonts w:hint="eastAsia" w:cs="Times New Roman"/>
          <w:spacing w:val="-1"/>
          <w:lang w:eastAsia="zh-CN"/>
        </w:rPr>
        <w:t>，本阶段验收</w:t>
      </w:r>
      <w:r>
        <w:rPr>
          <w:rFonts w:hint="default" w:ascii="Times New Roman" w:hAnsi="Times New Roman" w:cs="Times New Roman"/>
          <w:spacing w:val="-1"/>
        </w:rPr>
        <w:t>企业在生产厂房外设置1套蓄热式氧化炉及热回收成套设备处理</w:t>
      </w:r>
      <w:r>
        <w:rPr>
          <w:rFonts w:hint="eastAsia" w:cs="Times New Roman"/>
          <w:spacing w:val="-1"/>
          <w:lang w:val="en-US" w:eastAsia="zh-CN"/>
        </w:rPr>
        <w:t>3、4、5号生产线</w:t>
      </w:r>
      <w:r>
        <w:rPr>
          <w:rFonts w:hint="default" w:ascii="Times New Roman" w:hAnsi="Times New Roman" w:cs="Times New Roman"/>
          <w:spacing w:val="-1"/>
        </w:rPr>
        <w:t>目产生的有机废气，设置1个15m排气筒，有机废气经处理后通过排气筒排放</w:t>
      </w:r>
      <w:r>
        <w:rPr>
          <w:rFonts w:hint="eastAsia" w:cs="Times New Roman"/>
          <w:spacing w:val="-1"/>
          <w:lang w:eastAsia="zh-CN"/>
        </w:rPr>
        <w:t>。</w:t>
      </w:r>
    </w:p>
    <w:p>
      <w:pPr>
        <w:spacing w:line="360" w:lineRule="auto"/>
        <w:ind w:left="530"/>
        <w:rPr>
          <w:rFonts w:ascii="宋体" w:hAnsi="宋体" w:eastAsia="宋体" w:cs="宋体"/>
          <w:sz w:val="24"/>
          <w:szCs w:val="24"/>
        </w:rPr>
      </w:pPr>
      <w:r>
        <w:rPr>
          <w:rFonts w:ascii="宋体" w:hAnsi="宋体" w:eastAsia="宋体" w:cs="宋体"/>
          <w:spacing w:val="-1"/>
          <w:sz w:val="24"/>
          <w:szCs w:val="24"/>
          <w14:textOutline w14:w="4354" w14:cap="flat" w14:cmpd="sng">
            <w14:solidFill>
              <w14:srgbClr w14:val="000000"/>
            </w14:solidFill>
            <w14:prstDash w14:val="solid"/>
            <w14:miter w14:val="0"/>
          </w14:textOutline>
        </w:rPr>
        <w:t>蓄热式氧化</w:t>
      </w:r>
      <w:r>
        <w:rPr>
          <w:rFonts w:ascii="宋体" w:hAnsi="宋体" w:eastAsia="宋体" w:cs="宋体"/>
          <w:sz w:val="24"/>
          <w:szCs w:val="24"/>
          <w14:textOutline w14:w="4354" w14:cap="flat" w14:cmpd="sng">
            <w14:solidFill>
              <w14:srgbClr w14:val="000000"/>
            </w14:solidFill>
            <w14:prstDash w14:val="solid"/>
            <w14:miter w14:val="0"/>
          </w14:textOutline>
        </w:rPr>
        <w:t>炉及热回收成套设备工作原理：</w:t>
      </w:r>
    </w:p>
    <w:p>
      <w:pPr>
        <w:spacing w:line="360" w:lineRule="auto"/>
        <w:ind w:firstLine="476" w:firstLineChars="200"/>
        <w:rPr>
          <w:rFonts w:hint="default" w:ascii="Times New Roman" w:hAnsi="Times New Roman" w:cs="Times New Roman"/>
          <w:spacing w:val="-1"/>
        </w:rPr>
      </w:pPr>
      <w:r>
        <w:rPr>
          <w:rFonts w:hint="default" w:ascii="Times New Roman" w:hAnsi="Times New Roman" w:cs="Times New Roman"/>
          <w:spacing w:val="-1"/>
        </w:rPr>
        <w:t>蓄热式热氧化炉(RTO)与传统的催化燃烧、直燃式热氧化炉(TO)相比，具有热效率高(≥95%)、运行成本低、能处理大风量低浓度废气等特点，浓度稍高时，还可进行二次余热回收，大大降低生产运营成本。传统两床RTO的VOC去除率约98%。采用本公司专利产品-气密封式提升阀，加上VOC捕获器，两床的VOC去除率可提高到99%以上。</w:t>
      </w:r>
    </w:p>
    <w:p>
      <w:pPr>
        <w:spacing w:line="362" w:lineRule="auto"/>
        <w:ind w:firstLine="476" w:firstLineChars="200"/>
        <w:rPr>
          <w:rFonts w:hint="default" w:ascii="Times New Roman" w:hAnsi="Times New Roman" w:cs="Times New Roman"/>
          <w:sz w:val="21"/>
        </w:rPr>
      </w:pPr>
      <w:r>
        <w:rPr>
          <w:rFonts w:hint="default" w:ascii="Times New Roman" w:hAnsi="Times New Roman" w:cs="Times New Roman"/>
          <w:spacing w:val="-1"/>
        </w:rPr>
        <w:t>两床RTO主体结构由燃烧室、两个陶瓷填料床和四个切换蝶阀(或两组提升阀)组成。当有机废气进入陶瓷填料床1后，陶瓷填料床1放热，有机废气被加热到800℃左右后在燃烧室燃烧(刚启动时，使用天然气来预热陶瓷填料床)，燃烧后的高温洁净气体通过陶瓷填料床2，陶瓷填料床2吸热，高温气体则被填料</w:t>
      </w:r>
      <w:r>
        <w:drawing>
          <wp:anchor distT="0" distB="0" distL="0" distR="0" simplePos="0" relativeHeight="251680768" behindDoc="0" locked="0" layoutInCell="1" allowOverlap="1">
            <wp:simplePos x="0" y="0"/>
            <wp:positionH relativeFrom="column">
              <wp:posOffset>-1270</wp:posOffset>
            </wp:positionH>
            <wp:positionV relativeFrom="paragraph">
              <wp:posOffset>1282700</wp:posOffset>
            </wp:positionV>
            <wp:extent cx="5353050" cy="2723515"/>
            <wp:effectExtent l="0" t="0" r="0" b="635"/>
            <wp:wrapTopAndBottom/>
            <wp:docPr id="39" name="IM 12"/>
            <wp:cNvGraphicFramePr/>
            <a:graphic xmlns:a="http://schemas.openxmlformats.org/drawingml/2006/main">
              <a:graphicData uri="http://schemas.openxmlformats.org/drawingml/2006/picture">
                <pic:pic xmlns:pic="http://schemas.openxmlformats.org/drawingml/2006/picture">
                  <pic:nvPicPr>
                    <pic:cNvPr id="39" name="IM 12"/>
                    <pic:cNvPicPr/>
                  </pic:nvPicPr>
                  <pic:blipFill>
                    <a:blip r:embed="rId39"/>
                    <a:stretch>
                      <a:fillRect/>
                    </a:stretch>
                  </pic:blipFill>
                  <pic:spPr>
                    <a:xfrm>
                      <a:off x="0" y="0"/>
                      <a:ext cx="5353684" cy="2723515"/>
                    </a:xfrm>
                    <a:prstGeom prst="rect">
                      <a:avLst/>
                    </a:prstGeom>
                  </pic:spPr>
                </pic:pic>
              </a:graphicData>
            </a:graphic>
          </wp:anchor>
        </w:drawing>
      </w:r>
      <w:r>
        <w:rPr>
          <w:rFonts w:hint="default" w:ascii="Times New Roman" w:hAnsi="Times New Roman" w:cs="Times New Roman"/>
          <w:spacing w:val="-1"/>
        </w:rPr>
        <w:t>床2冷却后，经过切换阀排放。经过一段时间，阀门切换，有机废气从陶瓷填料床2进入，陶瓷填料床2放热加热废气，废气被氧化燃烧后通过陶瓷填料床1，陶瓷填料床1吸热，高温气体被冷却后通过切换阀排放。这样周期性地切换，就可连续处理有机废气。</w:t>
      </w:r>
    </w:p>
    <w:p>
      <w:pPr>
        <w:jc w:val="center"/>
        <w:rPr>
          <w:rFonts w:hint="default" w:ascii="Times New Roman" w:hAnsi="Times New Roman" w:eastAsia="黑体" w:cs="Times New Roman"/>
          <w:b/>
          <w:bCs/>
          <w:color w:val="auto"/>
          <w:kern w:val="24"/>
          <w:sz w:val="21"/>
          <w:szCs w:val="21"/>
          <w:lang w:val="en-US" w:eastAsia="zh-CN" w:bidi="ar-SA"/>
        </w:rPr>
      </w:pPr>
    </w:p>
    <w:p>
      <w:pPr>
        <w:jc w:val="center"/>
        <w:rPr>
          <w:rFonts w:hint="default" w:ascii="Times New Roman" w:hAnsi="Times New Roman" w:eastAsia="黑体" w:cs="Times New Roman"/>
          <w:b w:val="0"/>
          <w:bCs w:val="0"/>
          <w:sz w:val="21"/>
          <w:szCs w:val="21"/>
          <w:lang w:val="en-US" w:eastAsia="zh-CN"/>
        </w:rPr>
      </w:pPr>
      <w:r>
        <w:rPr>
          <w:rFonts w:hint="default" w:ascii="Times New Roman" w:hAnsi="Times New Roman" w:eastAsia="黑体" w:cs="Times New Roman"/>
          <w:b w:val="0"/>
          <w:bCs w:val="0"/>
          <w:sz w:val="21"/>
          <w:szCs w:val="21"/>
          <w:lang w:val="en-US" w:eastAsia="zh-CN"/>
        </w:rPr>
        <w:t>图4</w:t>
      </w:r>
      <w:r>
        <w:rPr>
          <w:rFonts w:hint="eastAsia" w:ascii="Times New Roman" w:hAnsi="Times New Roman" w:eastAsia="黑体" w:cs="Times New Roman"/>
          <w:b w:val="0"/>
          <w:bCs w:val="0"/>
          <w:sz w:val="21"/>
          <w:szCs w:val="21"/>
          <w:lang w:val="en-US" w:eastAsia="zh-CN"/>
        </w:rPr>
        <w:t>.1</w:t>
      </w:r>
      <w:r>
        <w:rPr>
          <w:rFonts w:hint="default" w:ascii="Times New Roman" w:hAnsi="Times New Roman" w:eastAsia="黑体" w:cs="Times New Roman"/>
          <w:b w:val="0"/>
          <w:bCs w:val="0"/>
          <w:sz w:val="21"/>
          <w:szCs w:val="21"/>
          <w:lang w:val="en-US" w:eastAsia="zh-CN"/>
        </w:rPr>
        <w:t>-1蓄热式氧化炉及热回收成套设备工作原理图1</w:t>
      </w:r>
    </w:p>
    <w:p>
      <w:pPr>
        <w:rPr>
          <w:rFonts w:hint="eastAsia"/>
          <w:b/>
          <w:bCs/>
        </w:rPr>
        <w:sectPr>
          <w:pgSz w:w="11850" w:h="16783"/>
          <w:pgMar w:top="1440" w:right="1800" w:bottom="1440" w:left="1800" w:header="794" w:footer="851" w:gutter="0"/>
          <w:pgNumType w:fmt="decimal"/>
          <w:cols w:space="720" w:num="1"/>
          <w:docGrid w:linePitch="395" w:charSpace="0"/>
        </w:sectPr>
      </w:pPr>
    </w:p>
    <w:p>
      <w:pPr>
        <w:spacing w:line="365" w:lineRule="auto"/>
        <w:rPr>
          <w:rFonts w:ascii="Arial"/>
          <w:sz w:val="21"/>
        </w:rPr>
      </w:pPr>
    </w:p>
    <w:p>
      <w:pPr>
        <w:spacing w:line="7574" w:lineRule="exact"/>
        <w:ind w:firstLine="28"/>
        <w:textAlignment w:val="center"/>
      </w:pPr>
      <w:r>
        <w:drawing>
          <wp:inline distT="0" distB="0" distL="0" distR="0">
            <wp:extent cx="8258175" cy="4809490"/>
            <wp:effectExtent l="0" t="0" r="9525" b="10160"/>
            <wp:docPr id="40" name="IM 13"/>
            <wp:cNvGraphicFramePr/>
            <a:graphic xmlns:a="http://schemas.openxmlformats.org/drawingml/2006/main">
              <a:graphicData uri="http://schemas.openxmlformats.org/drawingml/2006/picture">
                <pic:pic xmlns:pic="http://schemas.openxmlformats.org/drawingml/2006/picture">
                  <pic:nvPicPr>
                    <pic:cNvPr id="40" name="IM 13"/>
                    <pic:cNvPicPr/>
                  </pic:nvPicPr>
                  <pic:blipFill>
                    <a:blip r:embed="rId40"/>
                    <a:stretch>
                      <a:fillRect/>
                    </a:stretch>
                  </pic:blipFill>
                  <pic:spPr>
                    <a:xfrm>
                      <a:off x="0" y="0"/>
                      <a:ext cx="8258809" cy="4809490"/>
                    </a:xfrm>
                    <a:prstGeom prst="rect">
                      <a:avLst/>
                    </a:prstGeom>
                  </pic:spPr>
                </pic:pic>
              </a:graphicData>
            </a:graphic>
          </wp:inline>
        </w:drawing>
      </w:r>
    </w:p>
    <w:p>
      <w:pPr>
        <w:jc w:val="center"/>
        <w:rPr>
          <w:rFonts w:hint="default" w:ascii="Times New Roman" w:hAnsi="Times New Roman" w:eastAsia="黑体" w:cs="Times New Roman"/>
          <w:b w:val="0"/>
          <w:bCs w:val="0"/>
          <w:sz w:val="21"/>
          <w:szCs w:val="21"/>
          <w:lang w:val="en-US" w:eastAsia="zh-CN"/>
        </w:rPr>
      </w:pPr>
    </w:p>
    <w:p>
      <w:pPr>
        <w:jc w:val="center"/>
        <w:rPr>
          <w:rFonts w:hint="eastAsia" w:ascii="Times New Roman" w:hAnsi="Times New Roman" w:eastAsia="黑体" w:cs="Times New Roman"/>
          <w:b w:val="0"/>
          <w:bCs w:val="0"/>
          <w:sz w:val="21"/>
          <w:szCs w:val="21"/>
          <w:lang w:val="en-US" w:eastAsia="zh-CN"/>
        </w:rPr>
        <w:sectPr>
          <w:pgSz w:w="16783" w:h="11850" w:orient="landscape"/>
          <w:pgMar w:top="1440" w:right="1800" w:bottom="1440" w:left="1800" w:header="794" w:footer="851" w:gutter="0"/>
          <w:pgNumType w:fmt="decimal"/>
          <w:cols w:space="720" w:num="1"/>
          <w:docGrid w:linePitch="395" w:charSpace="0"/>
        </w:sectPr>
      </w:pPr>
      <w:r>
        <w:rPr>
          <w:rFonts w:hint="default" w:ascii="Times New Roman" w:hAnsi="Times New Roman" w:eastAsia="黑体" w:cs="Times New Roman"/>
          <w:b w:val="0"/>
          <w:bCs w:val="0"/>
          <w:sz w:val="21"/>
          <w:szCs w:val="21"/>
          <w:lang w:val="en-US" w:eastAsia="zh-CN"/>
        </w:rPr>
        <w:t>图4</w:t>
      </w:r>
      <w:r>
        <w:rPr>
          <w:rFonts w:hint="eastAsia" w:ascii="Times New Roman" w:hAnsi="Times New Roman" w:eastAsia="黑体" w:cs="Times New Roman"/>
          <w:b w:val="0"/>
          <w:bCs w:val="0"/>
          <w:sz w:val="21"/>
          <w:szCs w:val="21"/>
          <w:lang w:val="en-US" w:eastAsia="zh-CN"/>
        </w:rPr>
        <w:t>.1</w:t>
      </w:r>
      <w:r>
        <w:rPr>
          <w:rFonts w:hint="default" w:ascii="Times New Roman" w:hAnsi="Times New Roman" w:eastAsia="黑体" w:cs="Times New Roman"/>
          <w:b w:val="0"/>
          <w:bCs w:val="0"/>
          <w:sz w:val="21"/>
          <w:szCs w:val="21"/>
          <w:lang w:val="en-US" w:eastAsia="zh-CN"/>
        </w:rPr>
        <w:t>-2蓄热式氧化炉及热回收成套设备工作原理图2</w:t>
      </w:r>
    </w:p>
    <w:p>
      <w:pPr>
        <w:rPr>
          <w:rFonts w:hint="eastAsia"/>
          <w:b/>
          <w:bCs/>
          <w:lang w:eastAsia="zh-CN"/>
        </w:rPr>
      </w:pPr>
      <w:r>
        <w:rPr>
          <w:rFonts w:hint="eastAsia"/>
          <w:b/>
          <w:bCs/>
          <w:lang w:eastAsia="zh-CN"/>
        </w:rPr>
        <w:t>（二）无组织废气控制措施</w:t>
      </w:r>
    </w:p>
    <w:p>
      <w:pPr>
        <w:spacing w:line="360" w:lineRule="auto"/>
        <w:ind w:firstLine="476" w:firstLineChars="200"/>
        <w:rPr>
          <w:rFonts w:hint="eastAsia" w:ascii="Times New Roman" w:hAnsi="Times New Roman" w:cs="Times New Roman"/>
          <w:spacing w:val="-1"/>
          <w:vertAlign w:val="baseline"/>
        </w:rPr>
      </w:pPr>
      <w:bookmarkStart w:id="65" w:name="_Toc8766"/>
      <w:r>
        <w:rPr>
          <w:rFonts w:hint="default" w:ascii="Times New Roman" w:hAnsi="Times New Roman" w:cs="Times New Roman"/>
          <w:spacing w:val="-1"/>
        </w:rPr>
        <w:t>项目调配及涂胶过程产的的有机废气通过在设备上方设置集气罩进行收集，减少无组织废气的排放，由于集气罩无法完全收集，会有少量有机废气以无组织的形式排放车间内，在车间设置排风换气装置等措施，可以减少对车间内及周围环境的影响。</w:t>
      </w:r>
    </w:p>
    <w:tbl>
      <w:tblPr>
        <w:tblStyle w:val="19"/>
        <w:tblW w:w="453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1" w:hRule="atLeast"/>
          <w:jc w:val="center"/>
        </w:trPr>
        <w:tc>
          <w:tcPr>
            <w:tcW w:w="5000" w:type="pct"/>
          </w:tcPr>
          <w:p>
            <w:pPr>
              <w:spacing w:line="360" w:lineRule="auto"/>
              <w:jc w:val="center"/>
              <w:rPr>
                <w:rFonts w:hint="eastAsia" w:ascii="Times New Roman" w:hAnsi="Times New Roman" w:eastAsia="宋体" w:cs="Times New Roman"/>
                <w:spacing w:val="-1"/>
                <w:vertAlign w:val="baseline"/>
                <w:lang w:eastAsia="zh-CN"/>
              </w:rPr>
            </w:pPr>
            <w:r>
              <w:rPr>
                <w:rFonts w:hint="eastAsia" w:ascii="Times New Roman" w:hAnsi="Times New Roman" w:eastAsia="宋体" w:cs="Times New Roman"/>
                <w:spacing w:val="-1"/>
                <w:vertAlign w:val="baseline"/>
                <w:lang w:eastAsia="zh-CN"/>
              </w:rPr>
              <w:drawing>
                <wp:inline distT="0" distB="0" distL="114300" distR="114300">
                  <wp:extent cx="4690110" cy="3249295"/>
                  <wp:effectExtent l="0" t="0" r="15240" b="8255"/>
                  <wp:docPr id="44" name="图片 44" descr="b5c935f38465c669ac33b8e5d763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b5c935f38465c669ac33b8e5d763383"/>
                          <pic:cNvPicPr>
                            <a:picLocks noChangeAspect="1"/>
                          </pic:cNvPicPr>
                        </pic:nvPicPr>
                        <pic:blipFill>
                          <a:blip r:embed="rId41"/>
                          <a:stretch>
                            <a:fillRect/>
                          </a:stretch>
                        </pic:blipFill>
                        <pic:spPr>
                          <a:xfrm>
                            <a:off x="0" y="0"/>
                            <a:ext cx="4690110" cy="324929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5000" w:type="pct"/>
            <w:vAlign w:val="center"/>
          </w:tcPr>
          <w:p>
            <w:pPr>
              <w:spacing w:line="360" w:lineRule="auto"/>
              <w:jc w:val="center"/>
              <w:rPr>
                <w:rFonts w:hint="eastAsia" w:ascii="Times New Roman" w:hAnsi="Times New Roman" w:cs="Times New Roman"/>
                <w:spacing w:val="-1"/>
                <w:vertAlign w:val="baseline"/>
              </w:rPr>
            </w:pPr>
            <w:r>
              <w:rPr>
                <w:rFonts w:hint="default"/>
                <w:b/>
                <w:bCs/>
                <w:lang w:eastAsia="zh-CN"/>
              </w:rPr>
              <w:t>蓄热式氧化炉及热回收成套设备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5" w:hRule="atLeast"/>
          <w:jc w:val="center"/>
        </w:trPr>
        <w:tc>
          <w:tcPr>
            <w:tcW w:w="5000" w:type="pct"/>
            <w:vAlign w:val="center"/>
          </w:tcPr>
          <w:p>
            <w:pPr>
              <w:spacing w:line="240" w:lineRule="auto"/>
              <w:jc w:val="center"/>
              <w:rPr>
                <w:rFonts w:hint="eastAsia" w:eastAsia="宋体"/>
                <w:lang w:eastAsia="zh-CN"/>
              </w:rPr>
            </w:pPr>
            <w:r>
              <w:rPr>
                <w:rFonts w:hint="eastAsia" w:eastAsia="宋体"/>
                <w:lang w:eastAsia="zh-CN"/>
              </w:rPr>
              <w:drawing>
                <wp:inline distT="0" distB="0" distL="114300" distR="114300">
                  <wp:extent cx="4813300" cy="3343275"/>
                  <wp:effectExtent l="0" t="0" r="6350" b="9525"/>
                  <wp:docPr id="45" name="图片 45" descr="be126aed882306b011503857b4b26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be126aed882306b011503857b4b26bf"/>
                          <pic:cNvPicPr>
                            <a:picLocks noChangeAspect="1"/>
                          </pic:cNvPicPr>
                        </pic:nvPicPr>
                        <pic:blipFill>
                          <a:blip r:embed="rId42"/>
                          <a:stretch>
                            <a:fillRect/>
                          </a:stretch>
                        </pic:blipFill>
                        <pic:spPr>
                          <a:xfrm>
                            <a:off x="0" y="0"/>
                            <a:ext cx="4813300" cy="334327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000" w:type="pct"/>
            <w:vAlign w:val="center"/>
          </w:tcPr>
          <w:p>
            <w:pPr>
              <w:spacing w:line="240" w:lineRule="auto"/>
              <w:jc w:val="center"/>
              <w:rPr>
                <w:b/>
                <w:bCs/>
              </w:rPr>
            </w:pPr>
            <w:r>
              <w:rPr>
                <w:rFonts w:hint="eastAsia"/>
                <w:b/>
                <w:bCs/>
                <w:lang w:eastAsia="zh-CN"/>
              </w:rPr>
              <w:t>涂胶废气</w:t>
            </w:r>
            <w:r>
              <w:rPr>
                <w:rFonts w:hint="eastAsia"/>
                <w:b/>
                <w:bCs/>
              </w:rPr>
              <w:t>处理设施</w:t>
            </w:r>
          </w:p>
        </w:tc>
      </w:tr>
    </w:tbl>
    <w:p>
      <w:pPr>
        <w:pStyle w:val="21"/>
        <w:rPr>
          <w:rFonts w:hint="eastAsia"/>
        </w:rPr>
        <w:sectPr>
          <w:pgSz w:w="11850" w:h="16783"/>
          <w:pgMar w:top="1440" w:right="1800" w:bottom="1440" w:left="1800" w:header="794" w:footer="851" w:gutter="0"/>
          <w:pgNumType w:fmt="decimal"/>
          <w:cols w:space="720" w:num="1"/>
          <w:docGrid w:linePitch="395" w:charSpace="0"/>
        </w:sectPr>
      </w:pPr>
    </w:p>
    <w:p>
      <w:pPr>
        <w:pStyle w:val="7"/>
        <w:spacing w:beforeLines="0" w:afterLines="0"/>
        <w:ind w:firstLine="281"/>
        <w:rPr>
          <w:sz w:val="30"/>
          <w:szCs w:val="30"/>
        </w:rPr>
      </w:pPr>
      <w:r>
        <w:rPr>
          <w:sz w:val="30"/>
          <w:szCs w:val="30"/>
        </w:rPr>
        <w:t>4.1.</w:t>
      </w:r>
      <w:r>
        <w:rPr>
          <w:rFonts w:hint="eastAsia"/>
          <w:sz w:val="30"/>
          <w:szCs w:val="30"/>
        </w:rPr>
        <w:t>3噪声</w:t>
      </w:r>
      <w:bookmarkEnd w:id="65"/>
    </w:p>
    <w:p>
      <w:pPr>
        <w:ind w:firstLine="480" w:firstLineChars="200"/>
        <w:rPr>
          <w:rFonts w:hint="default" w:ascii="Times New Roman" w:hAnsi="Times New Roman" w:cs="Times New Roman"/>
          <w:spacing w:val="0"/>
          <w:sz w:val="24"/>
        </w:rPr>
      </w:pPr>
      <w:bookmarkStart w:id="66" w:name="_Toc15553"/>
      <w:r>
        <w:rPr>
          <w:rFonts w:hint="default" w:ascii="Times New Roman" w:hAnsi="Times New Roman" w:cs="Times New Roman"/>
          <w:spacing w:val="0"/>
          <w:sz w:val="24"/>
        </w:rPr>
        <w:t>本项目噪声源主要为搅拌机、涂布机、卷绕机、风机等，采取的噪声治理措施如下：</w:t>
      </w:r>
    </w:p>
    <w:p>
      <w:pPr>
        <w:ind w:firstLine="480" w:firstLineChars="200"/>
        <w:rPr>
          <w:rFonts w:hint="default"/>
          <w:spacing w:val="0"/>
          <w:sz w:val="24"/>
        </w:rPr>
      </w:pPr>
      <w:r>
        <w:rPr>
          <w:rFonts w:hint="default"/>
          <w:spacing w:val="0"/>
          <w:sz w:val="24"/>
        </w:rPr>
        <w:t>1、从声源上降噪</w:t>
      </w:r>
    </w:p>
    <w:p>
      <w:pPr>
        <w:ind w:firstLine="480" w:firstLineChars="200"/>
        <w:rPr>
          <w:rFonts w:hint="default"/>
          <w:spacing w:val="0"/>
          <w:sz w:val="24"/>
        </w:rPr>
      </w:pPr>
      <w:r>
        <w:rPr>
          <w:rFonts w:hint="default"/>
          <w:spacing w:val="0"/>
          <w:sz w:val="24"/>
        </w:rPr>
        <w:t>根据本项目噪声源特征，</w:t>
      </w:r>
      <w:r>
        <w:rPr>
          <w:rFonts w:hint="eastAsia"/>
          <w:spacing w:val="0"/>
          <w:sz w:val="24"/>
          <w:lang w:eastAsia="zh-CN"/>
        </w:rPr>
        <w:t>本项目</w:t>
      </w:r>
      <w:r>
        <w:rPr>
          <w:rFonts w:hint="default"/>
          <w:spacing w:val="0"/>
          <w:sz w:val="24"/>
        </w:rPr>
        <w:t>选用</w:t>
      </w:r>
      <w:r>
        <w:rPr>
          <w:rFonts w:hint="eastAsia"/>
          <w:spacing w:val="0"/>
          <w:sz w:val="24"/>
          <w:lang w:eastAsia="zh-CN"/>
        </w:rPr>
        <w:t>了</w:t>
      </w:r>
      <w:r>
        <w:rPr>
          <w:rFonts w:hint="default"/>
          <w:spacing w:val="0"/>
          <w:sz w:val="24"/>
        </w:rPr>
        <w:t>低噪声、低振动型号的设备，从而从声源上降低设备本身的噪声。</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pacing w:val="0"/>
          <w:sz w:val="24"/>
          <w:lang w:eastAsia="zh-CN"/>
        </w:rPr>
      </w:pPr>
      <w:r>
        <w:rPr>
          <w:rFonts w:hint="default"/>
          <w:spacing w:val="0"/>
          <w:sz w:val="24"/>
        </w:rPr>
        <w:t>为防止振动产生的噪声污染，本项目各类噪声设备、泵、风机均设置单独基础，并加设减振垫，以防治振动产生噪音。各种泵的进、出口均采用减振软接头</w:t>
      </w:r>
      <w:r>
        <w:rPr>
          <w:rFonts w:hint="eastAsia"/>
          <w:spacing w:val="0"/>
          <w:sz w:val="24"/>
          <w:lang w:eastAsia="zh-CN"/>
        </w:rPr>
        <w:t>。</w:t>
      </w:r>
      <w:bookmarkEnd w:id="66"/>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eastAsia="宋体"/>
          <w:spacing w:val="0"/>
          <w:sz w:val="24"/>
          <w:lang w:val="en-US" w:eastAsia="zh-CN"/>
        </w:rPr>
      </w:pPr>
      <w:r>
        <w:rPr>
          <w:rFonts w:ascii="Times New Roman" w:hAnsi="Times New Roman" w:eastAsia="Times New Roman" w:cs="Times New Roman"/>
          <w:spacing w:val="0"/>
          <w:sz w:val="24"/>
          <w:szCs w:val="24"/>
        </w:rPr>
        <w:t>2</w:t>
      </w:r>
      <w:r>
        <w:rPr>
          <w:rFonts w:ascii="宋体" w:hAnsi="宋体" w:eastAsia="宋体" w:cs="宋体"/>
          <w:spacing w:val="0"/>
          <w:sz w:val="24"/>
          <w:szCs w:val="24"/>
        </w:rPr>
        <w:t>、从传播途径上降噪</w:t>
      </w:r>
    </w:p>
    <w:p>
      <w:pPr>
        <w:ind w:firstLine="480" w:firstLineChars="200"/>
        <w:rPr>
          <w:rFonts w:hint="eastAsia"/>
          <w:spacing w:val="0"/>
          <w:sz w:val="24"/>
          <w:lang w:eastAsia="zh-CN"/>
        </w:rPr>
      </w:pPr>
      <w:r>
        <w:rPr>
          <w:rFonts w:hint="eastAsia"/>
          <w:spacing w:val="0"/>
          <w:sz w:val="24"/>
          <w:lang w:val="en-US" w:eastAsia="zh-CN"/>
        </w:rPr>
        <w:t>综合降噪</w:t>
      </w:r>
      <w:r>
        <w:rPr>
          <w:spacing w:val="0"/>
          <w:sz w:val="24"/>
        </w:rPr>
        <w:t>措施：除选择低噪设备外，在安装上注意到风机、水泵本身</w:t>
      </w:r>
      <w:r>
        <w:rPr>
          <w:rFonts w:hint="eastAsia"/>
          <w:spacing w:val="0"/>
          <w:sz w:val="24"/>
          <w:lang w:eastAsia="zh-CN"/>
        </w:rPr>
        <w:t>已按照</w:t>
      </w:r>
      <w:r>
        <w:rPr>
          <w:spacing w:val="0"/>
          <w:sz w:val="24"/>
        </w:rPr>
        <w:t>减振底座，安装位置具有减振台基础，主排风管在风气出口配置消声器，排风管道进出口加柔性软接头。对于设置在屋顶的风机或排气口加设风机隔声罩，以降低风机噪声对周围环境的影响。</w:t>
      </w:r>
    </w:p>
    <w:p>
      <w:pPr>
        <w:pStyle w:val="7"/>
        <w:spacing w:beforeLines="0" w:afterLines="0"/>
        <w:ind w:firstLine="281"/>
        <w:rPr>
          <w:rFonts w:hint="default"/>
          <w:sz w:val="30"/>
          <w:szCs w:val="30"/>
          <w:lang w:val="en-US"/>
        </w:rPr>
      </w:pPr>
      <w:r>
        <w:rPr>
          <w:rFonts w:hint="eastAsia"/>
          <w:sz w:val="30"/>
          <w:szCs w:val="30"/>
          <w:lang w:val="en-US" w:eastAsia="zh-CN"/>
        </w:rPr>
        <w:t>4.1.4固体废物</w:t>
      </w:r>
    </w:p>
    <w:p>
      <w:pPr>
        <w:ind w:firstLine="480" w:firstLineChars="200"/>
        <w:rPr>
          <w:rFonts w:hint="eastAsia" w:eastAsia="宋体"/>
          <w:spacing w:val="0"/>
          <w:sz w:val="24"/>
          <w:lang w:eastAsia="zh-CN"/>
        </w:rPr>
      </w:pPr>
      <w:bookmarkStart w:id="67" w:name="_Toc17427"/>
      <w:bookmarkStart w:id="68" w:name="_Toc25361"/>
      <w:r>
        <w:rPr>
          <w:spacing w:val="0"/>
          <w:sz w:val="24"/>
        </w:rPr>
        <w:t>本项目产生的固体废物包括一般固废和危险废物。一般固废主要有废包装材料、分切边角料和生活垃圾；危险废物主要为废抹布及手套、废包装桶、涂胶废渣</w:t>
      </w:r>
      <w:r>
        <w:rPr>
          <w:rFonts w:hint="eastAsia"/>
          <w:spacing w:val="0"/>
          <w:sz w:val="24"/>
          <w:lang w:eastAsia="zh-CN"/>
        </w:rPr>
        <w:t>、废活性炭。</w:t>
      </w:r>
    </w:p>
    <w:p>
      <w:pPr>
        <w:ind w:firstLine="476" w:firstLineChars="200"/>
        <w:rPr>
          <w:rFonts w:hint="default" w:ascii="Times New Roman" w:hAnsi="Times New Roman" w:cs="Times New Roman"/>
          <w:spacing w:val="-1"/>
        </w:rPr>
      </w:pPr>
      <w:r>
        <w:rPr>
          <w:rFonts w:hint="default" w:ascii="Times New Roman" w:hAnsi="Times New Roman" w:cs="Times New Roman"/>
          <w:spacing w:val="-1"/>
        </w:rPr>
        <w:t>（1）一般固体废物名称：</w:t>
      </w:r>
      <w:r>
        <w:rPr>
          <w:spacing w:val="0"/>
          <w:sz w:val="24"/>
        </w:rPr>
        <w:t>废包装材料、分切边角料和生活垃圾</w:t>
      </w:r>
      <w:r>
        <w:rPr>
          <w:rFonts w:hint="default" w:ascii="Times New Roman" w:hAnsi="Times New Roman" w:cs="Times New Roman"/>
          <w:spacing w:val="-1"/>
        </w:rPr>
        <w:t>。</w:t>
      </w:r>
    </w:p>
    <w:p>
      <w:pPr>
        <w:ind w:firstLine="480" w:firstLineChars="200"/>
        <w:rPr>
          <w:spacing w:val="0"/>
          <w:sz w:val="24"/>
        </w:rPr>
      </w:pPr>
      <w:r>
        <w:rPr>
          <w:spacing w:val="0"/>
          <w:sz w:val="24"/>
        </w:rPr>
        <w:t>一般固废外卖综合利用；生活垃圾属于非综合利用固废，委托环卫部门定期清运。本项目一般固废均得到合理有效的处理、处置，不会对环境产生二次污染。</w:t>
      </w:r>
    </w:p>
    <w:p>
      <w:pPr>
        <w:numPr>
          <w:ilvl w:val="0"/>
          <w:numId w:val="0"/>
        </w:numPr>
        <w:ind w:firstLine="480" w:firstLineChars="200"/>
        <w:rPr>
          <w:color w:val="0000FF"/>
          <w:spacing w:val="0"/>
          <w:sz w:val="24"/>
        </w:rPr>
      </w:pPr>
      <w:r>
        <w:rPr>
          <w:rFonts w:hint="eastAsia"/>
          <w:spacing w:val="0"/>
          <w:sz w:val="24"/>
          <w:lang w:eastAsia="zh-CN"/>
        </w:rPr>
        <w:t>（</w:t>
      </w:r>
      <w:r>
        <w:rPr>
          <w:rFonts w:hint="eastAsia"/>
          <w:spacing w:val="0"/>
          <w:sz w:val="24"/>
          <w:lang w:val="en-US" w:eastAsia="zh-CN"/>
        </w:rPr>
        <w:t>2</w:t>
      </w:r>
      <w:r>
        <w:rPr>
          <w:rFonts w:hint="eastAsia"/>
          <w:spacing w:val="0"/>
          <w:sz w:val="24"/>
          <w:lang w:eastAsia="zh-CN"/>
        </w:rPr>
        <w:t>）</w:t>
      </w:r>
      <w:r>
        <w:rPr>
          <w:spacing w:val="0"/>
          <w:sz w:val="24"/>
        </w:rPr>
        <w:t>危险固体废物：废抹布及手套、废包装桶</w:t>
      </w:r>
      <w:r>
        <w:rPr>
          <w:color w:val="auto"/>
          <w:spacing w:val="0"/>
          <w:sz w:val="24"/>
        </w:rPr>
        <w:t>。</w:t>
      </w:r>
    </w:p>
    <w:p>
      <w:pPr>
        <w:ind w:firstLine="480" w:firstLineChars="200"/>
        <w:rPr>
          <w:spacing w:val="0"/>
          <w:sz w:val="24"/>
        </w:rPr>
      </w:pPr>
      <w:r>
        <w:rPr>
          <w:spacing w:val="0"/>
          <w:sz w:val="24"/>
        </w:rPr>
        <w:t>危险废物在收集时，</w:t>
      </w:r>
      <w:r>
        <w:rPr>
          <w:rFonts w:hint="eastAsia"/>
          <w:spacing w:val="0"/>
          <w:sz w:val="24"/>
          <w:lang w:eastAsia="zh-CN"/>
        </w:rPr>
        <w:t>分辨</w:t>
      </w:r>
      <w:r>
        <w:rPr>
          <w:spacing w:val="0"/>
          <w:sz w:val="24"/>
        </w:rPr>
        <w:t>废物的类别及主要成份，委托处理单位处理，根据危险废物的性质和形态，采用不同大小和不同材质的容器进行包装，所有包装容器足够安全，并经过周密检查，严防在装载、搬移或运输途中出现渗漏、溢出、抛洒或挥发等情况。危险废物送往</w:t>
      </w:r>
      <w:r>
        <w:rPr>
          <w:rFonts w:hint="eastAsia"/>
          <w:spacing w:val="0"/>
          <w:sz w:val="24"/>
          <w:lang w:eastAsia="zh-CN"/>
        </w:rPr>
        <w:t>有资质</w:t>
      </w:r>
      <w:r>
        <w:rPr>
          <w:spacing w:val="0"/>
          <w:sz w:val="24"/>
        </w:rPr>
        <w:t>处置单位处理，不在厂内存放过长时间，需</w:t>
      </w:r>
      <w:r>
        <w:rPr>
          <w:rFonts w:hint="eastAsia"/>
          <w:spacing w:val="0"/>
          <w:sz w:val="24"/>
          <w:lang w:eastAsia="zh-CN"/>
        </w:rPr>
        <w:t>要</w:t>
      </w:r>
      <w:r>
        <w:rPr>
          <w:spacing w:val="0"/>
          <w:sz w:val="24"/>
        </w:rPr>
        <w:t>暂存的，做到以下几点：</w:t>
      </w:r>
    </w:p>
    <w:p>
      <w:pPr>
        <w:numPr>
          <w:ilvl w:val="0"/>
          <w:numId w:val="0"/>
        </w:numPr>
        <w:ind w:firstLine="480" w:firstLineChars="200"/>
        <w:rPr>
          <w:spacing w:val="0"/>
          <w:sz w:val="24"/>
        </w:rPr>
      </w:pPr>
      <w:r>
        <w:rPr>
          <w:spacing w:val="0"/>
          <w:sz w:val="24"/>
        </w:rPr>
        <w:t>①厂内设立危险废物临时贮存设施，贮存设施应符合《危险废物贮存污染控制标准》(GB18597-2001)规定的临时贮存控制要求，有符合要求的专用标志。</w:t>
      </w:r>
    </w:p>
    <w:p>
      <w:pPr>
        <w:numPr>
          <w:ilvl w:val="0"/>
          <w:numId w:val="0"/>
        </w:numPr>
        <w:ind w:firstLine="480" w:firstLineChars="200"/>
        <w:rPr>
          <w:spacing w:val="0"/>
          <w:sz w:val="24"/>
        </w:rPr>
      </w:pPr>
      <w:r>
        <w:rPr>
          <w:spacing w:val="0"/>
          <w:sz w:val="24"/>
        </w:rPr>
        <w:t>②贮存区内禁止混放不相容危险废物。</w:t>
      </w:r>
    </w:p>
    <w:p>
      <w:pPr>
        <w:numPr>
          <w:ilvl w:val="0"/>
          <w:numId w:val="0"/>
        </w:numPr>
        <w:ind w:firstLine="480" w:firstLineChars="200"/>
        <w:rPr>
          <w:spacing w:val="0"/>
          <w:sz w:val="24"/>
        </w:rPr>
      </w:pPr>
      <w:r>
        <w:rPr>
          <w:spacing w:val="0"/>
          <w:sz w:val="24"/>
        </w:rPr>
        <w:t>③贮存区</w:t>
      </w:r>
      <w:r>
        <w:rPr>
          <w:rFonts w:hint="eastAsia"/>
          <w:spacing w:val="0"/>
          <w:sz w:val="24"/>
          <w:lang w:eastAsia="zh-CN"/>
        </w:rPr>
        <w:t>建设</w:t>
      </w:r>
      <w:r>
        <w:rPr>
          <w:spacing w:val="0"/>
          <w:sz w:val="24"/>
        </w:rPr>
        <w:t>相应的集排水和防渗设施。</w:t>
      </w:r>
    </w:p>
    <w:p>
      <w:pPr>
        <w:numPr>
          <w:ilvl w:val="0"/>
          <w:numId w:val="0"/>
        </w:numPr>
        <w:ind w:firstLine="480" w:firstLineChars="200"/>
        <w:rPr>
          <w:spacing w:val="0"/>
          <w:sz w:val="24"/>
        </w:rPr>
      </w:pPr>
      <w:r>
        <w:rPr>
          <w:spacing w:val="0"/>
          <w:sz w:val="24"/>
        </w:rPr>
        <w:t>④贮存区符合消防要求。</w:t>
      </w:r>
    </w:p>
    <w:p>
      <w:pPr>
        <w:numPr>
          <w:ilvl w:val="0"/>
          <w:numId w:val="0"/>
        </w:numPr>
        <w:ind w:firstLine="480" w:firstLineChars="200"/>
        <w:rPr>
          <w:spacing w:val="0"/>
          <w:sz w:val="24"/>
        </w:rPr>
      </w:pPr>
      <w:r>
        <w:rPr>
          <w:spacing w:val="0"/>
          <w:sz w:val="24"/>
        </w:rPr>
        <w:t>⑤危废的暂存区有明显标志，具有耐腐蚀、耐压、密封和不与所贮存的废物发生发应等特性。</w:t>
      </w:r>
    </w:p>
    <w:p>
      <w:pPr>
        <w:jc w:val="center"/>
        <w:rPr>
          <w:rFonts w:hint="default" w:ascii="Times New Roman" w:hAnsi="Times New Roman" w:eastAsia="黑体" w:cs="Times New Roman"/>
          <w:b w:val="0"/>
          <w:bCs w:val="0"/>
          <w:sz w:val="21"/>
          <w:szCs w:val="21"/>
          <w:lang w:val="en-US" w:eastAsia="zh-CN"/>
        </w:rPr>
      </w:pPr>
      <w:r>
        <w:rPr>
          <w:rFonts w:hint="default" w:ascii="Times New Roman" w:hAnsi="Times New Roman" w:eastAsia="黑体" w:cs="Times New Roman"/>
          <w:b w:val="0"/>
          <w:bCs w:val="0"/>
          <w:sz w:val="21"/>
          <w:szCs w:val="21"/>
          <w:lang w:val="en-US" w:eastAsia="zh-CN"/>
        </w:rPr>
        <w:t>表4.1-1固体废物产生情况及处置措施表</w:t>
      </w:r>
    </w:p>
    <w:tbl>
      <w:tblPr>
        <w:tblStyle w:val="26"/>
        <w:tblW w:w="4995"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434"/>
        <w:gridCol w:w="305"/>
        <w:gridCol w:w="861"/>
        <w:gridCol w:w="613"/>
        <w:gridCol w:w="1064"/>
        <w:gridCol w:w="943"/>
        <w:gridCol w:w="907"/>
        <w:gridCol w:w="1545"/>
        <w:gridCol w:w="157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3" w:hRule="atLeast"/>
          <w:jc w:val="center"/>
        </w:trPr>
        <w:tc>
          <w:tcPr>
            <w:tcW w:w="263" w:type="pct"/>
            <w:tcBorders>
              <w:left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6"/>
                <w:position w:val="17"/>
                <w:sz w:val="21"/>
                <w:szCs w:val="21"/>
              </w:rPr>
            </w:pPr>
            <w:r>
              <w:rPr>
                <w:rFonts w:hint="default" w:ascii="Times New Roman" w:hAnsi="Times New Roman" w:eastAsia="宋体" w:cs="Times New Roman"/>
                <w:spacing w:val="-6"/>
                <w:position w:val="17"/>
                <w:sz w:val="21"/>
                <w:szCs w:val="21"/>
              </w:rPr>
              <w:t>序号</w:t>
            </w:r>
          </w:p>
        </w:tc>
        <w:tc>
          <w:tcPr>
            <w:tcW w:w="707"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6"/>
                <w:position w:val="17"/>
                <w:sz w:val="21"/>
                <w:szCs w:val="21"/>
              </w:rPr>
            </w:pPr>
            <w:r>
              <w:rPr>
                <w:rFonts w:hint="default" w:ascii="Times New Roman" w:hAnsi="Times New Roman" w:eastAsia="宋体" w:cs="Times New Roman"/>
                <w:spacing w:val="-6"/>
                <w:position w:val="17"/>
                <w:sz w:val="21"/>
                <w:szCs w:val="21"/>
              </w:rPr>
              <w:t>名称</w:t>
            </w:r>
          </w:p>
        </w:tc>
        <w:tc>
          <w:tcPr>
            <w:tcW w:w="3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6"/>
                <w:position w:val="17"/>
                <w:sz w:val="21"/>
                <w:szCs w:val="21"/>
              </w:rPr>
            </w:pPr>
            <w:r>
              <w:rPr>
                <w:rFonts w:hint="default" w:ascii="Times New Roman" w:hAnsi="Times New Roman" w:eastAsia="宋体" w:cs="Times New Roman"/>
                <w:spacing w:val="-6"/>
                <w:position w:val="17"/>
                <w:sz w:val="21"/>
                <w:szCs w:val="21"/>
              </w:rPr>
              <w:t>性状</w:t>
            </w:r>
          </w:p>
        </w:tc>
        <w:tc>
          <w:tcPr>
            <w:tcW w:w="64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6"/>
                <w:position w:val="17"/>
                <w:sz w:val="21"/>
                <w:szCs w:val="21"/>
              </w:rPr>
            </w:pPr>
            <w:r>
              <w:rPr>
                <w:rFonts w:hint="default" w:ascii="Times New Roman" w:hAnsi="Times New Roman" w:eastAsia="宋体" w:cs="Times New Roman"/>
                <w:spacing w:val="-6"/>
                <w:position w:val="17"/>
                <w:sz w:val="21"/>
                <w:szCs w:val="21"/>
                <w:lang w:eastAsia="zh-CN"/>
              </w:rPr>
              <w:t>第一阶段</w:t>
            </w:r>
            <w:r>
              <w:rPr>
                <w:rFonts w:hint="default" w:ascii="Times New Roman" w:hAnsi="Times New Roman" w:eastAsia="宋体" w:cs="Times New Roman"/>
                <w:spacing w:val="-6"/>
                <w:position w:val="17"/>
                <w:sz w:val="21"/>
                <w:szCs w:val="21"/>
              </w:rPr>
              <w:t>产生量(t/a)</w:t>
            </w:r>
          </w:p>
        </w:tc>
        <w:tc>
          <w:tcPr>
            <w:tcW w:w="5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6"/>
                <w:position w:val="17"/>
                <w:sz w:val="21"/>
                <w:szCs w:val="21"/>
              </w:rPr>
            </w:pPr>
            <w:r>
              <w:rPr>
                <w:rFonts w:hint="default" w:ascii="Times New Roman" w:hAnsi="Times New Roman" w:eastAsia="宋体" w:cs="Times New Roman"/>
                <w:spacing w:val="-6"/>
                <w:position w:val="17"/>
                <w:sz w:val="21"/>
                <w:szCs w:val="21"/>
                <w:lang w:eastAsia="zh-CN"/>
              </w:rPr>
              <w:t>本次验收</w:t>
            </w:r>
            <w:r>
              <w:rPr>
                <w:rFonts w:hint="default" w:ascii="Times New Roman" w:hAnsi="Times New Roman" w:eastAsia="宋体" w:cs="Times New Roman"/>
                <w:spacing w:val="-6"/>
                <w:position w:val="17"/>
                <w:sz w:val="21"/>
                <w:szCs w:val="21"/>
              </w:rPr>
              <w:t>产生量(t/a)</w:t>
            </w:r>
          </w:p>
        </w:tc>
        <w:tc>
          <w:tcPr>
            <w:tcW w:w="5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6"/>
                <w:position w:val="17"/>
                <w:sz w:val="21"/>
                <w:szCs w:val="21"/>
                <w:lang w:eastAsia="zh-CN"/>
              </w:rPr>
            </w:pPr>
            <w:r>
              <w:rPr>
                <w:rFonts w:hint="default" w:ascii="Times New Roman" w:hAnsi="Times New Roman" w:eastAsia="宋体" w:cs="Times New Roman"/>
                <w:spacing w:val="-6"/>
                <w:position w:val="17"/>
                <w:sz w:val="21"/>
                <w:szCs w:val="21"/>
                <w:lang w:eastAsia="zh-CN"/>
              </w:rPr>
              <w:t>目前已有产生量</w:t>
            </w:r>
            <w:r>
              <w:rPr>
                <w:rFonts w:hint="default" w:ascii="Times New Roman" w:hAnsi="Times New Roman" w:eastAsia="宋体" w:cs="Times New Roman"/>
                <w:spacing w:val="-6"/>
                <w:position w:val="17"/>
                <w:sz w:val="21"/>
                <w:szCs w:val="21"/>
              </w:rPr>
              <w:t>(t/a)</w:t>
            </w:r>
          </w:p>
        </w:tc>
        <w:tc>
          <w:tcPr>
            <w:tcW w:w="93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6"/>
                <w:position w:val="17"/>
                <w:sz w:val="21"/>
                <w:szCs w:val="21"/>
              </w:rPr>
            </w:pPr>
            <w:r>
              <w:rPr>
                <w:rFonts w:hint="default" w:ascii="Times New Roman" w:hAnsi="Times New Roman" w:eastAsia="宋体" w:cs="Times New Roman"/>
                <w:spacing w:val="-6"/>
                <w:position w:val="17"/>
                <w:sz w:val="21"/>
                <w:szCs w:val="21"/>
              </w:rPr>
              <w:t>分类</w:t>
            </w:r>
          </w:p>
        </w:tc>
        <w:tc>
          <w:tcPr>
            <w:tcW w:w="951" w:type="pct"/>
            <w:tcBorders>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6"/>
                <w:position w:val="17"/>
                <w:sz w:val="21"/>
                <w:szCs w:val="21"/>
              </w:rPr>
            </w:pPr>
            <w:r>
              <w:rPr>
                <w:rFonts w:hint="default" w:ascii="Times New Roman" w:hAnsi="Times New Roman" w:eastAsia="宋体" w:cs="Times New Roman"/>
                <w:spacing w:val="-6"/>
                <w:position w:val="17"/>
                <w:sz w:val="21"/>
                <w:szCs w:val="21"/>
              </w:rPr>
              <w:t>处置措施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1" w:hRule="atLeast"/>
          <w:jc w:val="center"/>
        </w:trPr>
        <w:tc>
          <w:tcPr>
            <w:tcW w:w="263" w:type="pct"/>
            <w:tcBorders>
              <w:left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707"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position w:val="17"/>
                <w:sz w:val="21"/>
                <w:szCs w:val="21"/>
              </w:rPr>
              <w:t>废抹布、手</w:t>
            </w:r>
            <w:r>
              <w:rPr>
                <w:rFonts w:hint="default" w:ascii="Times New Roman" w:hAnsi="Times New Roman" w:eastAsia="宋体" w:cs="Times New Roman"/>
                <w:spacing w:val="-5"/>
                <w:position w:val="17"/>
                <w:sz w:val="21"/>
                <w:szCs w:val="21"/>
              </w:rPr>
              <w:t>套</w:t>
            </w:r>
          </w:p>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及废防渗</w:t>
            </w:r>
            <w:r>
              <w:rPr>
                <w:rFonts w:hint="default" w:ascii="Times New Roman" w:hAnsi="Times New Roman" w:eastAsia="宋体" w:cs="Times New Roman"/>
                <w:sz w:val="21"/>
                <w:szCs w:val="21"/>
              </w:rPr>
              <w:t>布</w:t>
            </w:r>
          </w:p>
        </w:tc>
        <w:tc>
          <w:tcPr>
            <w:tcW w:w="3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w:t>
            </w:r>
          </w:p>
        </w:tc>
        <w:tc>
          <w:tcPr>
            <w:tcW w:w="64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2"/>
                <w:sz w:val="21"/>
                <w:szCs w:val="21"/>
              </w:rPr>
              <w:t>0</w:t>
            </w:r>
            <w:r>
              <w:rPr>
                <w:rFonts w:hint="default" w:ascii="Times New Roman" w:hAnsi="Times New Roman" w:eastAsia="宋体" w:cs="Times New Roman"/>
                <w:spacing w:val="-1"/>
                <w:sz w:val="21"/>
                <w:szCs w:val="21"/>
              </w:rPr>
              <w:t>.</w:t>
            </w:r>
            <w:r>
              <w:rPr>
                <w:rFonts w:hint="default" w:ascii="Times New Roman" w:hAnsi="Times New Roman" w:eastAsia="宋体" w:cs="Times New Roman"/>
                <w:spacing w:val="-1"/>
                <w:sz w:val="21"/>
                <w:szCs w:val="21"/>
                <w:lang w:val="en-US" w:eastAsia="zh-CN"/>
              </w:rPr>
              <w:t>25</w:t>
            </w:r>
          </w:p>
        </w:tc>
        <w:tc>
          <w:tcPr>
            <w:tcW w:w="5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2"/>
                <w:sz w:val="21"/>
                <w:szCs w:val="21"/>
              </w:rPr>
              <w:t>0.</w:t>
            </w:r>
            <w:r>
              <w:rPr>
                <w:rFonts w:hint="default" w:ascii="Times New Roman" w:hAnsi="Times New Roman" w:eastAsia="宋体" w:cs="Times New Roman"/>
                <w:spacing w:val="-1"/>
                <w:sz w:val="21"/>
                <w:szCs w:val="21"/>
                <w:lang w:val="en-US" w:eastAsia="zh-CN"/>
              </w:rPr>
              <w:t>12</w:t>
            </w:r>
          </w:p>
        </w:tc>
        <w:tc>
          <w:tcPr>
            <w:tcW w:w="5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1"/>
                <w:sz w:val="21"/>
                <w:szCs w:val="21"/>
                <w:lang w:val="en-US" w:eastAsia="zh-CN"/>
              </w:rPr>
            </w:pPr>
            <w:r>
              <w:rPr>
                <w:rFonts w:hint="default" w:ascii="Times New Roman" w:hAnsi="Times New Roman" w:eastAsia="宋体" w:cs="Times New Roman"/>
                <w:spacing w:val="-1"/>
                <w:sz w:val="21"/>
                <w:szCs w:val="21"/>
                <w:lang w:val="en-US" w:eastAsia="zh-CN"/>
              </w:rPr>
              <w:t>0.37</w:t>
            </w:r>
          </w:p>
        </w:tc>
        <w:tc>
          <w:tcPr>
            <w:tcW w:w="93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HW</w:t>
            </w:r>
            <w:r>
              <w:rPr>
                <w:rFonts w:hint="default" w:ascii="Times New Roman" w:hAnsi="Times New Roman" w:eastAsia="宋体" w:cs="Times New Roman"/>
                <w:spacing w:val="-1"/>
                <w:sz w:val="21"/>
                <w:szCs w:val="21"/>
              </w:rPr>
              <w:t>49</w:t>
            </w:r>
            <w:r>
              <w:rPr>
                <w:rFonts w:hint="default" w:ascii="Times New Roman" w:hAnsi="Times New Roman" w:eastAsia="宋体" w:cs="Times New Roman"/>
                <w:sz w:val="21"/>
                <w:szCs w:val="21"/>
              </w:rPr>
              <w:t>900-041-49</w:t>
            </w:r>
          </w:p>
        </w:tc>
        <w:tc>
          <w:tcPr>
            <w:tcW w:w="951" w:type="pct"/>
            <w:vMerge w:val="restart"/>
            <w:tcBorders>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委托</w:t>
            </w:r>
            <w:r>
              <w:rPr>
                <w:rFonts w:hint="default" w:ascii="Times New Roman" w:hAnsi="Times New Roman" w:eastAsia="宋体" w:cs="Times New Roman"/>
                <w:spacing w:val="-1"/>
                <w:sz w:val="21"/>
                <w:szCs w:val="21"/>
                <w:lang w:eastAsia="zh-CN"/>
              </w:rPr>
              <w:t>蚌埠市康城医疗废物集中处置有限</w:t>
            </w:r>
            <w:r>
              <w:rPr>
                <w:rFonts w:hint="default" w:ascii="Times New Roman" w:hAnsi="Times New Roman" w:eastAsia="宋体" w:cs="Times New Roman"/>
                <w:spacing w:val="-1"/>
                <w:sz w:val="21"/>
                <w:szCs w:val="21"/>
              </w:rPr>
              <w:t>公</w:t>
            </w:r>
            <w:r>
              <w:rPr>
                <w:rFonts w:hint="default" w:ascii="Times New Roman" w:hAnsi="Times New Roman" w:eastAsia="宋体" w:cs="Times New Roman"/>
                <w:sz w:val="21"/>
                <w:szCs w:val="21"/>
              </w:rPr>
              <w:t>司处置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jc w:val="center"/>
        </w:trPr>
        <w:tc>
          <w:tcPr>
            <w:tcW w:w="263" w:type="pct"/>
            <w:tcBorders>
              <w:left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707"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废</w:t>
            </w:r>
            <w:r>
              <w:rPr>
                <w:rFonts w:hint="default" w:ascii="Times New Roman" w:hAnsi="Times New Roman" w:eastAsia="宋体" w:cs="Times New Roman"/>
                <w:spacing w:val="-1"/>
                <w:sz w:val="21"/>
                <w:szCs w:val="21"/>
              </w:rPr>
              <w:t>渣</w:t>
            </w:r>
          </w:p>
        </w:tc>
        <w:tc>
          <w:tcPr>
            <w:tcW w:w="3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w:t>
            </w:r>
          </w:p>
        </w:tc>
        <w:tc>
          <w:tcPr>
            <w:tcW w:w="64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2"/>
                <w:sz w:val="21"/>
                <w:szCs w:val="21"/>
              </w:rPr>
              <w:t>0</w:t>
            </w:r>
            <w:r>
              <w:rPr>
                <w:rFonts w:hint="default" w:ascii="Times New Roman" w:hAnsi="Times New Roman" w:eastAsia="宋体" w:cs="Times New Roman"/>
                <w:spacing w:val="-1"/>
                <w:sz w:val="21"/>
                <w:szCs w:val="21"/>
              </w:rPr>
              <w:t>.</w:t>
            </w:r>
            <w:r>
              <w:rPr>
                <w:rFonts w:hint="default" w:ascii="Times New Roman" w:hAnsi="Times New Roman" w:eastAsia="宋体" w:cs="Times New Roman"/>
                <w:spacing w:val="-1"/>
                <w:sz w:val="21"/>
                <w:szCs w:val="21"/>
                <w:lang w:val="en-US" w:eastAsia="zh-CN"/>
              </w:rPr>
              <w:t>15</w:t>
            </w:r>
          </w:p>
        </w:tc>
        <w:tc>
          <w:tcPr>
            <w:tcW w:w="5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2"/>
                <w:sz w:val="21"/>
                <w:szCs w:val="21"/>
              </w:rPr>
              <w:t>0.</w:t>
            </w:r>
            <w:r>
              <w:rPr>
                <w:rFonts w:hint="default" w:ascii="Times New Roman" w:hAnsi="Times New Roman" w:eastAsia="宋体" w:cs="Times New Roman"/>
                <w:spacing w:val="-2"/>
                <w:sz w:val="21"/>
                <w:szCs w:val="21"/>
                <w:lang w:val="en-US" w:eastAsia="zh-CN"/>
              </w:rPr>
              <w:t>06</w:t>
            </w:r>
          </w:p>
        </w:tc>
        <w:tc>
          <w:tcPr>
            <w:tcW w:w="5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1"/>
                <w:sz w:val="21"/>
                <w:szCs w:val="21"/>
                <w:lang w:val="en-US" w:eastAsia="zh-CN"/>
              </w:rPr>
            </w:pPr>
            <w:r>
              <w:rPr>
                <w:rFonts w:hint="default" w:ascii="Times New Roman" w:hAnsi="Times New Roman" w:eastAsia="宋体" w:cs="Times New Roman"/>
                <w:spacing w:val="-1"/>
                <w:sz w:val="21"/>
                <w:szCs w:val="21"/>
                <w:lang w:val="en-US" w:eastAsia="zh-CN"/>
              </w:rPr>
              <w:t>0.21</w:t>
            </w:r>
          </w:p>
        </w:tc>
        <w:tc>
          <w:tcPr>
            <w:tcW w:w="93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HW</w:t>
            </w:r>
            <w:r>
              <w:rPr>
                <w:rFonts w:hint="default" w:ascii="Times New Roman" w:hAnsi="Times New Roman" w:eastAsia="宋体" w:cs="Times New Roman"/>
                <w:spacing w:val="-1"/>
                <w:sz w:val="21"/>
                <w:szCs w:val="21"/>
              </w:rPr>
              <w:t>49</w:t>
            </w:r>
            <w:r>
              <w:rPr>
                <w:rFonts w:hint="default" w:ascii="Times New Roman" w:hAnsi="Times New Roman" w:eastAsia="宋体" w:cs="Times New Roman"/>
                <w:sz w:val="21"/>
                <w:szCs w:val="21"/>
              </w:rPr>
              <w:t>900-999-49</w:t>
            </w:r>
          </w:p>
        </w:tc>
        <w:tc>
          <w:tcPr>
            <w:tcW w:w="951" w:type="pct"/>
            <w:vMerge w:val="continue"/>
            <w:tcBorders>
              <w:top w:val="nil"/>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53" w:hRule="atLeast"/>
          <w:jc w:val="center"/>
        </w:trPr>
        <w:tc>
          <w:tcPr>
            <w:tcW w:w="263" w:type="pct"/>
            <w:tcBorders>
              <w:left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707"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边角料</w:t>
            </w:r>
          </w:p>
        </w:tc>
        <w:tc>
          <w:tcPr>
            <w:tcW w:w="3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w:t>
            </w:r>
          </w:p>
        </w:tc>
        <w:tc>
          <w:tcPr>
            <w:tcW w:w="64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c>
          <w:tcPr>
            <w:tcW w:w="5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6"/>
                <w:sz w:val="21"/>
                <w:szCs w:val="21"/>
                <w:lang w:val="en-US" w:eastAsia="zh-CN"/>
              </w:rPr>
              <w:t>0.7</w:t>
            </w:r>
          </w:p>
        </w:tc>
        <w:tc>
          <w:tcPr>
            <w:tcW w:w="5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1"/>
                <w:sz w:val="21"/>
                <w:szCs w:val="21"/>
                <w:lang w:val="en-US" w:eastAsia="zh-CN"/>
              </w:rPr>
            </w:pPr>
            <w:r>
              <w:rPr>
                <w:rFonts w:hint="default" w:ascii="Times New Roman" w:hAnsi="Times New Roman" w:eastAsia="宋体" w:cs="Times New Roman"/>
                <w:spacing w:val="-1"/>
                <w:sz w:val="21"/>
                <w:szCs w:val="21"/>
                <w:lang w:val="en-US" w:eastAsia="zh-CN"/>
              </w:rPr>
              <w:t>2.2</w:t>
            </w:r>
          </w:p>
        </w:tc>
        <w:tc>
          <w:tcPr>
            <w:tcW w:w="93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一</w:t>
            </w:r>
            <w:r>
              <w:rPr>
                <w:rFonts w:hint="default" w:ascii="Times New Roman" w:hAnsi="Times New Roman" w:eastAsia="宋体" w:cs="Times New Roman"/>
                <w:spacing w:val="-2"/>
                <w:sz w:val="21"/>
                <w:szCs w:val="21"/>
              </w:rPr>
              <w:t>般固废</w:t>
            </w:r>
          </w:p>
        </w:tc>
        <w:tc>
          <w:tcPr>
            <w:tcW w:w="951" w:type="pct"/>
            <w:vMerge w:val="restart"/>
            <w:tcBorders>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外售综</w:t>
            </w:r>
            <w:r>
              <w:rPr>
                <w:rFonts w:hint="default" w:ascii="Times New Roman" w:hAnsi="Times New Roman" w:eastAsia="宋体" w:cs="Times New Roman"/>
                <w:spacing w:val="-1"/>
                <w:sz w:val="21"/>
                <w:szCs w:val="21"/>
              </w:rPr>
              <w:t>合利用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0" w:hRule="atLeast"/>
          <w:jc w:val="center"/>
        </w:trPr>
        <w:tc>
          <w:tcPr>
            <w:tcW w:w="263" w:type="pct"/>
            <w:tcBorders>
              <w:left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707"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position w:val="17"/>
                <w:sz w:val="21"/>
                <w:szCs w:val="21"/>
              </w:rPr>
              <w:t>一般物</w:t>
            </w:r>
            <w:r>
              <w:rPr>
                <w:rFonts w:hint="default" w:ascii="Times New Roman" w:hAnsi="Times New Roman" w:eastAsia="宋体" w:cs="Times New Roman"/>
                <w:spacing w:val="-1"/>
                <w:position w:val="17"/>
                <w:sz w:val="21"/>
                <w:szCs w:val="21"/>
              </w:rPr>
              <w:t>品废</w:t>
            </w:r>
            <w:r>
              <w:rPr>
                <w:rFonts w:hint="default" w:ascii="Times New Roman" w:hAnsi="Times New Roman" w:eastAsia="宋体" w:cs="Times New Roman"/>
                <w:spacing w:val="-2"/>
                <w:sz w:val="21"/>
                <w:szCs w:val="21"/>
              </w:rPr>
              <w:t>包</w:t>
            </w:r>
            <w:r>
              <w:rPr>
                <w:rFonts w:hint="default" w:ascii="Times New Roman" w:hAnsi="Times New Roman" w:eastAsia="宋体" w:cs="Times New Roman"/>
                <w:spacing w:val="-1"/>
                <w:sz w:val="21"/>
                <w:szCs w:val="21"/>
              </w:rPr>
              <w:t>装材料</w:t>
            </w:r>
          </w:p>
        </w:tc>
        <w:tc>
          <w:tcPr>
            <w:tcW w:w="3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w:t>
            </w:r>
          </w:p>
        </w:tc>
        <w:tc>
          <w:tcPr>
            <w:tcW w:w="64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2"/>
                <w:sz w:val="21"/>
                <w:szCs w:val="21"/>
                <w:lang w:val="en-US" w:eastAsia="zh-CN"/>
              </w:rPr>
              <w:t>0.5</w:t>
            </w:r>
          </w:p>
        </w:tc>
        <w:tc>
          <w:tcPr>
            <w:tcW w:w="5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2"/>
                <w:sz w:val="21"/>
                <w:szCs w:val="21"/>
                <w:lang w:val="en-US" w:eastAsia="zh-CN"/>
              </w:rPr>
              <w:t>0.1</w:t>
            </w:r>
          </w:p>
        </w:tc>
        <w:tc>
          <w:tcPr>
            <w:tcW w:w="5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1"/>
                <w:sz w:val="21"/>
                <w:szCs w:val="21"/>
                <w:lang w:val="en-US" w:eastAsia="zh-CN"/>
              </w:rPr>
            </w:pPr>
            <w:r>
              <w:rPr>
                <w:rFonts w:hint="default" w:ascii="Times New Roman" w:hAnsi="Times New Roman" w:eastAsia="宋体" w:cs="Times New Roman"/>
                <w:spacing w:val="-1"/>
                <w:sz w:val="21"/>
                <w:szCs w:val="21"/>
                <w:lang w:val="en-US" w:eastAsia="zh-CN"/>
              </w:rPr>
              <w:t>0.6</w:t>
            </w:r>
          </w:p>
        </w:tc>
        <w:tc>
          <w:tcPr>
            <w:tcW w:w="93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一</w:t>
            </w:r>
            <w:r>
              <w:rPr>
                <w:rFonts w:hint="default" w:ascii="Times New Roman" w:hAnsi="Times New Roman" w:eastAsia="宋体" w:cs="Times New Roman"/>
                <w:spacing w:val="-2"/>
                <w:sz w:val="21"/>
                <w:szCs w:val="21"/>
              </w:rPr>
              <w:t>般固废</w:t>
            </w:r>
          </w:p>
        </w:tc>
        <w:tc>
          <w:tcPr>
            <w:tcW w:w="951" w:type="pct"/>
            <w:vMerge w:val="continue"/>
            <w:tcBorders>
              <w:top w:val="nil"/>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79" w:hRule="atLeast"/>
          <w:jc w:val="center"/>
        </w:trPr>
        <w:tc>
          <w:tcPr>
            <w:tcW w:w="263" w:type="pct"/>
            <w:tcBorders>
              <w:left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707"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生活垃</w:t>
            </w:r>
            <w:r>
              <w:rPr>
                <w:rFonts w:hint="default" w:ascii="Times New Roman" w:hAnsi="Times New Roman" w:eastAsia="宋体" w:cs="Times New Roman"/>
                <w:spacing w:val="-1"/>
                <w:sz w:val="21"/>
                <w:szCs w:val="21"/>
              </w:rPr>
              <w:t>圾</w:t>
            </w:r>
          </w:p>
        </w:tc>
        <w:tc>
          <w:tcPr>
            <w:tcW w:w="3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w:t>
            </w:r>
          </w:p>
        </w:tc>
        <w:tc>
          <w:tcPr>
            <w:tcW w:w="64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6"/>
                <w:sz w:val="21"/>
                <w:szCs w:val="21"/>
                <w:lang w:val="en-US" w:eastAsia="zh-CN"/>
              </w:rPr>
              <w:t>11</w:t>
            </w:r>
          </w:p>
        </w:tc>
        <w:tc>
          <w:tcPr>
            <w:tcW w:w="5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5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1"/>
                <w:sz w:val="21"/>
                <w:szCs w:val="21"/>
                <w:lang w:val="en-US" w:eastAsia="zh-CN"/>
              </w:rPr>
            </w:pPr>
            <w:r>
              <w:rPr>
                <w:rFonts w:hint="default" w:ascii="Times New Roman" w:hAnsi="Times New Roman" w:eastAsia="宋体" w:cs="Times New Roman"/>
                <w:spacing w:val="-1"/>
                <w:sz w:val="21"/>
                <w:szCs w:val="21"/>
                <w:lang w:val="en-US" w:eastAsia="zh-CN"/>
              </w:rPr>
              <w:t>16</w:t>
            </w:r>
          </w:p>
        </w:tc>
        <w:tc>
          <w:tcPr>
            <w:tcW w:w="93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生活垃</w:t>
            </w:r>
            <w:r>
              <w:rPr>
                <w:rFonts w:hint="default" w:ascii="Times New Roman" w:hAnsi="Times New Roman" w:eastAsia="宋体" w:cs="Times New Roman"/>
                <w:spacing w:val="-1"/>
                <w:sz w:val="21"/>
                <w:szCs w:val="21"/>
              </w:rPr>
              <w:t>圾</w:t>
            </w:r>
          </w:p>
        </w:tc>
        <w:tc>
          <w:tcPr>
            <w:tcW w:w="951" w:type="pct"/>
            <w:tcBorders>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环</w:t>
            </w:r>
            <w:r>
              <w:rPr>
                <w:rFonts w:hint="default" w:ascii="Times New Roman" w:hAnsi="Times New Roman" w:eastAsia="宋体" w:cs="Times New Roman"/>
                <w:spacing w:val="-1"/>
                <w:sz w:val="21"/>
                <w:szCs w:val="21"/>
              </w:rPr>
              <w:t>卫清运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52" w:hRule="atLeast"/>
          <w:jc w:val="center"/>
        </w:trPr>
        <w:tc>
          <w:tcPr>
            <w:tcW w:w="448" w:type="pct"/>
            <w:gridSpan w:val="2"/>
            <w:vMerge w:val="restart"/>
            <w:tcBorders>
              <w:left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合计</w:t>
            </w:r>
          </w:p>
        </w:tc>
        <w:tc>
          <w:tcPr>
            <w:tcW w:w="89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生活垃</w:t>
            </w:r>
            <w:r>
              <w:rPr>
                <w:rFonts w:hint="default" w:ascii="Times New Roman" w:hAnsi="Times New Roman" w:eastAsia="宋体" w:cs="Times New Roman"/>
                <w:spacing w:val="-1"/>
                <w:sz w:val="21"/>
                <w:szCs w:val="21"/>
              </w:rPr>
              <w:t>圾</w:t>
            </w:r>
          </w:p>
        </w:tc>
        <w:tc>
          <w:tcPr>
            <w:tcW w:w="64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6"/>
                <w:sz w:val="21"/>
                <w:szCs w:val="21"/>
                <w:lang w:val="en-US" w:eastAsia="zh-CN"/>
              </w:rPr>
              <w:t>11</w:t>
            </w:r>
          </w:p>
        </w:tc>
        <w:tc>
          <w:tcPr>
            <w:tcW w:w="5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550" w:type="pct"/>
            <w:tcBorders>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1"/>
                <w:sz w:val="21"/>
                <w:szCs w:val="21"/>
                <w:lang w:val="en-US" w:eastAsia="zh-CN"/>
              </w:rPr>
            </w:pPr>
            <w:r>
              <w:rPr>
                <w:rFonts w:hint="default" w:ascii="Times New Roman" w:hAnsi="Times New Roman" w:eastAsia="宋体" w:cs="Times New Roman"/>
                <w:spacing w:val="-1"/>
                <w:sz w:val="21"/>
                <w:szCs w:val="21"/>
                <w:lang w:val="en-US" w:eastAsia="zh-CN"/>
              </w:rPr>
              <w:t>16</w:t>
            </w:r>
          </w:p>
        </w:tc>
        <w:tc>
          <w:tcPr>
            <w:tcW w:w="1889" w:type="pct"/>
            <w:gridSpan w:val="2"/>
            <w:tcBorders>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环</w:t>
            </w:r>
            <w:r>
              <w:rPr>
                <w:rFonts w:hint="default" w:ascii="Times New Roman" w:hAnsi="Times New Roman" w:eastAsia="宋体" w:cs="Times New Roman"/>
                <w:spacing w:val="-1"/>
                <w:sz w:val="21"/>
                <w:szCs w:val="21"/>
              </w:rPr>
              <w:t>卫清运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52" w:hRule="atLeast"/>
          <w:jc w:val="center"/>
        </w:trPr>
        <w:tc>
          <w:tcPr>
            <w:tcW w:w="448" w:type="pct"/>
            <w:gridSpan w:val="2"/>
            <w:vMerge w:val="continue"/>
            <w:tcBorders>
              <w:top w:val="nil"/>
              <w:left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p>
        </w:tc>
        <w:tc>
          <w:tcPr>
            <w:tcW w:w="89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一般</w:t>
            </w:r>
            <w:r>
              <w:rPr>
                <w:rFonts w:hint="default" w:ascii="Times New Roman" w:hAnsi="Times New Roman" w:eastAsia="宋体" w:cs="Times New Roman"/>
                <w:spacing w:val="-1"/>
                <w:sz w:val="21"/>
                <w:szCs w:val="21"/>
              </w:rPr>
              <w:t>工业固废</w:t>
            </w:r>
          </w:p>
        </w:tc>
        <w:tc>
          <w:tcPr>
            <w:tcW w:w="64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c>
          <w:tcPr>
            <w:tcW w:w="5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5"/>
                <w:sz w:val="21"/>
                <w:szCs w:val="21"/>
                <w:lang w:val="en-US" w:eastAsia="zh-CN"/>
              </w:rPr>
              <w:t>0.8</w:t>
            </w:r>
          </w:p>
        </w:tc>
        <w:tc>
          <w:tcPr>
            <w:tcW w:w="550" w:type="pct"/>
            <w:tcBorders>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1"/>
                <w:sz w:val="21"/>
                <w:szCs w:val="21"/>
                <w:lang w:val="en-US" w:eastAsia="zh-CN"/>
              </w:rPr>
            </w:pPr>
            <w:r>
              <w:rPr>
                <w:rFonts w:hint="default" w:ascii="Times New Roman" w:hAnsi="Times New Roman" w:eastAsia="宋体" w:cs="Times New Roman"/>
                <w:spacing w:val="-1"/>
                <w:sz w:val="21"/>
                <w:szCs w:val="21"/>
                <w:lang w:val="en-US" w:eastAsia="zh-CN"/>
              </w:rPr>
              <w:t>2.8</w:t>
            </w:r>
          </w:p>
        </w:tc>
        <w:tc>
          <w:tcPr>
            <w:tcW w:w="1889" w:type="pct"/>
            <w:gridSpan w:val="2"/>
            <w:tcBorders>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外售综</w:t>
            </w:r>
            <w:r>
              <w:rPr>
                <w:rFonts w:hint="default" w:ascii="Times New Roman" w:hAnsi="Times New Roman" w:eastAsia="宋体" w:cs="Times New Roman"/>
                <w:spacing w:val="-1"/>
                <w:sz w:val="21"/>
                <w:szCs w:val="21"/>
              </w:rPr>
              <w:t>合利用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jc w:val="center"/>
        </w:trPr>
        <w:tc>
          <w:tcPr>
            <w:tcW w:w="448" w:type="pct"/>
            <w:gridSpan w:val="2"/>
            <w:vMerge w:val="continue"/>
            <w:tcBorders>
              <w:top w:val="nil"/>
              <w:left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p>
        </w:tc>
        <w:tc>
          <w:tcPr>
            <w:tcW w:w="89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危险固废</w:t>
            </w:r>
          </w:p>
        </w:tc>
        <w:tc>
          <w:tcPr>
            <w:tcW w:w="64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3"/>
                <w:sz w:val="21"/>
                <w:szCs w:val="21"/>
                <w:lang w:val="en-US" w:eastAsia="zh-CN"/>
              </w:rPr>
              <w:t>0.4</w:t>
            </w:r>
          </w:p>
        </w:tc>
        <w:tc>
          <w:tcPr>
            <w:tcW w:w="5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2"/>
                <w:sz w:val="21"/>
                <w:szCs w:val="21"/>
                <w:lang w:val="en-US" w:eastAsia="zh-CN"/>
              </w:rPr>
              <w:t>0.18</w:t>
            </w:r>
          </w:p>
        </w:tc>
        <w:tc>
          <w:tcPr>
            <w:tcW w:w="550" w:type="pct"/>
            <w:tcBorders>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1"/>
                <w:sz w:val="21"/>
                <w:szCs w:val="21"/>
                <w:lang w:val="en-US" w:eastAsia="zh-CN"/>
              </w:rPr>
            </w:pPr>
            <w:r>
              <w:rPr>
                <w:rFonts w:hint="default" w:ascii="Times New Roman" w:hAnsi="Times New Roman" w:eastAsia="宋体" w:cs="Times New Roman"/>
                <w:spacing w:val="-1"/>
                <w:sz w:val="21"/>
                <w:szCs w:val="21"/>
                <w:lang w:val="en-US" w:eastAsia="zh-CN"/>
              </w:rPr>
              <w:t>0.58</w:t>
            </w:r>
          </w:p>
        </w:tc>
        <w:tc>
          <w:tcPr>
            <w:tcW w:w="1889" w:type="pct"/>
            <w:gridSpan w:val="2"/>
            <w:tcBorders>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委托</w:t>
            </w:r>
            <w:r>
              <w:rPr>
                <w:rFonts w:hint="default" w:ascii="Times New Roman" w:hAnsi="Times New Roman" w:eastAsia="宋体" w:cs="Times New Roman"/>
                <w:spacing w:val="-1"/>
                <w:sz w:val="21"/>
                <w:szCs w:val="21"/>
                <w:lang w:eastAsia="zh-CN"/>
              </w:rPr>
              <w:t>蚌埠市康城医疗</w:t>
            </w:r>
            <w:r>
              <w:rPr>
                <w:rFonts w:hint="default" w:ascii="Times New Roman" w:hAnsi="Times New Roman" w:eastAsia="宋体" w:cs="Times New Roman"/>
                <w:sz w:val="21"/>
                <w:szCs w:val="21"/>
              </w:rPr>
              <w:t>处置</w:t>
            </w:r>
          </w:p>
        </w:tc>
      </w:tr>
    </w:tbl>
    <w:tbl>
      <w:tblPr>
        <w:tblStyle w:val="19"/>
        <w:tblW w:w="79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73" w:hRule="atLeast"/>
          <w:jc w:val="center"/>
        </w:trPr>
        <w:tc>
          <w:tcPr>
            <w:tcW w:w="7986" w:type="dxa"/>
            <w:vAlign w:val="center"/>
          </w:tcPr>
          <w:p>
            <w:pPr>
              <w:spacing w:line="240" w:lineRule="auto"/>
              <w:jc w:val="center"/>
              <w:rPr>
                <w:rFonts w:hint="eastAsia" w:eastAsia="宋体"/>
                <w:lang w:eastAsia="zh-CN"/>
              </w:rPr>
            </w:pPr>
            <w:r>
              <w:rPr>
                <w:rFonts w:hint="eastAsia" w:eastAsia="宋体"/>
                <w:lang w:eastAsia="zh-CN"/>
              </w:rPr>
              <w:drawing>
                <wp:inline distT="0" distB="0" distL="114300" distR="114300">
                  <wp:extent cx="4915535" cy="3686810"/>
                  <wp:effectExtent l="0" t="0" r="18415" b="8890"/>
                  <wp:docPr id="47" name="图片 47" descr="738c54d29c6703c928c2c8b14075f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738c54d29c6703c928c2c8b14075f4c"/>
                          <pic:cNvPicPr>
                            <a:picLocks noChangeAspect="1"/>
                          </pic:cNvPicPr>
                        </pic:nvPicPr>
                        <pic:blipFill>
                          <a:blip r:embed="rId43"/>
                          <a:stretch>
                            <a:fillRect/>
                          </a:stretch>
                        </pic:blipFill>
                        <pic:spPr>
                          <a:xfrm>
                            <a:off x="0" y="0"/>
                            <a:ext cx="4915535" cy="368681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0" w:hRule="atLeast"/>
          <w:jc w:val="center"/>
        </w:trPr>
        <w:tc>
          <w:tcPr>
            <w:tcW w:w="7986" w:type="dxa"/>
            <w:vAlign w:val="center"/>
          </w:tcPr>
          <w:p>
            <w:pPr>
              <w:spacing w:line="240" w:lineRule="auto"/>
              <w:jc w:val="center"/>
              <w:rPr>
                <w:rFonts w:hint="eastAsia" w:eastAsia="宋体"/>
                <w:b/>
                <w:bCs/>
                <w:lang w:eastAsia="zh-CN"/>
              </w:rPr>
            </w:pPr>
            <w:r>
              <w:rPr>
                <w:rFonts w:hint="eastAsia" w:eastAsia="宋体"/>
                <w:b/>
                <w:bCs/>
                <w:lang w:eastAsia="zh-CN"/>
              </w:rPr>
              <w:drawing>
                <wp:inline distT="0" distB="0" distL="114300" distR="114300">
                  <wp:extent cx="4915535" cy="3686810"/>
                  <wp:effectExtent l="0" t="0" r="18415" b="8890"/>
                  <wp:docPr id="48" name="图片 48" descr="1b949d8ec482fddf2e9903789c332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1b949d8ec482fddf2e9903789c332dc"/>
                          <pic:cNvPicPr>
                            <a:picLocks noChangeAspect="1"/>
                          </pic:cNvPicPr>
                        </pic:nvPicPr>
                        <pic:blipFill>
                          <a:blip r:embed="rId44"/>
                          <a:stretch>
                            <a:fillRect/>
                          </a:stretch>
                        </pic:blipFill>
                        <pic:spPr>
                          <a:xfrm>
                            <a:off x="0" y="0"/>
                            <a:ext cx="4915535" cy="368681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986" w:type="dxa"/>
            <w:vAlign w:val="center"/>
          </w:tcPr>
          <w:p>
            <w:pPr>
              <w:spacing w:line="240" w:lineRule="auto"/>
              <w:jc w:val="center"/>
              <w:rPr>
                <w:rFonts w:hint="eastAsia"/>
                <w:b/>
                <w:bCs/>
              </w:rPr>
            </w:pPr>
            <w:r>
              <w:rPr>
                <w:rFonts w:hint="eastAsia"/>
                <w:b/>
                <w:bCs/>
              </w:rPr>
              <w:t>危险废物暂存间</w:t>
            </w:r>
          </w:p>
        </w:tc>
      </w:tr>
    </w:tbl>
    <w:p>
      <w:pPr>
        <w:pStyle w:val="21"/>
        <w:rPr>
          <w:rFonts w:hint="default"/>
          <w:spacing w:val="-1"/>
          <w:lang w:val="en-US" w:eastAsia="zh-CN"/>
        </w:rPr>
        <w:sectPr>
          <w:pgSz w:w="11850" w:h="16783"/>
          <w:pgMar w:top="1440" w:right="1800" w:bottom="1440" w:left="1800" w:header="794" w:footer="851" w:gutter="0"/>
          <w:pgNumType w:fmt="decimal"/>
          <w:cols w:space="720" w:num="1"/>
          <w:docGrid w:linePitch="395" w:charSpace="0"/>
        </w:sectPr>
      </w:pPr>
    </w:p>
    <w:p>
      <w:pPr>
        <w:pStyle w:val="6"/>
        <w:keepNext/>
        <w:pageBreakBefore w:val="0"/>
        <w:widowControl w:val="0"/>
        <w:kinsoku/>
        <w:wordWrap/>
        <w:overflowPunct/>
        <w:topLinePunct w:val="0"/>
        <w:autoSpaceDE/>
        <w:autoSpaceDN/>
        <w:bidi w:val="0"/>
        <w:adjustRightInd/>
        <w:snapToGrid/>
        <w:spacing w:beforeLines="0" w:afterLines="0"/>
        <w:ind w:firstLine="0" w:firstLineChars="0"/>
        <w:textAlignment w:val="auto"/>
        <w:rPr>
          <w:color w:val="auto"/>
          <w:sz w:val="32"/>
          <w:szCs w:val="32"/>
        </w:rPr>
      </w:pPr>
      <w:bookmarkStart w:id="69" w:name="_Toc29827"/>
      <w:r>
        <w:rPr>
          <w:rFonts w:hint="eastAsia"/>
          <w:color w:val="auto"/>
          <w:sz w:val="32"/>
          <w:szCs w:val="32"/>
        </w:rPr>
        <w:t>4.2</w:t>
      </w:r>
      <w:bookmarkEnd w:id="67"/>
      <w:bookmarkEnd w:id="68"/>
      <w:r>
        <w:rPr>
          <w:rFonts w:hint="eastAsia"/>
          <w:color w:val="auto"/>
          <w:sz w:val="32"/>
          <w:szCs w:val="32"/>
        </w:rPr>
        <w:t>其他环境保护设施</w:t>
      </w:r>
      <w:bookmarkEnd w:id="69"/>
    </w:p>
    <w:p>
      <w:pPr>
        <w:pStyle w:val="7"/>
        <w:keepNext/>
        <w:keepLines w:val="0"/>
        <w:pageBreakBefore w:val="0"/>
        <w:widowControl w:val="0"/>
        <w:kinsoku/>
        <w:wordWrap/>
        <w:overflowPunct/>
        <w:topLinePunct w:val="0"/>
        <w:autoSpaceDE/>
        <w:autoSpaceDN/>
        <w:bidi w:val="0"/>
        <w:adjustRightInd/>
        <w:snapToGrid/>
        <w:spacing w:beforeLines="0" w:afterLines="0"/>
        <w:ind w:left="0" w:leftChars="0" w:firstLine="0" w:firstLineChars="0"/>
        <w:textAlignment w:val="auto"/>
        <w:outlineLvl w:val="2"/>
        <w:rPr>
          <w:color w:val="auto"/>
          <w:sz w:val="32"/>
          <w:szCs w:val="32"/>
        </w:rPr>
      </w:pPr>
      <w:r>
        <w:rPr>
          <w:rFonts w:hint="eastAsia"/>
          <w:color w:val="auto"/>
          <w:sz w:val="32"/>
          <w:szCs w:val="32"/>
        </w:rPr>
        <w:t>4.</w:t>
      </w:r>
      <w:r>
        <w:rPr>
          <w:rFonts w:hint="eastAsia"/>
          <w:color w:val="auto"/>
          <w:sz w:val="32"/>
          <w:szCs w:val="32"/>
          <w:lang w:val="en-US" w:eastAsia="zh-CN"/>
        </w:rPr>
        <w:t>2.1地下水、土壤污染防范措施</w:t>
      </w:r>
    </w:p>
    <w:p>
      <w:pPr>
        <w:pStyle w:val="8"/>
        <w:keepNext/>
        <w:keepLines/>
        <w:pageBreakBefore w:val="0"/>
        <w:widowControl w:val="0"/>
        <w:kinsoku/>
        <w:wordWrap/>
        <w:overflowPunct/>
        <w:topLinePunct w:val="0"/>
        <w:autoSpaceDE/>
        <w:autoSpaceDN/>
        <w:bidi w:val="0"/>
        <w:adjustRightInd/>
        <w:snapToGrid/>
        <w:spacing w:beforeLines="0" w:afterLines="0"/>
        <w:ind w:firstLine="0" w:firstLineChars="0"/>
        <w:textAlignment w:val="auto"/>
        <w:outlineLvl w:val="3"/>
        <w:rPr>
          <w:rFonts w:hint="eastAsia" w:eastAsia="宋体"/>
          <w:sz w:val="30"/>
          <w:szCs w:val="30"/>
          <w:lang w:eastAsia="zh-CN"/>
        </w:rPr>
      </w:pPr>
      <w:r>
        <w:rPr>
          <w:rFonts w:hint="eastAsia"/>
          <w:sz w:val="30"/>
          <w:szCs w:val="30"/>
        </w:rPr>
        <w:t>4.2.</w:t>
      </w:r>
      <w:r>
        <w:rPr>
          <w:rFonts w:hint="eastAsia"/>
          <w:sz w:val="30"/>
          <w:szCs w:val="30"/>
          <w:lang w:val="en-US" w:eastAsia="zh-CN"/>
        </w:rPr>
        <w:t>2.</w:t>
      </w:r>
      <w:r>
        <w:rPr>
          <w:rFonts w:hint="eastAsia"/>
          <w:sz w:val="30"/>
          <w:szCs w:val="30"/>
        </w:rPr>
        <w:t>1</w:t>
      </w:r>
      <w:r>
        <w:rPr>
          <w:rFonts w:hint="eastAsia"/>
          <w:sz w:val="30"/>
          <w:szCs w:val="30"/>
          <w:lang w:eastAsia="zh-CN"/>
        </w:rPr>
        <w:t>源头控制</w:t>
      </w:r>
    </w:p>
    <w:p>
      <w:pPr>
        <w:ind w:firstLine="480" w:firstLineChars="200"/>
        <w:rPr>
          <w:rFonts w:hint="default" w:ascii="Times New Roman" w:hAnsi="Times New Roman" w:cs="Times New Roman"/>
        </w:rPr>
      </w:pPr>
      <w:r>
        <w:rPr>
          <w:rFonts w:hint="default" w:ascii="Times New Roman" w:hAnsi="Times New Roman" w:cs="Times New Roman"/>
        </w:rPr>
        <w:t>源头上控制对土壤及地下水的污染为了保护土壤及地下水环境，采取措施从源头上控制对土壤及地下水的污染；主要措施包括工艺、管道、设备、土建、给排水、总图布置等防止污染物泄漏的措施。在处理或贮存化学品的所有区域设置防渗漏的地基并设置围堰，确保任何物质的冒溢均能被回收，从而</w:t>
      </w:r>
      <w:r>
        <w:rPr>
          <w:rFonts w:hint="eastAsia" w:cs="Times New Roman"/>
          <w:lang w:eastAsia="zh-CN"/>
        </w:rPr>
        <w:t>控制</w:t>
      </w:r>
      <w:r>
        <w:rPr>
          <w:rFonts w:hint="default" w:ascii="Times New Roman" w:hAnsi="Times New Roman" w:cs="Times New Roman"/>
        </w:rPr>
        <w:t>土壤和地下水环境污染。操作区域的地基、地面均铺设防渗漏地基。</w:t>
      </w:r>
    </w:p>
    <w:p>
      <w:pPr>
        <w:ind w:firstLine="480" w:firstLineChars="200"/>
        <w:rPr>
          <w:rFonts w:hint="default" w:ascii="Times New Roman" w:hAnsi="Times New Roman" w:cs="Times New Roman"/>
        </w:rPr>
      </w:pPr>
      <w:r>
        <w:rPr>
          <w:rFonts w:hint="default" w:ascii="Times New Roman" w:hAnsi="Times New Roman" w:cs="Times New Roman"/>
        </w:rPr>
        <w:t>固体废弃物在厂内暂存期间，危险废物临时堆场设置符合《危险废物贮存污染控制标准》GB18597-2001要求，固废临时堆场</w:t>
      </w:r>
      <w:r>
        <w:rPr>
          <w:rFonts w:hint="eastAsia" w:cs="Times New Roman"/>
          <w:lang w:eastAsia="zh-CN"/>
        </w:rPr>
        <w:t>落实了</w:t>
      </w:r>
      <w:r>
        <w:rPr>
          <w:rFonts w:hint="default" w:ascii="Times New Roman" w:hAnsi="Times New Roman" w:cs="Times New Roman"/>
        </w:rPr>
        <w:t>防雨淋、防扬散、防渗漏、防流失等措施，以免对地下水和土壤造成污染。</w:t>
      </w:r>
    </w:p>
    <w:p>
      <w:pPr>
        <w:ind w:firstLine="480" w:firstLineChars="200"/>
        <w:rPr>
          <w:rFonts w:hint="default" w:ascii="Times New Roman" w:hAnsi="Times New Roman" w:cs="Times New Roman"/>
        </w:rPr>
      </w:pPr>
      <w:r>
        <w:rPr>
          <w:rFonts w:hint="default" w:ascii="Times New Roman" w:hAnsi="Times New Roman" w:cs="Times New Roman"/>
        </w:rPr>
        <w:t>运行期严格管理，加强巡检，及时发现污染物泄漏；一旦出现泄漏及时处理，检查检修设备，将污染物泄漏的环境风险事故降到最低。</w:t>
      </w:r>
    </w:p>
    <w:p>
      <w:pPr>
        <w:pStyle w:val="8"/>
        <w:keepNext/>
        <w:keepLines/>
        <w:pageBreakBefore w:val="0"/>
        <w:widowControl w:val="0"/>
        <w:kinsoku/>
        <w:wordWrap/>
        <w:overflowPunct/>
        <w:topLinePunct w:val="0"/>
        <w:autoSpaceDE/>
        <w:autoSpaceDN/>
        <w:bidi w:val="0"/>
        <w:adjustRightInd/>
        <w:snapToGrid/>
        <w:spacing w:beforeLines="0" w:afterLines="0"/>
        <w:ind w:left="0" w:leftChars="0" w:firstLine="0" w:firstLineChars="0"/>
        <w:textAlignment w:val="auto"/>
        <w:rPr>
          <w:rFonts w:hint="eastAsia" w:eastAsia="宋体"/>
          <w:sz w:val="28"/>
          <w:szCs w:val="28"/>
          <w:lang w:eastAsia="zh-CN"/>
        </w:rPr>
      </w:pPr>
      <w:r>
        <w:rPr>
          <w:rFonts w:hint="eastAsia"/>
          <w:sz w:val="28"/>
          <w:szCs w:val="28"/>
        </w:rPr>
        <w:t>4.2.2.2</w:t>
      </w:r>
      <w:r>
        <w:rPr>
          <w:rFonts w:hint="eastAsia"/>
          <w:sz w:val="28"/>
          <w:szCs w:val="28"/>
          <w:lang w:eastAsia="zh-CN"/>
        </w:rPr>
        <w:t>应急处置</w:t>
      </w:r>
    </w:p>
    <w:p>
      <w:pPr>
        <w:ind w:firstLine="480" w:firstLineChars="200"/>
        <w:rPr>
          <w:rFonts w:hint="default" w:ascii="Times New Roman" w:hAnsi="Times New Roman" w:cs="Times New Roman"/>
        </w:rPr>
      </w:pPr>
      <w:bookmarkStart w:id="70" w:name="OLE_LINK85"/>
      <w:r>
        <w:rPr>
          <w:rFonts w:hint="default" w:ascii="Times New Roman" w:hAnsi="Times New Roman" w:cs="Times New Roman"/>
        </w:rPr>
        <w:t>①当发生异常情况，马上采取紧急措施。</w:t>
      </w:r>
    </w:p>
    <w:p>
      <w:pPr>
        <w:ind w:firstLine="480" w:firstLineChars="200"/>
        <w:rPr>
          <w:rFonts w:hint="default" w:ascii="Times New Roman" w:hAnsi="Times New Roman" w:cs="Times New Roman"/>
        </w:rPr>
      </w:pPr>
      <w:r>
        <w:rPr>
          <w:rFonts w:hint="default" w:ascii="Times New Roman" w:hAnsi="Times New Roman" w:cs="Times New Roman"/>
        </w:rPr>
        <w:t>②当发生异常情况时，按照装置制定的环境事故应急预案，启动应急预案。在第一时间内尽快上报主管领导，启动周围社会预案，密切关注地下水水质变化情况。</w:t>
      </w:r>
    </w:p>
    <w:p>
      <w:pPr>
        <w:ind w:firstLine="480" w:firstLineChars="200"/>
        <w:rPr>
          <w:rFonts w:hint="default" w:ascii="Times New Roman" w:hAnsi="Times New Roman" w:cs="Times New Roman"/>
        </w:rPr>
      </w:pPr>
      <w:r>
        <w:rPr>
          <w:rFonts w:hint="default" w:ascii="Times New Roman" w:hAnsi="Times New Roman" w:cs="Times New Roman"/>
        </w:rPr>
        <w:t>③组织装专业队伍负责查找环境事故发生地点，分析事故原因，将紧急时间局部化，如可能应予以消除，缩小环境事故对人和财产的影响。减低事故后果的手段，包括切断生产装置或设施。</w:t>
      </w:r>
    </w:p>
    <w:p>
      <w:pPr>
        <w:ind w:firstLine="480" w:firstLineChars="200"/>
        <w:rPr>
          <w:rFonts w:hint="default" w:ascii="Times New Roman" w:hAnsi="Times New Roman" w:cs="Times New Roman"/>
        </w:rPr>
      </w:pPr>
      <w:r>
        <w:rPr>
          <w:rFonts w:hint="default" w:ascii="Times New Roman" w:hAnsi="Times New Roman" w:cs="Times New Roman"/>
        </w:rPr>
        <w:t>④对事故现场进行调查，监测，处理。对事故后果进行评估，采取紧急措施制止事故的扩散，扩大，并制定防止类似事件发生的措施。</w:t>
      </w:r>
    </w:p>
    <w:bookmarkEnd w:id="70"/>
    <w:p>
      <w:pPr>
        <w:pStyle w:val="8"/>
        <w:keepNext/>
        <w:keepLines/>
        <w:pageBreakBefore w:val="0"/>
        <w:widowControl w:val="0"/>
        <w:kinsoku/>
        <w:wordWrap/>
        <w:overflowPunct/>
        <w:topLinePunct w:val="0"/>
        <w:autoSpaceDE/>
        <w:autoSpaceDN/>
        <w:bidi w:val="0"/>
        <w:adjustRightInd/>
        <w:snapToGrid/>
        <w:spacing w:beforeLines="0" w:afterLines="0"/>
        <w:ind w:firstLine="0" w:firstLineChars="0"/>
        <w:textAlignment w:val="auto"/>
        <w:rPr>
          <w:sz w:val="28"/>
          <w:szCs w:val="28"/>
        </w:rPr>
      </w:pPr>
      <w:r>
        <w:rPr>
          <w:rFonts w:hint="eastAsia"/>
          <w:sz w:val="28"/>
          <w:szCs w:val="28"/>
        </w:rPr>
        <w:t>4.2.2.3</w:t>
      </w:r>
      <w:r>
        <w:rPr>
          <w:rFonts w:hint="eastAsia"/>
          <w:sz w:val="28"/>
          <w:szCs w:val="28"/>
          <w:lang w:eastAsia="zh-CN"/>
        </w:rPr>
        <w:t>防渗</w:t>
      </w:r>
      <w:r>
        <w:rPr>
          <w:rFonts w:hint="eastAsia"/>
          <w:sz w:val="28"/>
          <w:szCs w:val="28"/>
        </w:rPr>
        <w:t>措施</w:t>
      </w:r>
    </w:p>
    <w:p>
      <w:pPr>
        <w:ind w:firstLine="480" w:firstLineChars="200"/>
        <w:rPr>
          <w:rFonts w:hint="default" w:ascii="Times New Roman" w:hAnsi="Times New Roman" w:cs="Times New Roman"/>
        </w:rPr>
      </w:pPr>
      <w:bookmarkStart w:id="71" w:name="_Toc30848"/>
      <w:bookmarkStart w:id="72" w:name="_Toc19223"/>
      <w:r>
        <w:rPr>
          <w:rFonts w:hint="default" w:ascii="Times New Roman" w:hAnsi="Times New Roman" w:cs="Times New Roman"/>
        </w:rPr>
        <w:t>根据《危险废物贮存污染控制标准》（GB18597-2001），对项目厂区采取分区防渗要求，一般区域采用水泥硬化地面，仓库、排污管线等采取重点防腐防渗，防渗系数小于10</w:t>
      </w:r>
      <w:r>
        <w:rPr>
          <w:rFonts w:hint="default" w:ascii="Times New Roman" w:hAnsi="Times New Roman" w:cs="Times New Roman"/>
          <w:vertAlign w:val="superscript"/>
        </w:rPr>
        <w:t>-7</w:t>
      </w:r>
      <w:r>
        <w:rPr>
          <w:rFonts w:hint="default" w:ascii="Times New Roman" w:hAnsi="Times New Roman" w:cs="Times New Roman"/>
        </w:rPr>
        <w:t>cm/s。</w:t>
      </w:r>
    </w:p>
    <w:p>
      <w:pPr>
        <w:ind w:firstLine="480" w:firstLineChars="200"/>
        <w:rPr>
          <w:rFonts w:hint="default" w:ascii="Times New Roman" w:hAnsi="Times New Roman" w:cs="Times New Roman"/>
        </w:rPr>
      </w:pPr>
      <w:r>
        <w:rPr>
          <w:rFonts w:hint="default" w:ascii="Times New Roman" w:hAnsi="Times New Roman" w:cs="Times New Roman"/>
        </w:rPr>
        <w:t>全厂防腐、防渗等防止地下水污染预防措施如下：地坪防渗处理措施：非绿化用地均采用混凝土防渗地坪，设计径流坡度。废水管道防渗处理措施：废水管道管线敷设的地面进行地面硬化；对下水管道和阀门设防渗管沟和活动观察顶盖，出现渗漏问题及时观察、解决。同时按照国家标准进行分水管道的敷设。</w:t>
      </w:r>
    </w:p>
    <w:p>
      <w:pPr>
        <w:ind w:firstLine="480" w:firstLineChars="200"/>
        <w:rPr>
          <w:rFonts w:hint="default" w:ascii="Times New Roman" w:hAnsi="Times New Roman" w:cs="Times New Roman"/>
        </w:rPr>
      </w:pPr>
      <w:r>
        <w:rPr>
          <w:rFonts w:hint="default" w:ascii="Times New Roman" w:hAnsi="Times New Roman" w:cs="Times New Roman"/>
        </w:rPr>
        <w:t>地上管道、阀门的防渗措施：对于地上管道、阀门严格质量管理，发现问题，应及时更换，所在的区域做好地面硬化，以防发生泄漏时，废液渗漏至土壤，继而污染地下水。</w:t>
      </w:r>
    </w:p>
    <w:p>
      <w:pPr>
        <w:ind w:firstLine="480" w:firstLineChars="200"/>
        <w:rPr>
          <w:rFonts w:hint="default" w:ascii="Times New Roman" w:hAnsi="Times New Roman" w:cs="Times New Roman"/>
        </w:rPr>
      </w:pPr>
      <w:r>
        <w:rPr>
          <w:rFonts w:hint="default" w:ascii="Times New Roman" w:hAnsi="Times New Roman" w:cs="Times New Roman"/>
        </w:rPr>
        <w:t>对于危废暂存场所的防渗措施：地面与裙脚要用坚固、防渗材料制造；采用耐腐蚀的硬化地面，且表面无缝隙防渗系数小于10</w:t>
      </w:r>
      <w:r>
        <w:rPr>
          <w:rFonts w:hint="default" w:ascii="Times New Roman" w:hAnsi="Times New Roman" w:cs="Times New Roman"/>
          <w:vertAlign w:val="superscript"/>
        </w:rPr>
        <w:t>-7</w:t>
      </w:r>
      <w:r>
        <w:rPr>
          <w:rFonts w:hint="default" w:ascii="Times New Roman" w:hAnsi="Times New Roman" w:cs="Times New Roman"/>
        </w:rPr>
        <w:t>cm/s。</w:t>
      </w:r>
    </w:p>
    <w:p>
      <w:pPr>
        <w:pStyle w:val="7"/>
        <w:pageBreakBefore w:val="0"/>
        <w:widowControl w:val="0"/>
        <w:kinsoku/>
        <w:wordWrap/>
        <w:overflowPunct/>
        <w:topLinePunct w:val="0"/>
        <w:autoSpaceDE/>
        <w:autoSpaceDN/>
        <w:bidi w:val="0"/>
        <w:adjustRightInd/>
        <w:snapToGrid/>
        <w:spacing w:beforeLines="0" w:afterLines="0"/>
        <w:ind w:firstLine="0" w:firstLineChars="0"/>
        <w:textAlignment w:val="auto"/>
        <w:rPr>
          <w:rFonts w:hint="eastAsia"/>
          <w:lang w:val="en-US" w:eastAsia="zh-CN"/>
        </w:rPr>
      </w:pPr>
      <w:r>
        <w:rPr>
          <w:rFonts w:hint="eastAsia"/>
          <w:lang w:eastAsia="zh-CN"/>
        </w:rPr>
        <w:t>4.</w:t>
      </w:r>
      <w:r>
        <w:rPr>
          <w:rFonts w:hint="eastAsia"/>
          <w:lang w:val="en-US" w:eastAsia="zh-CN"/>
        </w:rPr>
        <w:t>2.2环境风险防范设施</w:t>
      </w:r>
    </w:p>
    <w:p>
      <w:pPr>
        <w:ind w:firstLine="480" w:firstLineChars="200"/>
        <w:rPr>
          <w:rFonts w:hint="eastAsia" w:ascii="Times New Roman" w:hAnsi="Times New Roman" w:cs="Times New Roman"/>
          <w:color w:val="auto"/>
          <w:lang w:eastAsia="zh-CN"/>
        </w:rPr>
      </w:pPr>
      <w:r>
        <w:rPr>
          <w:rFonts w:hint="eastAsia" w:cs="Times New Roman"/>
          <w:color w:val="auto"/>
          <w:lang w:val="en-US" w:eastAsia="zh-CN"/>
        </w:rPr>
        <w:t>厂区</w:t>
      </w:r>
      <w:r>
        <w:rPr>
          <w:rFonts w:hint="default" w:ascii="Times New Roman" w:hAnsi="Times New Roman" w:cs="Times New Roman"/>
          <w:color w:val="auto"/>
        </w:rPr>
        <w:t>环境风险防范设施如下</w:t>
      </w:r>
      <w:r>
        <w:rPr>
          <w:rFonts w:hint="eastAsia" w:ascii="Times New Roman" w:hAnsi="Times New Roman" w:cs="Times New Roman"/>
          <w:color w:val="auto"/>
          <w:lang w:eastAsia="zh-CN"/>
        </w:rPr>
        <w:t>：</w:t>
      </w:r>
    </w:p>
    <w:p>
      <w:pPr>
        <w:ind w:firstLine="480" w:firstLineChars="200"/>
        <w:rPr>
          <w:rFonts w:ascii="Times New Roman" w:hAnsi="Times New Roman" w:eastAsia="宋体" w:cs="Times New Roman"/>
          <w:bCs/>
          <w:color w:val="000000"/>
          <w:sz w:val="24"/>
        </w:rPr>
      </w:pPr>
      <w:r>
        <w:rPr>
          <w:rFonts w:ascii="Times New Roman" w:hAnsi="Times New Roman" w:eastAsia="宋体" w:cs="Times New Roman"/>
          <w:bCs/>
          <w:color w:val="000000"/>
          <w:sz w:val="24"/>
        </w:rPr>
        <w:t>（1）选址、总图布置和建筑安全防范措施本周边为规划的工业用地，不属于环境敏感区。项目所在区域内无水源保护区等环境敏感点，从选址上可在一定程度上避免对周围的环境影响。项目在总图设置一定的安全防护距离和防火间距，应有应急救援设施及救援通道、应急疏散及避难所，符合防范事故要求。厂区主干道、支干道路面宽度能保证消防、急救车辆通畅到达各个区域。为防止火灾发生事故的影响，在平面布置时，散发烟尘、水雾和噪音的生产装置布置在全年最小风频率的上风向。</w:t>
      </w:r>
    </w:p>
    <w:p>
      <w:pPr>
        <w:ind w:firstLine="480" w:firstLineChars="200"/>
        <w:rPr>
          <w:rFonts w:hint="default" w:ascii="Times New Roman" w:hAnsi="Times New Roman" w:eastAsia="宋体" w:cs="Times New Roman"/>
          <w:bCs/>
          <w:color w:val="000000"/>
          <w:sz w:val="24"/>
        </w:rPr>
      </w:pPr>
      <w:r>
        <w:rPr>
          <w:rFonts w:hint="default" w:ascii="Times New Roman" w:hAnsi="Times New Roman" w:eastAsia="宋体" w:cs="Times New Roman"/>
          <w:bCs/>
          <w:color w:val="000000"/>
          <w:sz w:val="24"/>
        </w:rPr>
        <w:t>（2）火灾和爆炸事故的防范措施</w:t>
      </w:r>
    </w:p>
    <w:p>
      <w:pPr>
        <w:ind w:firstLine="480" w:firstLineChars="200"/>
        <w:rPr>
          <w:rFonts w:hint="default" w:ascii="Times New Roman" w:hAnsi="Times New Roman" w:eastAsia="宋体" w:cs="Times New Roman"/>
          <w:bCs/>
          <w:color w:val="000000"/>
          <w:sz w:val="24"/>
        </w:rPr>
      </w:pPr>
      <w:r>
        <w:rPr>
          <w:rFonts w:hint="default" w:ascii="Times New Roman" w:hAnsi="Times New Roman" w:eastAsia="宋体" w:cs="Times New Roman"/>
          <w:bCs/>
          <w:color w:val="000000"/>
          <w:sz w:val="24"/>
        </w:rPr>
        <w:t>①严格按照相关防火、防爆设计要求进行设计和施工，并配备相应的保护工程；</w:t>
      </w:r>
    </w:p>
    <w:p>
      <w:pPr>
        <w:ind w:firstLine="480" w:firstLineChars="200"/>
        <w:rPr>
          <w:rFonts w:hint="default" w:ascii="Times New Roman" w:hAnsi="Times New Roman" w:eastAsia="宋体" w:cs="Times New Roman"/>
          <w:bCs/>
          <w:color w:val="000000"/>
          <w:sz w:val="24"/>
        </w:rPr>
      </w:pPr>
      <w:r>
        <w:rPr>
          <w:rFonts w:hint="default" w:ascii="Times New Roman" w:hAnsi="Times New Roman" w:eastAsia="宋体" w:cs="Times New Roman"/>
          <w:bCs/>
          <w:color w:val="000000"/>
          <w:sz w:val="24"/>
        </w:rPr>
        <w:t>②加强工艺系统的自动控制的应用，同时应加强对系统设备的维护保养；</w:t>
      </w:r>
    </w:p>
    <w:p>
      <w:pPr>
        <w:ind w:firstLine="480" w:firstLineChars="200"/>
        <w:rPr>
          <w:rFonts w:hint="default" w:ascii="Times New Roman" w:hAnsi="Times New Roman" w:eastAsia="宋体" w:cs="Times New Roman"/>
          <w:bCs/>
          <w:color w:val="000000"/>
          <w:sz w:val="24"/>
        </w:rPr>
      </w:pPr>
      <w:r>
        <w:rPr>
          <w:rFonts w:hint="default" w:ascii="Times New Roman" w:hAnsi="Times New Roman" w:eastAsia="宋体" w:cs="Times New Roman"/>
          <w:bCs/>
          <w:color w:val="000000"/>
          <w:sz w:val="24"/>
        </w:rPr>
        <w:t>③专人进行定期对原料仓库及调胶室的巡视、检查、设备维护工作；</w:t>
      </w:r>
    </w:p>
    <w:p>
      <w:pPr>
        <w:ind w:firstLine="480" w:firstLineChars="200"/>
        <w:rPr>
          <w:rFonts w:hint="default" w:ascii="Times New Roman" w:hAnsi="Times New Roman" w:eastAsia="宋体" w:cs="Times New Roman"/>
          <w:bCs/>
          <w:color w:val="000000"/>
          <w:sz w:val="24"/>
        </w:rPr>
      </w:pPr>
      <w:r>
        <w:rPr>
          <w:rFonts w:hint="default" w:ascii="Times New Roman" w:hAnsi="Times New Roman" w:eastAsia="宋体" w:cs="Times New Roman"/>
          <w:bCs/>
          <w:color w:val="000000"/>
          <w:sz w:val="24"/>
        </w:rPr>
        <w:t>④严格岗位操作规程，加强操作人员的岗位培训和职业素质教肓，提高安全意识，实施规范核查；</w:t>
      </w:r>
    </w:p>
    <w:p>
      <w:pPr>
        <w:ind w:firstLine="480" w:firstLineChars="200"/>
        <w:rPr>
          <w:rFonts w:hint="default" w:ascii="Times New Roman" w:hAnsi="Times New Roman" w:eastAsia="宋体" w:cs="Times New Roman"/>
          <w:bCs/>
          <w:color w:val="000000"/>
          <w:sz w:val="24"/>
        </w:rPr>
      </w:pPr>
      <w:r>
        <w:rPr>
          <w:rFonts w:hint="default" w:ascii="Times New Roman" w:hAnsi="Times New Roman" w:eastAsia="宋体" w:cs="Times New Roman"/>
          <w:bCs/>
          <w:color w:val="000000"/>
          <w:sz w:val="24"/>
        </w:rPr>
        <w:t>⑤加强对全厂员工教育，使员工了解安全用气及防火、防爆知识；</w:t>
      </w:r>
    </w:p>
    <w:p>
      <w:pPr>
        <w:ind w:firstLine="480" w:firstLineChars="200"/>
        <w:rPr>
          <w:rFonts w:hint="default" w:ascii="Times New Roman" w:hAnsi="Times New Roman" w:eastAsia="宋体" w:cs="Times New Roman"/>
          <w:bCs/>
          <w:color w:val="000000"/>
          <w:sz w:val="24"/>
        </w:rPr>
      </w:pPr>
      <w:r>
        <w:rPr>
          <w:rFonts w:hint="default" w:ascii="Times New Roman" w:hAnsi="Times New Roman" w:eastAsia="宋体" w:cs="Times New Roman"/>
          <w:bCs/>
          <w:color w:val="000000"/>
          <w:sz w:val="24"/>
        </w:rPr>
        <w:t>⑥多种途径宣传消防安全；一批有较好素质和经验的巡查人员，及时发现</w:t>
      </w:r>
    </w:p>
    <w:p>
      <w:pPr>
        <w:ind w:firstLine="480" w:firstLineChars="200"/>
        <w:rPr>
          <w:rFonts w:hint="default" w:ascii="Times New Roman" w:hAnsi="Times New Roman" w:eastAsia="宋体" w:cs="Times New Roman"/>
          <w:bCs/>
          <w:color w:val="000000"/>
          <w:sz w:val="24"/>
        </w:rPr>
      </w:pPr>
      <w:r>
        <w:rPr>
          <w:rFonts w:hint="default" w:ascii="Times New Roman" w:hAnsi="Times New Roman" w:eastAsia="宋体" w:cs="Times New Roman"/>
          <w:bCs/>
          <w:color w:val="000000"/>
          <w:sz w:val="24"/>
        </w:rPr>
        <w:t>火灾隐患；管理到位，正确使用消防设施、设备；</w:t>
      </w:r>
    </w:p>
    <w:p>
      <w:pPr>
        <w:ind w:firstLine="480" w:firstLineChars="200"/>
        <w:rPr>
          <w:rFonts w:hint="default" w:ascii="Times New Roman" w:hAnsi="Times New Roman" w:eastAsia="宋体" w:cs="Times New Roman"/>
          <w:bCs/>
          <w:color w:val="000000"/>
          <w:sz w:val="24"/>
        </w:rPr>
      </w:pPr>
      <w:r>
        <w:rPr>
          <w:rFonts w:hint="default" w:ascii="Times New Roman" w:hAnsi="Times New Roman" w:eastAsia="宋体" w:cs="Times New Roman"/>
          <w:bCs/>
          <w:color w:val="000000"/>
          <w:sz w:val="24"/>
        </w:rPr>
        <w:t>⑦仓库做好标志，严禁不相关人员进入；配备足够的救灾防毒器具、消防器及防护用品；</w:t>
      </w:r>
    </w:p>
    <w:p>
      <w:pPr>
        <w:ind w:left="480" w:leftChars="200" w:firstLine="0" w:firstLineChars="0"/>
        <w:rPr>
          <w:rFonts w:hint="eastAsia" w:ascii="Times New Roman" w:hAnsi="Times New Roman" w:eastAsia="宋体" w:cs="Times New Roman"/>
          <w:color w:val="auto"/>
          <w:highlight w:val="none"/>
        </w:rPr>
      </w:pPr>
      <w:r>
        <w:rPr>
          <w:rFonts w:hint="default" w:ascii="Times New Roman" w:hAnsi="Times New Roman" w:eastAsia="宋体" w:cs="Times New Roman"/>
          <w:color w:val="auto"/>
          <w:highlight w:val="none"/>
        </w:rPr>
        <w:t>⑧生产车间、化学品仓库等危险区安装自动监测装置和自动火灾报警系统。</w:t>
      </w:r>
      <w:r>
        <w:rPr>
          <w:rFonts w:hint="eastAsia" w:ascii="Times New Roman" w:hAnsi="Times New Roman" w:eastAsia="宋体" w:cs="Times New Roman"/>
          <w:color w:val="auto"/>
          <w:highlight w:val="none"/>
        </w:rPr>
        <w:t>（3）安全管理</w:t>
      </w:r>
    </w:p>
    <w:p>
      <w:pPr>
        <w:ind w:firstLine="480" w:firstLineChars="200"/>
        <w:rPr>
          <w:rFonts w:hint="eastAsia" w:ascii="Times New Roman" w:hAnsi="Times New Roman" w:eastAsia="宋体" w:cs="Times New Roman"/>
          <w:bCs/>
          <w:color w:val="000000"/>
          <w:sz w:val="24"/>
          <w:lang w:val="en-US" w:eastAsia="zh-CN"/>
        </w:rPr>
      </w:pPr>
      <w:r>
        <w:rPr>
          <w:rFonts w:hint="eastAsia" w:ascii="Times New Roman" w:hAnsi="Times New Roman" w:eastAsia="宋体" w:cs="Times New Roman"/>
          <w:color w:val="auto"/>
          <w:highlight w:val="none"/>
        </w:rPr>
        <w:t>项目在管理上设置专业安全监督机构，建立严格的规章制度和安全生产措施，所有工作人员必须培训上岗，绝不容许引入不安全因素到生产作业中去。加强监测，杜绝意外泄漏事故造成的危害。采用密封性能良好的阀门、泵等设备和配件。生产区、库房区均设禁止吸烟标志，防止人为吸烟引起明火火灾等事故。</w:t>
      </w:r>
    </w:p>
    <w:p>
      <w:pPr>
        <w:pStyle w:val="7"/>
        <w:keepNext/>
        <w:keepLines w:val="0"/>
        <w:pageBreakBefore w:val="0"/>
        <w:widowControl w:val="0"/>
        <w:kinsoku/>
        <w:wordWrap/>
        <w:overflowPunct/>
        <w:topLinePunct w:val="0"/>
        <w:autoSpaceDE/>
        <w:autoSpaceDN/>
        <w:bidi w:val="0"/>
        <w:adjustRightInd/>
        <w:snapToGrid/>
        <w:spacing w:beforeLines="0" w:afterLines="0"/>
        <w:ind w:left="0" w:leftChars="0" w:firstLine="0" w:firstLineChars="0"/>
        <w:textAlignment w:val="auto"/>
        <w:outlineLvl w:val="2"/>
        <w:rPr>
          <w:color w:val="auto"/>
          <w:sz w:val="32"/>
          <w:szCs w:val="32"/>
          <w:highlight w:val="none"/>
        </w:rPr>
      </w:pPr>
      <w:r>
        <w:rPr>
          <w:rFonts w:hint="eastAsia"/>
          <w:color w:val="auto"/>
          <w:sz w:val="32"/>
          <w:szCs w:val="32"/>
          <w:highlight w:val="none"/>
        </w:rPr>
        <w:t>4.</w:t>
      </w:r>
      <w:r>
        <w:rPr>
          <w:rFonts w:hint="eastAsia"/>
          <w:color w:val="auto"/>
          <w:sz w:val="32"/>
          <w:szCs w:val="32"/>
          <w:highlight w:val="none"/>
          <w:lang w:val="en-US" w:eastAsia="zh-CN"/>
        </w:rPr>
        <w:t>2.3规范化排污口、监测设施</w:t>
      </w:r>
    </w:p>
    <w:p>
      <w:pPr>
        <w:ind w:firstLine="480" w:firstLineChars="200"/>
        <w:rPr>
          <w:rFonts w:hint="eastAsia" w:ascii="Times New Roman" w:hAnsi="Times New Roman" w:eastAsia="宋体" w:cs="Times New Roman"/>
          <w:bCs/>
          <w:color w:val="000000"/>
          <w:sz w:val="24"/>
          <w:vertAlign w:val="baseline"/>
          <w:lang w:eastAsia="zh-CN"/>
        </w:rPr>
      </w:pPr>
      <w:r>
        <w:rPr>
          <w:rFonts w:hint="default" w:ascii="Times New Roman" w:hAnsi="Times New Roman" w:eastAsia="宋体" w:cs="Times New Roman"/>
          <w:bCs/>
          <w:color w:val="000000"/>
          <w:sz w:val="24"/>
        </w:rPr>
        <w:t>废气处理设施</w:t>
      </w:r>
      <w:r>
        <w:rPr>
          <w:rFonts w:hint="eastAsia" w:cs="Times New Roman"/>
          <w:bCs/>
          <w:color w:val="000000"/>
          <w:sz w:val="24"/>
          <w:lang w:eastAsia="zh-CN"/>
        </w:rPr>
        <w:t>和废水排放设施</w:t>
      </w:r>
      <w:r>
        <w:rPr>
          <w:rFonts w:hint="default" w:ascii="Times New Roman" w:hAnsi="Times New Roman" w:eastAsia="宋体" w:cs="Times New Roman"/>
          <w:bCs/>
          <w:color w:val="000000"/>
          <w:sz w:val="24"/>
        </w:rPr>
        <w:t>建设基本规范，有明确的</w:t>
      </w:r>
      <w:r>
        <w:rPr>
          <w:rFonts w:hint="eastAsia" w:cs="Times New Roman"/>
          <w:bCs/>
          <w:color w:val="000000"/>
          <w:sz w:val="24"/>
          <w:lang w:eastAsia="zh-CN"/>
        </w:rPr>
        <w:t>排放</w:t>
      </w:r>
      <w:r>
        <w:rPr>
          <w:rFonts w:hint="default" w:ascii="Times New Roman" w:hAnsi="Times New Roman" w:eastAsia="宋体" w:cs="Times New Roman"/>
          <w:bCs/>
          <w:color w:val="000000"/>
          <w:sz w:val="24"/>
        </w:rPr>
        <w:t>标识</w:t>
      </w:r>
      <w:r>
        <w:rPr>
          <w:rFonts w:hint="default" w:ascii="Times New Roman" w:hAnsi="Times New Roman" w:eastAsia="宋体" w:cs="Times New Roman"/>
          <w:bCs/>
          <w:color w:val="000000"/>
          <w:sz w:val="24"/>
          <w:lang w:val="en-US" w:eastAsia="zh-CN"/>
        </w:rPr>
        <w:t>和监测孔</w:t>
      </w:r>
      <w:r>
        <w:rPr>
          <w:rFonts w:hint="default" w:ascii="Times New Roman" w:hAnsi="Times New Roman" w:eastAsia="宋体" w:cs="Times New Roman"/>
          <w:bCs/>
          <w:color w:val="000000"/>
          <w:sz w:val="24"/>
        </w:rPr>
        <w:t>，基本符合环保要求。</w:t>
      </w:r>
      <w:r>
        <w:rPr>
          <w:rFonts w:hint="eastAsia" w:ascii="Times New Roman" w:hAnsi="Times New Roman" w:eastAsia="宋体" w:cs="Times New Roman"/>
          <w:bCs/>
          <w:color w:val="000000"/>
          <w:sz w:val="24"/>
          <w:lang w:eastAsia="zh-CN"/>
        </w:rPr>
        <w:t>厂区执勤人员加强了对</w:t>
      </w:r>
      <w:r>
        <w:rPr>
          <w:rFonts w:hint="eastAsia" w:cs="Times New Roman"/>
          <w:bCs/>
          <w:color w:val="000000"/>
          <w:sz w:val="24"/>
          <w:lang w:eastAsia="zh-CN"/>
        </w:rPr>
        <w:t>环保设备</w:t>
      </w:r>
      <w:r>
        <w:rPr>
          <w:rFonts w:hint="eastAsia" w:ascii="Times New Roman" w:hAnsi="Times New Roman" w:eastAsia="宋体" w:cs="Times New Roman"/>
          <w:bCs/>
          <w:color w:val="000000"/>
          <w:sz w:val="24"/>
          <w:lang w:eastAsia="zh-CN"/>
        </w:rPr>
        <w:t>的检修和维护，及时做好管理和记录。</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06"/>
        <w:gridCol w:w="5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3" w:hRule="atLeast"/>
        </w:trPr>
        <w:tc>
          <w:tcPr>
            <w:tcW w:w="3288" w:type="dxa"/>
          </w:tcPr>
          <w:p>
            <w:pPr>
              <w:rPr>
                <w:rFonts w:hint="eastAsia" w:ascii="Times New Roman" w:hAnsi="Times New Roman" w:eastAsia="宋体" w:cs="Times New Roman"/>
                <w:bCs/>
                <w:color w:val="000000"/>
                <w:sz w:val="24"/>
                <w:vertAlign w:val="baseline"/>
                <w:lang w:eastAsia="zh-CN"/>
              </w:rPr>
            </w:pPr>
            <w:r>
              <w:rPr>
                <w:rFonts w:hint="eastAsia" w:ascii="Times New Roman" w:hAnsi="Times New Roman" w:eastAsia="宋体" w:cs="Times New Roman"/>
                <w:bCs/>
                <w:color w:val="000000"/>
                <w:sz w:val="24"/>
                <w:vertAlign w:val="baseline"/>
                <w:lang w:eastAsia="zh-CN"/>
              </w:rPr>
              <w:drawing>
                <wp:inline distT="0" distB="0" distL="114300" distR="114300">
                  <wp:extent cx="2085975" cy="2781300"/>
                  <wp:effectExtent l="0" t="0" r="9525" b="0"/>
                  <wp:docPr id="11" name="图片 11" descr="废气排放标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废气排放标识"/>
                          <pic:cNvPicPr>
                            <a:picLocks noChangeAspect="1"/>
                          </pic:cNvPicPr>
                        </pic:nvPicPr>
                        <pic:blipFill>
                          <a:blip r:embed="rId45"/>
                          <a:stretch>
                            <a:fillRect/>
                          </a:stretch>
                        </pic:blipFill>
                        <pic:spPr>
                          <a:xfrm>
                            <a:off x="0" y="0"/>
                            <a:ext cx="2085975" cy="2781300"/>
                          </a:xfrm>
                          <a:prstGeom prst="rect">
                            <a:avLst/>
                          </a:prstGeom>
                        </pic:spPr>
                      </pic:pic>
                    </a:graphicData>
                  </a:graphic>
                </wp:inline>
              </w:drawing>
            </w:r>
          </w:p>
        </w:tc>
        <w:tc>
          <w:tcPr>
            <w:tcW w:w="5178" w:type="dxa"/>
          </w:tcPr>
          <w:p>
            <w:pPr>
              <w:rPr>
                <w:rFonts w:hint="eastAsia" w:ascii="Times New Roman" w:hAnsi="Times New Roman" w:eastAsia="宋体" w:cs="Times New Roman"/>
                <w:bCs/>
                <w:color w:val="000000"/>
                <w:sz w:val="24"/>
                <w:vertAlign w:val="baseline"/>
                <w:lang w:eastAsia="zh-CN"/>
              </w:rPr>
            </w:pPr>
            <w:r>
              <w:rPr>
                <w:rFonts w:hint="eastAsia" w:ascii="Times New Roman" w:hAnsi="Times New Roman" w:eastAsia="宋体" w:cs="Times New Roman"/>
                <w:bCs/>
                <w:color w:val="000000"/>
                <w:sz w:val="24"/>
                <w:vertAlign w:val="baseline"/>
                <w:lang w:eastAsia="zh-CN"/>
              </w:rPr>
              <w:drawing>
                <wp:inline distT="0" distB="0" distL="114300" distR="114300">
                  <wp:extent cx="3165475" cy="2802255"/>
                  <wp:effectExtent l="0" t="0" r="15875" b="17145"/>
                  <wp:docPr id="12" name="图片 12" descr="污水纳管标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污水纳管标牌"/>
                          <pic:cNvPicPr>
                            <a:picLocks noChangeAspect="1"/>
                          </pic:cNvPicPr>
                        </pic:nvPicPr>
                        <pic:blipFill>
                          <a:blip r:embed="rId46"/>
                          <a:stretch>
                            <a:fillRect/>
                          </a:stretch>
                        </pic:blipFill>
                        <pic:spPr>
                          <a:xfrm>
                            <a:off x="0" y="0"/>
                            <a:ext cx="3165475" cy="280225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3288" w:type="dxa"/>
            <w:vAlign w:val="bottom"/>
          </w:tcPr>
          <w:p>
            <w:pPr>
              <w:jc w:val="center"/>
              <w:rPr>
                <w:rFonts w:hint="default" w:ascii="Times New Roman" w:hAnsi="Times New Roman" w:eastAsia="宋体" w:cs="Times New Roman"/>
                <w:bCs/>
                <w:color w:val="000000"/>
                <w:sz w:val="24"/>
                <w:vertAlign w:val="baseline"/>
                <w:lang w:val="en-US" w:eastAsia="zh-CN"/>
              </w:rPr>
            </w:pPr>
            <w:r>
              <w:rPr>
                <w:rFonts w:hint="eastAsia" w:cs="Times New Roman"/>
                <w:bCs/>
                <w:color w:val="000000"/>
                <w:sz w:val="24"/>
                <w:vertAlign w:val="baseline"/>
                <w:lang w:eastAsia="zh-CN"/>
              </w:rPr>
              <w:t>废气排放标识</w:t>
            </w:r>
            <w:r>
              <w:rPr>
                <w:rFonts w:hint="eastAsia" w:cs="Times New Roman"/>
                <w:bCs/>
                <w:color w:val="000000"/>
                <w:sz w:val="24"/>
                <w:vertAlign w:val="baseline"/>
                <w:lang w:val="en-US" w:eastAsia="zh-CN"/>
              </w:rPr>
              <w:t>牌</w:t>
            </w:r>
          </w:p>
        </w:tc>
        <w:tc>
          <w:tcPr>
            <w:tcW w:w="5178" w:type="dxa"/>
            <w:vAlign w:val="bottom"/>
          </w:tcPr>
          <w:p>
            <w:pPr>
              <w:jc w:val="center"/>
              <w:rPr>
                <w:rFonts w:hint="default" w:ascii="Times New Roman" w:hAnsi="Times New Roman" w:eastAsia="宋体" w:cs="Times New Roman"/>
                <w:bCs/>
                <w:color w:val="000000"/>
                <w:sz w:val="24"/>
                <w:vertAlign w:val="baseline"/>
                <w:lang w:val="en-US" w:eastAsia="zh-CN"/>
              </w:rPr>
            </w:pPr>
            <w:r>
              <w:rPr>
                <w:rFonts w:hint="eastAsia" w:cs="Times New Roman"/>
                <w:bCs/>
                <w:color w:val="000000"/>
                <w:sz w:val="24"/>
                <w:vertAlign w:val="baseline"/>
                <w:lang w:eastAsia="zh-CN"/>
              </w:rPr>
              <w:t>废水排放标识</w:t>
            </w:r>
            <w:r>
              <w:rPr>
                <w:rFonts w:hint="eastAsia" w:cs="Times New Roman"/>
                <w:bCs/>
                <w:color w:val="000000"/>
                <w:sz w:val="24"/>
                <w:vertAlign w:val="baseline"/>
                <w:lang w:val="en-US" w:eastAsia="zh-CN"/>
              </w:rPr>
              <w:t>牌</w:t>
            </w:r>
          </w:p>
        </w:tc>
      </w:tr>
    </w:tbl>
    <w:p>
      <w:pPr>
        <w:ind w:firstLine="480" w:firstLineChars="200"/>
        <w:rPr>
          <w:rFonts w:hint="eastAsia" w:ascii="Times New Roman" w:hAnsi="Times New Roman" w:eastAsia="宋体" w:cs="Times New Roman"/>
          <w:bCs/>
          <w:color w:val="000000"/>
          <w:sz w:val="24"/>
          <w:lang w:eastAsia="zh-CN"/>
        </w:rPr>
        <w:sectPr>
          <w:pgSz w:w="11850" w:h="16783"/>
          <w:pgMar w:top="1440" w:right="1800" w:bottom="1440" w:left="1800" w:header="794" w:footer="851" w:gutter="0"/>
          <w:pgNumType w:fmt="decimal"/>
          <w:cols w:space="720" w:num="1"/>
          <w:docGrid w:linePitch="395" w:charSpace="0"/>
        </w:sectPr>
      </w:pPr>
    </w:p>
    <w:p>
      <w:pPr>
        <w:pStyle w:val="7"/>
        <w:keepNext/>
        <w:keepLines w:val="0"/>
        <w:pageBreakBefore w:val="0"/>
        <w:widowControl w:val="0"/>
        <w:kinsoku/>
        <w:wordWrap/>
        <w:overflowPunct/>
        <w:topLinePunct w:val="0"/>
        <w:autoSpaceDE/>
        <w:autoSpaceDN/>
        <w:bidi w:val="0"/>
        <w:adjustRightInd/>
        <w:snapToGrid/>
        <w:spacing w:beforeLines="0" w:afterLines="0"/>
        <w:ind w:left="0" w:leftChars="0" w:firstLine="0" w:firstLineChars="0"/>
        <w:textAlignment w:val="auto"/>
        <w:outlineLvl w:val="2"/>
        <w:rPr>
          <w:rFonts w:hint="eastAsia"/>
          <w:color w:val="auto"/>
          <w:sz w:val="32"/>
          <w:szCs w:val="32"/>
          <w:highlight w:val="none"/>
          <w:lang w:val="en-US" w:eastAsia="zh-CN"/>
        </w:rPr>
      </w:pPr>
      <w:r>
        <w:rPr>
          <w:rFonts w:hint="eastAsia"/>
          <w:color w:val="auto"/>
          <w:sz w:val="32"/>
          <w:szCs w:val="32"/>
          <w:highlight w:val="none"/>
        </w:rPr>
        <w:t>4.</w:t>
      </w:r>
      <w:r>
        <w:rPr>
          <w:rFonts w:hint="eastAsia"/>
          <w:color w:val="auto"/>
          <w:sz w:val="32"/>
          <w:szCs w:val="32"/>
          <w:highlight w:val="none"/>
          <w:lang w:val="en-US" w:eastAsia="zh-CN"/>
        </w:rPr>
        <w:t>2.4环境监测和环境管理</w:t>
      </w:r>
    </w:p>
    <w:p>
      <w:pPr>
        <w:ind w:firstLine="480" w:firstLineChars="200"/>
        <w:rPr>
          <w:rFonts w:hint="eastAsia" w:ascii="Times New Roman" w:hAnsi="Times New Roman" w:eastAsia="宋体" w:cs="Times New Roman"/>
          <w:highlight w:val="none"/>
        </w:rPr>
      </w:pPr>
      <w:r>
        <w:rPr>
          <w:rFonts w:hint="eastAsia" w:ascii="Times New Roman" w:hAnsi="Times New Roman" w:eastAsia="宋体" w:cs="Times New Roman"/>
          <w:color w:val="auto"/>
          <w:highlight w:val="none"/>
        </w:rPr>
        <w:t>1、制定环境监测年度计划和</w:t>
      </w:r>
      <w:r>
        <w:rPr>
          <w:rFonts w:hint="eastAsia" w:cs="Times New Roman"/>
          <w:color w:val="auto"/>
          <w:highlight w:val="none"/>
          <w:lang w:val="en-US" w:eastAsia="zh-CN"/>
        </w:rPr>
        <w:t>实施方案</w:t>
      </w:r>
      <w:r>
        <w:rPr>
          <w:rFonts w:hint="eastAsia" w:ascii="Times New Roman" w:hAnsi="Times New Roman" w:eastAsia="宋体" w:cs="Times New Roman"/>
          <w:color w:val="auto"/>
          <w:highlight w:val="none"/>
        </w:rPr>
        <w:t>，并建立各项规</w:t>
      </w:r>
      <w:r>
        <w:rPr>
          <w:rFonts w:hint="eastAsia" w:ascii="Times New Roman" w:hAnsi="Times New Roman" w:eastAsia="宋体" w:cs="Times New Roman"/>
          <w:highlight w:val="none"/>
        </w:rPr>
        <w:t>章制度加以落实；</w:t>
      </w:r>
    </w:p>
    <w:p>
      <w:pPr>
        <w:ind w:firstLine="480" w:firstLineChars="200"/>
        <w:rPr>
          <w:rFonts w:hint="eastAsia" w:ascii="Times New Roman" w:hAnsi="Times New Roman" w:eastAsia="宋体" w:cs="Times New Roman"/>
          <w:highlight w:val="none"/>
        </w:rPr>
      </w:pPr>
      <w:r>
        <w:rPr>
          <w:rFonts w:hint="eastAsia" w:ascii="Times New Roman" w:hAnsi="Times New Roman" w:eastAsia="宋体" w:cs="Times New Roman"/>
          <w:highlight w:val="none"/>
        </w:rPr>
        <w:t>2、按时完成项目的环境监控计划规定的各项监控任务，并按有关规定编制报告表，负责做好呈报工作；</w:t>
      </w:r>
    </w:p>
    <w:p>
      <w:pPr>
        <w:ind w:firstLine="480" w:firstLineChars="200"/>
        <w:rPr>
          <w:rFonts w:hint="eastAsia" w:ascii="Times New Roman" w:hAnsi="Times New Roman" w:eastAsia="宋体" w:cs="Times New Roman"/>
          <w:highlight w:val="none"/>
        </w:rPr>
      </w:pPr>
      <w:r>
        <w:rPr>
          <w:rFonts w:hint="eastAsia" w:ascii="Times New Roman" w:hAnsi="Times New Roman" w:eastAsia="宋体" w:cs="Times New Roman"/>
          <w:highlight w:val="none"/>
        </w:rPr>
        <w:t>3、在项目出现突发性污染事故时，积极参与事故的调查和处理工作；</w:t>
      </w:r>
    </w:p>
    <w:p>
      <w:pPr>
        <w:ind w:firstLine="480" w:firstLineChars="200"/>
        <w:rPr>
          <w:rFonts w:hint="eastAsia" w:ascii="Times New Roman" w:hAnsi="Times New Roman" w:eastAsia="宋体" w:cs="Times New Roman"/>
          <w:highlight w:val="none"/>
        </w:rPr>
      </w:pPr>
      <w:r>
        <w:rPr>
          <w:rFonts w:hint="eastAsia" w:ascii="Times New Roman" w:hAnsi="Times New Roman" w:eastAsia="宋体" w:cs="Times New Roman"/>
          <w:highlight w:val="none"/>
        </w:rPr>
        <w:t>4、负责做好监测仪器的维护、保养和检验工作，确保监控工作的顺利进行；</w:t>
      </w:r>
    </w:p>
    <w:p>
      <w:pPr>
        <w:ind w:firstLine="480" w:firstLineChars="200"/>
        <w:rPr>
          <w:rFonts w:hint="eastAsia" w:ascii="Times New Roman" w:hAnsi="Times New Roman" w:eastAsia="宋体" w:cs="Times New Roman"/>
          <w:highlight w:val="none"/>
        </w:rPr>
      </w:pPr>
      <w:r>
        <w:rPr>
          <w:rFonts w:hint="eastAsia" w:ascii="Times New Roman" w:hAnsi="Times New Roman" w:eastAsia="宋体" w:cs="Times New Roman"/>
          <w:highlight w:val="none"/>
        </w:rPr>
        <w:t>5、组织并监督环境监测计划的实施；</w:t>
      </w:r>
    </w:p>
    <w:p>
      <w:pPr>
        <w:ind w:firstLine="480" w:firstLineChars="200"/>
        <w:rPr>
          <w:rFonts w:hint="eastAsia"/>
          <w:highlight w:val="red"/>
        </w:rPr>
      </w:pPr>
      <w:r>
        <w:rPr>
          <w:rFonts w:hint="eastAsia" w:ascii="Times New Roman" w:hAnsi="Times New Roman" w:eastAsia="宋体" w:cs="Times New Roman"/>
          <w:highlight w:val="none"/>
        </w:rPr>
        <w:t>6、在环境监测基础上，建立项目的污染源档案，了解项目污染物排放量、排放源强、排放规律及相关的污染治理、综合利用情况。</w:t>
      </w:r>
    </w:p>
    <w:p>
      <w:pPr>
        <w:pStyle w:val="6"/>
        <w:spacing w:beforeLines="0" w:afterLines="0"/>
        <w:rPr>
          <w:color w:val="auto"/>
          <w:sz w:val="32"/>
          <w:szCs w:val="32"/>
        </w:rPr>
      </w:pPr>
      <w:bookmarkStart w:id="73" w:name="_Toc13889"/>
      <w:r>
        <w:rPr>
          <w:rFonts w:hint="eastAsia"/>
          <w:color w:val="auto"/>
          <w:sz w:val="32"/>
          <w:szCs w:val="32"/>
        </w:rPr>
        <w:t>4.3环保设施投资及“三同时”落实情况</w:t>
      </w:r>
      <w:bookmarkEnd w:id="71"/>
      <w:bookmarkEnd w:id="72"/>
      <w:bookmarkEnd w:id="73"/>
    </w:p>
    <w:p>
      <w:pPr>
        <w:ind w:firstLine="480" w:firstLineChars="200"/>
        <w:rPr>
          <w:rFonts w:hint="eastAsia"/>
          <w:color w:val="auto"/>
        </w:rPr>
      </w:pPr>
      <w:r>
        <w:rPr>
          <w:rFonts w:hint="eastAsia" w:cs="Times New Roman"/>
          <w:color w:val="auto"/>
          <w:lang w:val="en-US" w:eastAsia="zh-CN"/>
        </w:rPr>
        <w:t>本次验收4、5、6号生产线投资额</w:t>
      </w:r>
      <w:r>
        <w:rPr>
          <w:rFonts w:hint="default" w:ascii="Times New Roman" w:hAnsi="Times New Roman" w:eastAsia="宋体" w:cs="Times New Roman"/>
          <w:color w:val="auto"/>
        </w:rPr>
        <w:t>为</w:t>
      </w:r>
      <w:r>
        <w:rPr>
          <w:rFonts w:hint="eastAsia" w:cs="Times New Roman"/>
          <w:color w:val="auto"/>
          <w:kern w:val="10"/>
          <w:lang w:val="en-US" w:eastAsia="zh-CN"/>
        </w:rPr>
        <w:t>2000</w:t>
      </w:r>
      <w:r>
        <w:rPr>
          <w:rFonts w:hint="default" w:ascii="Times New Roman" w:hAnsi="Times New Roman" w:eastAsia="宋体" w:cs="Times New Roman"/>
          <w:color w:val="auto"/>
        </w:rPr>
        <w:t>万元，环保投资</w:t>
      </w:r>
      <w:r>
        <w:rPr>
          <w:rFonts w:hint="eastAsia" w:cs="Times New Roman"/>
          <w:color w:val="auto"/>
          <w:lang w:val="en-US" w:eastAsia="zh-CN"/>
        </w:rPr>
        <w:t>170</w:t>
      </w:r>
      <w:r>
        <w:rPr>
          <w:rFonts w:hint="default" w:ascii="Times New Roman" w:hAnsi="Times New Roman" w:eastAsia="宋体" w:cs="Times New Roman"/>
          <w:color w:val="auto"/>
        </w:rPr>
        <w:t>万元，占总投资额的</w:t>
      </w:r>
      <w:r>
        <w:rPr>
          <w:rFonts w:hint="eastAsia" w:cs="Times New Roman"/>
          <w:color w:val="auto"/>
          <w:lang w:val="en-US" w:eastAsia="zh-CN"/>
        </w:rPr>
        <w:t>8.5</w:t>
      </w:r>
      <w:r>
        <w:rPr>
          <w:rFonts w:hint="default" w:ascii="Times New Roman" w:hAnsi="Times New Roman" w:eastAsia="宋体" w:cs="Times New Roman"/>
          <w:color w:val="auto"/>
        </w:rPr>
        <w:t>%。</w:t>
      </w:r>
      <w:r>
        <w:rPr>
          <w:rFonts w:hint="eastAsia" w:ascii="宋体" w:hAnsi="宋体" w:eastAsia="宋体" w:cs="宋体"/>
          <w:color w:val="auto"/>
        </w:rPr>
        <w:t>主要环保投资改造费用及竣工环保“三同时”</w:t>
      </w:r>
      <w:r>
        <w:rPr>
          <w:rFonts w:hint="default" w:ascii="Times New Roman" w:hAnsi="Times New Roman" w:eastAsia="宋体" w:cs="Times New Roman"/>
          <w:color w:val="auto"/>
        </w:rPr>
        <w:t>落实情况一览见表4.3-1</w:t>
      </w:r>
      <w:r>
        <w:rPr>
          <w:rFonts w:hint="default" w:ascii="Times New Roman" w:hAnsi="Times New Roman" w:cs="Times New Roman"/>
          <w:color w:val="auto"/>
        </w:rPr>
        <w:t>。</w:t>
      </w:r>
    </w:p>
    <w:p>
      <w:pPr>
        <w:pStyle w:val="21"/>
        <w:rPr>
          <w:rFonts w:hint="eastAsia"/>
        </w:rPr>
      </w:pPr>
    </w:p>
    <w:p>
      <w:pPr>
        <w:pStyle w:val="21"/>
        <w:rPr>
          <w:rFonts w:hint="eastAsia"/>
        </w:rPr>
        <w:sectPr>
          <w:pgSz w:w="11850" w:h="16783"/>
          <w:pgMar w:top="1440" w:right="1800" w:bottom="1440" w:left="1800" w:header="794" w:footer="851" w:gutter="0"/>
          <w:pgNumType w:fmt="decimal"/>
          <w:cols w:space="720" w:num="1"/>
          <w:docGrid w:linePitch="395" w:charSpace="0"/>
        </w:sectPr>
      </w:pPr>
    </w:p>
    <w:p>
      <w:pPr>
        <w:jc w:val="center"/>
        <w:rPr>
          <w:rFonts w:hint="eastAsia" w:ascii="Times New Roman" w:hAnsi="Times New Roman" w:eastAsia="黑体" w:cs="Times New Roman"/>
          <w:b w:val="0"/>
          <w:bCs w:val="0"/>
          <w:sz w:val="21"/>
          <w:szCs w:val="21"/>
          <w:lang w:val="en-US" w:eastAsia="zh-CN"/>
        </w:rPr>
      </w:pPr>
      <w:r>
        <w:rPr>
          <w:rFonts w:hint="eastAsia" w:ascii="Times New Roman" w:hAnsi="Times New Roman" w:eastAsia="黑体" w:cs="Times New Roman"/>
          <w:b w:val="0"/>
          <w:bCs w:val="0"/>
          <w:sz w:val="21"/>
          <w:szCs w:val="21"/>
          <w:lang w:val="en-US" w:eastAsia="zh-CN"/>
        </w:rPr>
        <w:t>表4.3-1  项目环境保护设施投资及竣工环保“三同时”落实情况一览表</w:t>
      </w:r>
    </w:p>
    <w:tbl>
      <w:tblPr>
        <w:tblStyle w:val="26"/>
        <w:tblW w:w="5042"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308"/>
        <w:gridCol w:w="1142"/>
        <w:gridCol w:w="1520"/>
        <w:gridCol w:w="3158"/>
        <w:gridCol w:w="2308"/>
        <w:gridCol w:w="2122"/>
        <w:gridCol w:w="1107"/>
        <w:gridCol w:w="1071"/>
        <w:gridCol w:w="101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 w:hRule="atLeast"/>
          <w:jc w:val="center"/>
        </w:trPr>
        <w:tc>
          <w:tcPr>
            <w:tcW w:w="44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pacing w:val="0"/>
                <w:position w:val="0"/>
                <w:sz w:val="21"/>
                <w:szCs w:val="21"/>
              </w:rPr>
            </w:pPr>
            <w:r>
              <w:rPr>
                <w:spacing w:val="0"/>
                <w:position w:val="0"/>
                <w:sz w:val="21"/>
                <w:szCs w:val="21"/>
              </w:rPr>
              <w:t>类别</w:t>
            </w:r>
          </w:p>
        </w:tc>
        <w:tc>
          <w:tcPr>
            <w:tcW w:w="38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pacing w:val="0"/>
                <w:position w:val="0"/>
                <w:sz w:val="21"/>
                <w:szCs w:val="21"/>
              </w:rPr>
            </w:pPr>
            <w:r>
              <w:rPr>
                <w:spacing w:val="0"/>
                <w:position w:val="0"/>
                <w:sz w:val="21"/>
                <w:szCs w:val="21"/>
              </w:rPr>
              <w:t>污染源</w:t>
            </w:r>
          </w:p>
        </w:tc>
        <w:tc>
          <w:tcPr>
            <w:tcW w:w="51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pacing w:val="0"/>
                <w:position w:val="0"/>
                <w:sz w:val="21"/>
                <w:szCs w:val="21"/>
              </w:rPr>
            </w:pPr>
            <w:r>
              <w:rPr>
                <w:spacing w:val="0"/>
                <w:position w:val="0"/>
                <w:sz w:val="21"/>
                <w:szCs w:val="21"/>
              </w:rPr>
              <w:t>污染物</w:t>
            </w:r>
          </w:p>
        </w:tc>
        <w:tc>
          <w:tcPr>
            <w:tcW w:w="107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pacing w:val="0"/>
                <w:position w:val="0"/>
                <w:sz w:val="21"/>
                <w:szCs w:val="21"/>
              </w:rPr>
            </w:pPr>
            <w:r>
              <w:rPr>
                <w:spacing w:val="0"/>
                <w:position w:val="0"/>
                <w:sz w:val="21"/>
                <w:szCs w:val="21"/>
              </w:rPr>
              <w:t>治理措施</w:t>
            </w:r>
          </w:p>
        </w:tc>
        <w:tc>
          <w:tcPr>
            <w:tcW w:w="782"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pacing w:val="0"/>
                <w:position w:val="0"/>
                <w:sz w:val="21"/>
                <w:szCs w:val="21"/>
              </w:rPr>
            </w:pPr>
            <w:r>
              <w:rPr>
                <w:spacing w:val="0"/>
                <w:position w:val="0"/>
                <w:sz w:val="21"/>
                <w:szCs w:val="21"/>
              </w:rPr>
              <w:t>治理效果</w:t>
            </w:r>
          </w:p>
        </w:tc>
        <w:tc>
          <w:tcPr>
            <w:tcW w:w="71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pacing w:val="0"/>
                <w:position w:val="0"/>
                <w:sz w:val="21"/>
                <w:szCs w:val="21"/>
              </w:rPr>
            </w:pPr>
            <w:r>
              <w:rPr>
                <w:spacing w:val="0"/>
                <w:position w:val="0"/>
                <w:sz w:val="21"/>
                <w:szCs w:val="21"/>
              </w:rPr>
              <w:t>备注</w:t>
            </w:r>
          </w:p>
        </w:tc>
        <w:tc>
          <w:tcPr>
            <w:tcW w:w="37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pacing w:val="0"/>
                <w:position w:val="0"/>
                <w:sz w:val="21"/>
                <w:szCs w:val="21"/>
              </w:rPr>
            </w:pPr>
            <w:r>
              <w:rPr>
                <w:rFonts w:hint="eastAsia"/>
                <w:spacing w:val="0"/>
                <w:position w:val="0"/>
                <w:sz w:val="21"/>
                <w:szCs w:val="21"/>
                <w:lang w:eastAsia="zh-CN"/>
              </w:rPr>
              <w:t>环评</w:t>
            </w:r>
            <w:r>
              <w:rPr>
                <w:spacing w:val="0"/>
                <w:position w:val="0"/>
                <w:sz w:val="21"/>
                <w:szCs w:val="21"/>
              </w:rPr>
              <w:t>投资</w:t>
            </w:r>
          </w:p>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pacing w:val="0"/>
                <w:position w:val="0"/>
                <w:sz w:val="21"/>
                <w:szCs w:val="21"/>
              </w:rPr>
            </w:pPr>
            <w:r>
              <w:rPr>
                <w:spacing w:val="0"/>
                <w:position w:val="0"/>
                <w:sz w:val="21"/>
                <w:szCs w:val="21"/>
              </w:rPr>
              <w:t>（万元）</w:t>
            </w:r>
          </w:p>
        </w:tc>
        <w:tc>
          <w:tcPr>
            <w:tcW w:w="36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pacing w:val="0"/>
                <w:position w:val="0"/>
                <w:sz w:val="21"/>
                <w:szCs w:val="21"/>
              </w:rPr>
            </w:pPr>
            <w:r>
              <w:rPr>
                <w:rFonts w:hint="eastAsia"/>
                <w:spacing w:val="0"/>
                <w:position w:val="0"/>
                <w:sz w:val="21"/>
                <w:szCs w:val="21"/>
              </w:rPr>
              <w:t>实际</w:t>
            </w:r>
            <w:r>
              <w:rPr>
                <w:spacing w:val="0"/>
                <w:position w:val="0"/>
                <w:sz w:val="21"/>
                <w:szCs w:val="21"/>
              </w:rPr>
              <w:t>投资（万元）</w:t>
            </w:r>
          </w:p>
        </w:tc>
        <w:tc>
          <w:tcPr>
            <w:tcW w:w="34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pacing w:val="0"/>
                <w:position w:val="0"/>
                <w:sz w:val="21"/>
                <w:szCs w:val="21"/>
              </w:rPr>
            </w:pPr>
            <w:r>
              <w:rPr>
                <w:spacing w:val="0"/>
                <w:position w:val="0"/>
                <w:sz w:val="21"/>
                <w:szCs w:val="21"/>
              </w:rPr>
              <w:t>完成时间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093" w:hRule="atLeast"/>
          <w:jc w:val="center"/>
        </w:trPr>
        <w:tc>
          <w:tcPr>
            <w:tcW w:w="443" w:type="pct"/>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pacing w:val="0"/>
                <w:position w:val="0"/>
                <w:sz w:val="21"/>
                <w:szCs w:val="21"/>
              </w:rPr>
            </w:pPr>
            <w:r>
              <w:rPr>
                <w:spacing w:val="0"/>
                <w:position w:val="0"/>
                <w:sz w:val="21"/>
                <w:szCs w:val="21"/>
              </w:rPr>
              <w:t>废气</w:t>
            </w:r>
          </w:p>
        </w:tc>
        <w:tc>
          <w:tcPr>
            <w:tcW w:w="38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pacing w:val="0"/>
                <w:position w:val="0"/>
                <w:sz w:val="21"/>
                <w:szCs w:val="21"/>
              </w:rPr>
            </w:pPr>
            <w:r>
              <w:rPr>
                <w:spacing w:val="0"/>
                <w:position w:val="0"/>
                <w:sz w:val="21"/>
                <w:szCs w:val="21"/>
              </w:rPr>
              <w:t>车间废气</w:t>
            </w:r>
          </w:p>
        </w:tc>
        <w:tc>
          <w:tcPr>
            <w:tcW w:w="51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宋体" w:cs="Times New Roman"/>
                <w:spacing w:val="0"/>
                <w:position w:val="0"/>
                <w:sz w:val="21"/>
                <w:szCs w:val="21"/>
              </w:rPr>
            </w:pPr>
            <w:r>
              <w:rPr>
                <w:rFonts w:hint="eastAsia" w:ascii="Times New Roman" w:hAnsi="Times New Roman" w:eastAsia="宋体" w:cs="Times New Roman"/>
                <w:spacing w:val="0"/>
                <w:position w:val="0"/>
                <w:sz w:val="21"/>
                <w:szCs w:val="21"/>
                <w:lang w:val="en-US" w:eastAsia="zh-CN"/>
              </w:rPr>
              <w:t>颗粒物、非甲烷总烃、甲苯、乙酸乙酯</w:t>
            </w:r>
          </w:p>
        </w:tc>
        <w:tc>
          <w:tcPr>
            <w:tcW w:w="107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spacing w:val="0"/>
                <w:position w:val="0"/>
                <w:sz w:val="21"/>
                <w:szCs w:val="21"/>
                <w:lang w:eastAsia="zh-CN"/>
              </w:rPr>
            </w:pPr>
            <w:r>
              <w:rPr>
                <w:rFonts w:ascii="Times New Roman" w:hAnsi="Times New Roman" w:eastAsia="宋体" w:cs="Times New Roman"/>
                <w:spacing w:val="0"/>
                <w:position w:val="0"/>
                <w:sz w:val="21"/>
                <w:szCs w:val="21"/>
              </w:rPr>
              <w:t>车间通风设施+催化燃烧装置+15m</w:t>
            </w:r>
            <w:r>
              <w:rPr>
                <w:rFonts w:hint="eastAsia" w:ascii="Times New Roman" w:hAnsi="Times New Roman" w:eastAsia="宋体" w:cs="Times New Roman"/>
                <w:spacing w:val="0"/>
                <w:position w:val="0"/>
                <w:sz w:val="21"/>
                <w:szCs w:val="21"/>
                <w:lang w:eastAsia="zh-CN"/>
              </w:rPr>
              <w:t>排气筒</w:t>
            </w:r>
          </w:p>
        </w:tc>
        <w:tc>
          <w:tcPr>
            <w:tcW w:w="782"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宋体" w:cs="Times New Roman"/>
                <w:spacing w:val="0"/>
                <w:position w:val="0"/>
                <w:sz w:val="21"/>
                <w:szCs w:val="21"/>
              </w:rPr>
            </w:pPr>
            <w:r>
              <w:rPr>
                <w:rFonts w:ascii="Times New Roman" w:hAnsi="Times New Roman" w:eastAsia="宋体" w:cs="Times New Roman"/>
                <w:spacing w:val="0"/>
                <w:position w:val="0"/>
                <w:sz w:val="21"/>
                <w:szCs w:val="21"/>
              </w:rPr>
              <w:t>《大气污染物综合排放标准》</w:t>
            </w:r>
            <w:r>
              <w:rPr>
                <w:rFonts w:hint="eastAsia" w:ascii="Times New Roman" w:hAnsi="Times New Roman" w:eastAsia="宋体" w:cs="Times New Roman"/>
                <w:spacing w:val="0"/>
                <w:position w:val="0"/>
                <w:sz w:val="21"/>
                <w:szCs w:val="21"/>
                <w:lang w:eastAsia="zh-CN"/>
              </w:rPr>
              <w:t>、</w:t>
            </w:r>
            <w:r>
              <w:rPr>
                <w:rFonts w:ascii="Times New Roman" w:hAnsi="Times New Roman" w:eastAsia="宋体" w:cs="Times New Roman"/>
                <w:spacing w:val="0"/>
                <w:position w:val="0"/>
                <w:sz w:val="21"/>
                <w:szCs w:val="21"/>
              </w:rPr>
              <w:t>《工业场所有害因素职业接触限值》</w:t>
            </w:r>
          </w:p>
        </w:tc>
        <w:tc>
          <w:tcPr>
            <w:tcW w:w="71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lang w:val="en-US"/>
              </w:rPr>
            </w:pPr>
            <w:r>
              <w:rPr>
                <w:rFonts w:hint="eastAsia" w:cs="Times New Roman"/>
                <w:kern w:val="2"/>
                <w:sz w:val="21"/>
                <w:szCs w:val="21"/>
                <w:lang w:eastAsia="zh-CN"/>
              </w:rPr>
              <w:t>废气采用</w:t>
            </w:r>
            <w:r>
              <w:rPr>
                <w:rFonts w:ascii="Times New Roman" w:hAnsi="Times New Roman" w:eastAsia="宋体" w:cs="Times New Roman"/>
                <w:kern w:val="2"/>
                <w:sz w:val="21"/>
                <w:szCs w:val="21"/>
                <w:lang w:eastAsia="zh-CN"/>
              </w:rPr>
              <w:t>蓄热式热氧化炉及热回收成套设备</w:t>
            </w:r>
            <w:r>
              <w:rPr>
                <w:rFonts w:hint="eastAsia" w:cs="Times New Roman"/>
                <w:kern w:val="2"/>
                <w:sz w:val="21"/>
                <w:szCs w:val="21"/>
                <w:lang w:eastAsia="zh-CN"/>
              </w:rPr>
              <w:t>处理，</w:t>
            </w:r>
            <w:r>
              <w:rPr>
                <w:rFonts w:hint="eastAsia" w:cs="Times New Roman"/>
                <w:kern w:val="2"/>
                <w:sz w:val="21"/>
                <w:szCs w:val="21"/>
                <w:lang w:val="en-US" w:eastAsia="zh-CN"/>
              </w:rPr>
              <w:t>前期已验收1套设备，本次验收1套设备</w:t>
            </w:r>
          </w:p>
        </w:tc>
        <w:tc>
          <w:tcPr>
            <w:tcW w:w="37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eastAsia="宋体"/>
                <w:spacing w:val="0"/>
                <w:position w:val="0"/>
                <w:sz w:val="21"/>
                <w:szCs w:val="21"/>
                <w:lang w:val="en-US" w:eastAsia="zh-CN"/>
              </w:rPr>
            </w:pPr>
            <w:r>
              <w:rPr>
                <w:rFonts w:hint="eastAsia"/>
                <w:spacing w:val="0"/>
                <w:position w:val="0"/>
                <w:sz w:val="21"/>
                <w:szCs w:val="21"/>
                <w:lang w:val="en-US" w:eastAsia="zh-CN"/>
              </w:rPr>
              <w:t>510</w:t>
            </w:r>
          </w:p>
        </w:tc>
        <w:tc>
          <w:tcPr>
            <w:tcW w:w="36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eastAsia="宋体"/>
                <w:spacing w:val="0"/>
                <w:position w:val="0"/>
                <w:sz w:val="21"/>
                <w:szCs w:val="21"/>
                <w:lang w:val="en-US" w:eastAsia="zh-CN"/>
              </w:rPr>
            </w:pPr>
            <w:r>
              <w:rPr>
                <w:rFonts w:hint="eastAsia"/>
                <w:spacing w:val="0"/>
                <w:position w:val="0"/>
                <w:sz w:val="21"/>
                <w:szCs w:val="21"/>
                <w:lang w:val="en-US" w:eastAsia="zh-CN"/>
              </w:rPr>
              <w:t>150</w:t>
            </w:r>
          </w:p>
        </w:tc>
        <w:tc>
          <w:tcPr>
            <w:tcW w:w="344" w:type="pct"/>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pacing w:val="0"/>
                <w:position w:val="0"/>
                <w:sz w:val="21"/>
                <w:szCs w:val="21"/>
              </w:rPr>
            </w:pPr>
            <w:r>
              <w:rPr>
                <w:spacing w:val="0"/>
                <w:position w:val="0"/>
                <w:sz w:val="21"/>
                <w:szCs w:val="21"/>
              </w:rPr>
              <w:t>与建设项</w:t>
            </w:r>
          </w:p>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pacing w:val="0"/>
                <w:position w:val="0"/>
                <w:sz w:val="21"/>
                <w:szCs w:val="21"/>
              </w:rPr>
            </w:pPr>
            <w:r>
              <w:rPr>
                <w:spacing w:val="0"/>
                <w:position w:val="0"/>
                <w:sz w:val="21"/>
                <w:szCs w:val="21"/>
              </w:rPr>
              <w:t>目同时设</w:t>
            </w:r>
          </w:p>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pacing w:val="0"/>
                <w:position w:val="0"/>
                <w:sz w:val="21"/>
                <w:szCs w:val="21"/>
              </w:rPr>
            </w:pPr>
            <w:r>
              <w:rPr>
                <w:spacing w:val="0"/>
                <w:position w:val="0"/>
                <w:sz w:val="21"/>
                <w:szCs w:val="21"/>
              </w:rPr>
              <w:t>计，同时</w:t>
            </w:r>
          </w:p>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pacing w:val="0"/>
                <w:position w:val="0"/>
                <w:sz w:val="21"/>
                <w:szCs w:val="21"/>
              </w:rPr>
            </w:pPr>
            <w:r>
              <w:rPr>
                <w:spacing w:val="0"/>
                <w:position w:val="0"/>
                <w:sz w:val="21"/>
                <w:szCs w:val="21"/>
              </w:rPr>
              <w:t>施工，同</w:t>
            </w:r>
          </w:p>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pacing w:val="0"/>
                <w:position w:val="0"/>
                <w:sz w:val="21"/>
                <w:szCs w:val="21"/>
              </w:rPr>
            </w:pPr>
            <w:r>
              <w:rPr>
                <w:spacing w:val="0"/>
                <w:position w:val="0"/>
                <w:sz w:val="21"/>
                <w:szCs w:val="21"/>
              </w:rPr>
              <w:t>时投产</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443"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pacing w:val="0"/>
                <w:position w:val="0"/>
                <w:sz w:val="21"/>
                <w:szCs w:val="21"/>
              </w:rPr>
            </w:pPr>
          </w:p>
        </w:tc>
        <w:tc>
          <w:tcPr>
            <w:tcW w:w="38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spacing w:val="0"/>
                <w:position w:val="0"/>
                <w:sz w:val="21"/>
                <w:szCs w:val="21"/>
                <w:lang w:eastAsia="zh-CN"/>
              </w:rPr>
            </w:pPr>
            <w:r>
              <w:rPr>
                <w:rFonts w:hint="eastAsia"/>
                <w:spacing w:val="0"/>
                <w:position w:val="0"/>
                <w:sz w:val="21"/>
                <w:szCs w:val="21"/>
                <w:lang w:eastAsia="zh-CN"/>
              </w:rPr>
              <w:t>涂胶废气</w:t>
            </w:r>
          </w:p>
        </w:tc>
        <w:tc>
          <w:tcPr>
            <w:tcW w:w="51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spacing w:val="0"/>
                <w:position w:val="0"/>
                <w:sz w:val="21"/>
                <w:szCs w:val="21"/>
                <w:lang w:eastAsia="zh-CN"/>
              </w:rPr>
            </w:pPr>
            <w:r>
              <w:rPr>
                <w:rFonts w:hint="eastAsia" w:ascii="Times New Roman" w:hAnsi="Times New Roman" w:eastAsia="宋体" w:cs="Times New Roman"/>
                <w:spacing w:val="0"/>
                <w:position w:val="0"/>
                <w:sz w:val="21"/>
                <w:szCs w:val="21"/>
                <w:lang w:eastAsia="zh-CN"/>
              </w:rPr>
              <w:t>甲苯、乙酸乙酯</w:t>
            </w:r>
          </w:p>
        </w:tc>
        <w:tc>
          <w:tcPr>
            <w:tcW w:w="107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宋体" w:cs="Times New Roman"/>
                <w:spacing w:val="0"/>
                <w:position w:val="0"/>
                <w:sz w:val="21"/>
                <w:szCs w:val="21"/>
              </w:rPr>
            </w:pPr>
            <w:r>
              <w:rPr>
                <w:rFonts w:hint="eastAsia" w:ascii="Times New Roman" w:hAnsi="Times New Roman" w:eastAsia="宋体" w:cs="Times New Roman"/>
                <w:spacing w:val="0"/>
                <w:position w:val="0"/>
                <w:sz w:val="21"/>
                <w:szCs w:val="21"/>
                <w:lang w:eastAsia="zh-CN"/>
              </w:rPr>
              <w:t>二级活性炭</w:t>
            </w:r>
            <w:r>
              <w:rPr>
                <w:rFonts w:ascii="Times New Roman" w:hAnsi="Times New Roman" w:eastAsia="宋体" w:cs="Times New Roman"/>
                <w:spacing w:val="0"/>
                <w:position w:val="0"/>
                <w:sz w:val="21"/>
                <w:szCs w:val="21"/>
              </w:rPr>
              <w:t>装置+15m</w:t>
            </w:r>
            <w:r>
              <w:rPr>
                <w:rFonts w:hint="eastAsia" w:ascii="Times New Roman" w:hAnsi="Times New Roman" w:eastAsia="宋体" w:cs="Times New Roman"/>
                <w:spacing w:val="0"/>
                <w:position w:val="0"/>
                <w:sz w:val="21"/>
                <w:szCs w:val="21"/>
                <w:lang w:eastAsia="zh-CN"/>
              </w:rPr>
              <w:t>排气筒</w:t>
            </w:r>
          </w:p>
        </w:tc>
        <w:tc>
          <w:tcPr>
            <w:tcW w:w="782"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spacing w:val="0"/>
                <w:position w:val="0"/>
                <w:sz w:val="21"/>
                <w:szCs w:val="21"/>
                <w:lang w:eastAsia="zh-CN"/>
              </w:rPr>
            </w:pPr>
            <w:r>
              <w:rPr>
                <w:rFonts w:ascii="Times New Roman" w:hAnsi="Times New Roman" w:eastAsia="宋体" w:cs="Times New Roman"/>
                <w:spacing w:val="0"/>
                <w:position w:val="0"/>
                <w:sz w:val="21"/>
                <w:szCs w:val="21"/>
              </w:rPr>
              <w:t>《大气污染物综合排放标准》</w:t>
            </w:r>
            <w:r>
              <w:rPr>
                <w:rFonts w:hint="eastAsia" w:ascii="Times New Roman" w:hAnsi="Times New Roman" w:eastAsia="宋体" w:cs="Times New Roman"/>
                <w:spacing w:val="0"/>
                <w:position w:val="0"/>
                <w:sz w:val="21"/>
                <w:szCs w:val="21"/>
                <w:lang w:eastAsia="zh-CN"/>
              </w:rPr>
              <w:t>、</w:t>
            </w:r>
            <w:r>
              <w:rPr>
                <w:rFonts w:ascii="Times New Roman" w:hAnsi="Times New Roman" w:eastAsia="宋体" w:cs="Times New Roman"/>
                <w:spacing w:val="0"/>
                <w:position w:val="0"/>
                <w:sz w:val="21"/>
                <w:szCs w:val="21"/>
              </w:rPr>
              <w:t>《工业场所有害因素职业接触限值》</w:t>
            </w:r>
          </w:p>
        </w:tc>
        <w:tc>
          <w:tcPr>
            <w:tcW w:w="71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spacing w:val="0"/>
                <w:position w:val="0"/>
                <w:sz w:val="21"/>
                <w:szCs w:val="21"/>
                <w:lang w:eastAsia="zh-CN"/>
              </w:rPr>
            </w:pPr>
            <w:r>
              <w:rPr>
                <w:rFonts w:hint="eastAsia" w:cs="Times New Roman"/>
                <w:spacing w:val="0"/>
                <w:position w:val="0"/>
                <w:sz w:val="21"/>
                <w:szCs w:val="21"/>
                <w:lang w:val="en-US" w:eastAsia="zh-CN"/>
              </w:rPr>
              <w:t>已验收</w:t>
            </w:r>
          </w:p>
        </w:tc>
        <w:tc>
          <w:tcPr>
            <w:tcW w:w="37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eastAsia="宋体"/>
                <w:spacing w:val="0"/>
                <w:position w:val="0"/>
                <w:sz w:val="21"/>
                <w:szCs w:val="21"/>
                <w:lang w:val="en-US" w:eastAsia="zh-CN"/>
              </w:rPr>
            </w:pPr>
            <w:r>
              <w:rPr>
                <w:rFonts w:hint="eastAsia"/>
                <w:spacing w:val="0"/>
                <w:position w:val="0"/>
                <w:sz w:val="21"/>
                <w:szCs w:val="21"/>
                <w:lang w:val="en-US" w:eastAsia="zh-CN"/>
              </w:rPr>
              <w:t>/</w:t>
            </w:r>
          </w:p>
        </w:tc>
        <w:tc>
          <w:tcPr>
            <w:tcW w:w="36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eastAsia="宋体"/>
                <w:spacing w:val="0"/>
                <w:position w:val="0"/>
                <w:sz w:val="21"/>
                <w:szCs w:val="21"/>
                <w:lang w:val="en-US" w:eastAsia="zh-CN"/>
              </w:rPr>
            </w:pPr>
            <w:r>
              <w:rPr>
                <w:rFonts w:hint="eastAsia"/>
                <w:spacing w:val="0"/>
                <w:position w:val="0"/>
                <w:sz w:val="21"/>
                <w:szCs w:val="21"/>
                <w:lang w:val="en-US" w:eastAsia="zh-CN"/>
              </w:rPr>
              <w:t>/</w:t>
            </w:r>
          </w:p>
        </w:tc>
        <w:tc>
          <w:tcPr>
            <w:tcW w:w="344" w:type="pct"/>
            <w:vMerge w:val="continue"/>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spacing w:val="0"/>
                <w:positio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jc w:val="center"/>
        </w:trPr>
        <w:tc>
          <w:tcPr>
            <w:tcW w:w="443"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pacing w:val="0"/>
                <w:position w:val="0"/>
                <w:sz w:val="21"/>
                <w:szCs w:val="21"/>
              </w:rPr>
            </w:pPr>
          </w:p>
        </w:tc>
        <w:tc>
          <w:tcPr>
            <w:tcW w:w="38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pacing w:val="0"/>
                <w:position w:val="0"/>
                <w:sz w:val="21"/>
                <w:szCs w:val="21"/>
              </w:rPr>
            </w:pPr>
            <w:r>
              <w:rPr>
                <w:rFonts w:hint="eastAsia" w:ascii="Times New Roman" w:eastAsia="宋体"/>
                <w:kern w:val="0"/>
                <w:sz w:val="21"/>
                <w:szCs w:val="21"/>
                <w:lang w:val="en-US" w:eastAsia="zh-CN"/>
              </w:rPr>
              <w:t>助剂房废气</w:t>
            </w:r>
          </w:p>
        </w:tc>
        <w:tc>
          <w:tcPr>
            <w:tcW w:w="51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宋体" w:cs="Times New Roman"/>
                <w:spacing w:val="0"/>
                <w:position w:val="0"/>
                <w:sz w:val="21"/>
                <w:szCs w:val="21"/>
              </w:rPr>
            </w:pPr>
            <w:r>
              <w:rPr>
                <w:rFonts w:hint="eastAsia" w:ascii="Times New Roman" w:hAnsi="Times New Roman" w:eastAsia="宋体" w:cs="Times New Roman"/>
                <w:spacing w:val="0"/>
                <w:position w:val="0"/>
                <w:sz w:val="21"/>
                <w:szCs w:val="21"/>
                <w:lang w:val="en-US" w:eastAsia="zh-CN"/>
              </w:rPr>
              <w:t>甲苯、乙酸乙酯</w:t>
            </w:r>
          </w:p>
        </w:tc>
        <w:tc>
          <w:tcPr>
            <w:tcW w:w="107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宋体" w:cs="Times New Roman"/>
                <w:spacing w:val="0"/>
                <w:position w:val="0"/>
                <w:sz w:val="21"/>
                <w:szCs w:val="21"/>
              </w:rPr>
            </w:pPr>
            <w:r>
              <w:rPr>
                <w:rFonts w:hint="eastAsia" w:ascii="Times New Roman" w:hAnsi="Times New Roman" w:eastAsia="宋体" w:cs="Times New Roman"/>
                <w:spacing w:val="0"/>
                <w:position w:val="0"/>
                <w:sz w:val="21"/>
                <w:szCs w:val="21"/>
                <w:lang w:eastAsia="zh-CN"/>
              </w:rPr>
              <w:t>二级活性炭</w:t>
            </w:r>
            <w:r>
              <w:rPr>
                <w:rFonts w:ascii="Times New Roman" w:hAnsi="Times New Roman" w:eastAsia="宋体" w:cs="Times New Roman"/>
                <w:spacing w:val="0"/>
                <w:position w:val="0"/>
                <w:sz w:val="21"/>
                <w:szCs w:val="21"/>
              </w:rPr>
              <w:t>装置+15m</w:t>
            </w:r>
            <w:r>
              <w:rPr>
                <w:rFonts w:hint="eastAsia" w:ascii="Times New Roman" w:hAnsi="Times New Roman" w:eastAsia="宋体" w:cs="Times New Roman"/>
                <w:spacing w:val="0"/>
                <w:position w:val="0"/>
                <w:sz w:val="21"/>
                <w:szCs w:val="21"/>
                <w:lang w:eastAsia="zh-CN"/>
              </w:rPr>
              <w:t>排气筒</w:t>
            </w:r>
          </w:p>
        </w:tc>
        <w:tc>
          <w:tcPr>
            <w:tcW w:w="782"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宋体" w:cs="Times New Roman"/>
                <w:spacing w:val="0"/>
                <w:position w:val="0"/>
                <w:sz w:val="21"/>
                <w:szCs w:val="21"/>
              </w:rPr>
            </w:pPr>
            <w:r>
              <w:rPr>
                <w:rFonts w:ascii="Times New Roman" w:hAnsi="Times New Roman" w:eastAsia="宋体" w:cs="Times New Roman"/>
                <w:spacing w:val="0"/>
                <w:position w:val="0"/>
                <w:sz w:val="21"/>
                <w:szCs w:val="21"/>
              </w:rPr>
              <w:t>《大气污染物综合排放标准》</w:t>
            </w:r>
            <w:r>
              <w:rPr>
                <w:rFonts w:hint="eastAsia" w:ascii="Times New Roman" w:hAnsi="Times New Roman" w:eastAsia="宋体" w:cs="Times New Roman"/>
                <w:spacing w:val="0"/>
                <w:position w:val="0"/>
                <w:sz w:val="21"/>
                <w:szCs w:val="21"/>
                <w:lang w:eastAsia="zh-CN"/>
              </w:rPr>
              <w:t>、</w:t>
            </w:r>
            <w:r>
              <w:rPr>
                <w:rFonts w:ascii="Times New Roman" w:hAnsi="Times New Roman" w:eastAsia="宋体" w:cs="Times New Roman"/>
                <w:spacing w:val="0"/>
                <w:position w:val="0"/>
                <w:sz w:val="21"/>
                <w:szCs w:val="21"/>
              </w:rPr>
              <w:t>《工业场所有害因素职业接触限值》</w:t>
            </w:r>
          </w:p>
        </w:tc>
        <w:tc>
          <w:tcPr>
            <w:tcW w:w="71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宋体" w:cs="Times New Roman"/>
                <w:spacing w:val="0"/>
                <w:position w:val="0"/>
                <w:sz w:val="21"/>
                <w:szCs w:val="21"/>
              </w:rPr>
            </w:pPr>
            <w:r>
              <w:rPr>
                <w:rFonts w:hint="eastAsia" w:cs="Times New Roman"/>
                <w:spacing w:val="0"/>
                <w:position w:val="0"/>
                <w:sz w:val="21"/>
                <w:szCs w:val="21"/>
                <w:lang w:val="en-US" w:eastAsia="zh-CN"/>
              </w:rPr>
              <w:t>已验收</w:t>
            </w:r>
          </w:p>
        </w:tc>
        <w:tc>
          <w:tcPr>
            <w:tcW w:w="37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eastAsia="宋体"/>
                <w:spacing w:val="0"/>
                <w:position w:val="0"/>
                <w:sz w:val="21"/>
                <w:szCs w:val="21"/>
                <w:lang w:val="en-US" w:eastAsia="zh-CN"/>
              </w:rPr>
            </w:pPr>
            <w:r>
              <w:rPr>
                <w:rFonts w:hint="eastAsia"/>
                <w:spacing w:val="0"/>
                <w:position w:val="0"/>
                <w:sz w:val="21"/>
                <w:szCs w:val="21"/>
                <w:lang w:val="en-US" w:eastAsia="zh-CN"/>
              </w:rPr>
              <w:t>/</w:t>
            </w:r>
          </w:p>
        </w:tc>
        <w:tc>
          <w:tcPr>
            <w:tcW w:w="36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eastAsia="宋体"/>
                <w:spacing w:val="0"/>
                <w:position w:val="0"/>
                <w:sz w:val="21"/>
                <w:szCs w:val="21"/>
                <w:lang w:val="en-US" w:eastAsia="zh-CN"/>
              </w:rPr>
            </w:pPr>
            <w:r>
              <w:rPr>
                <w:rFonts w:hint="eastAsia"/>
                <w:spacing w:val="0"/>
                <w:position w:val="0"/>
                <w:sz w:val="21"/>
                <w:szCs w:val="21"/>
                <w:lang w:val="en-US" w:eastAsia="zh-CN"/>
              </w:rPr>
              <w:t>/</w:t>
            </w:r>
          </w:p>
        </w:tc>
        <w:tc>
          <w:tcPr>
            <w:tcW w:w="344" w:type="pct"/>
            <w:vMerge w:val="continue"/>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spacing w:val="0"/>
                <w:positio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jc w:val="center"/>
        </w:trPr>
        <w:tc>
          <w:tcPr>
            <w:tcW w:w="44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pacing w:val="0"/>
                <w:position w:val="0"/>
                <w:sz w:val="21"/>
                <w:szCs w:val="21"/>
              </w:rPr>
            </w:pPr>
            <w:r>
              <w:rPr>
                <w:spacing w:val="0"/>
                <w:position w:val="0"/>
                <w:sz w:val="21"/>
                <w:szCs w:val="21"/>
              </w:rPr>
              <w:t>废水</w:t>
            </w:r>
          </w:p>
        </w:tc>
        <w:tc>
          <w:tcPr>
            <w:tcW w:w="38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spacing w:val="0"/>
                <w:position w:val="0"/>
                <w:sz w:val="21"/>
                <w:szCs w:val="21"/>
                <w:lang w:eastAsia="zh-CN"/>
              </w:rPr>
            </w:pPr>
            <w:r>
              <w:rPr>
                <w:rFonts w:hint="eastAsia"/>
                <w:spacing w:val="0"/>
                <w:position w:val="0"/>
                <w:sz w:val="21"/>
                <w:szCs w:val="21"/>
                <w:lang w:eastAsia="zh-CN"/>
              </w:rPr>
              <w:t>生活废水</w:t>
            </w:r>
          </w:p>
        </w:tc>
        <w:tc>
          <w:tcPr>
            <w:tcW w:w="51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宋体" w:cs="Times New Roman"/>
                <w:spacing w:val="0"/>
                <w:position w:val="0"/>
                <w:sz w:val="21"/>
                <w:szCs w:val="21"/>
              </w:rPr>
            </w:pPr>
            <w:r>
              <w:rPr>
                <w:rFonts w:ascii="Times New Roman" w:hAnsi="Times New Roman" w:eastAsia="宋体" w:cs="Times New Roman"/>
                <w:spacing w:val="0"/>
                <w:position w:val="0"/>
                <w:sz w:val="21"/>
                <w:szCs w:val="21"/>
              </w:rPr>
              <w:t>COD、SS等</w:t>
            </w:r>
          </w:p>
        </w:tc>
        <w:tc>
          <w:tcPr>
            <w:tcW w:w="107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宋体" w:cs="Times New Roman"/>
                <w:spacing w:val="0"/>
                <w:position w:val="0"/>
                <w:sz w:val="21"/>
                <w:szCs w:val="21"/>
              </w:rPr>
            </w:pPr>
            <w:r>
              <w:rPr>
                <w:rFonts w:ascii="Times New Roman" w:hAnsi="Times New Roman" w:eastAsia="宋体" w:cs="Times New Roman"/>
                <w:spacing w:val="0"/>
                <w:position w:val="0"/>
                <w:sz w:val="21"/>
                <w:szCs w:val="21"/>
              </w:rPr>
              <w:t>化粪池</w:t>
            </w:r>
          </w:p>
        </w:tc>
        <w:tc>
          <w:tcPr>
            <w:tcW w:w="782"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宋体" w:cs="Times New Roman"/>
                <w:spacing w:val="0"/>
                <w:position w:val="0"/>
                <w:sz w:val="21"/>
                <w:szCs w:val="21"/>
              </w:rPr>
            </w:pPr>
            <w:r>
              <w:rPr>
                <w:rFonts w:ascii="Times New Roman" w:hAnsi="Times New Roman" w:eastAsia="宋体" w:cs="Times New Roman"/>
                <w:spacing w:val="0"/>
                <w:position w:val="0"/>
                <w:sz w:val="21"/>
                <w:szCs w:val="21"/>
              </w:rPr>
              <w:t>达到《污水综合排放标准》中三级标准</w:t>
            </w:r>
          </w:p>
        </w:tc>
        <w:tc>
          <w:tcPr>
            <w:tcW w:w="71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宋体" w:cs="Times New Roman"/>
                <w:spacing w:val="0"/>
                <w:position w:val="0"/>
                <w:sz w:val="21"/>
                <w:szCs w:val="21"/>
              </w:rPr>
            </w:pPr>
            <w:r>
              <w:rPr>
                <w:rFonts w:hint="eastAsia" w:cs="Times New Roman"/>
                <w:spacing w:val="0"/>
                <w:position w:val="0"/>
                <w:sz w:val="21"/>
                <w:szCs w:val="21"/>
                <w:lang w:val="en-US" w:eastAsia="zh-CN"/>
              </w:rPr>
              <w:t>已验收</w:t>
            </w:r>
          </w:p>
        </w:tc>
        <w:tc>
          <w:tcPr>
            <w:tcW w:w="37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eastAsia="宋体"/>
                <w:spacing w:val="0"/>
                <w:position w:val="0"/>
                <w:sz w:val="21"/>
                <w:szCs w:val="21"/>
                <w:lang w:val="en-US" w:eastAsia="zh-CN"/>
              </w:rPr>
            </w:pPr>
            <w:r>
              <w:rPr>
                <w:rFonts w:hint="eastAsia"/>
                <w:spacing w:val="0"/>
                <w:position w:val="0"/>
                <w:sz w:val="21"/>
                <w:szCs w:val="21"/>
                <w:lang w:val="en-US" w:eastAsia="zh-CN"/>
              </w:rPr>
              <w:t>20</w:t>
            </w:r>
          </w:p>
        </w:tc>
        <w:tc>
          <w:tcPr>
            <w:tcW w:w="36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eastAsia="宋体"/>
                <w:spacing w:val="0"/>
                <w:position w:val="0"/>
                <w:sz w:val="21"/>
                <w:szCs w:val="21"/>
                <w:lang w:val="en-US" w:eastAsia="zh-CN"/>
              </w:rPr>
            </w:pPr>
            <w:r>
              <w:rPr>
                <w:rFonts w:hint="eastAsia"/>
                <w:spacing w:val="0"/>
                <w:position w:val="0"/>
                <w:sz w:val="21"/>
                <w:szCs w:val="21"/>
                <w:lang w:val="en-US" w:eastAsia="zh-CN"/>
              </w:rPr>
              <w:t>/</w:t>
            </w:r>
          </w:p>
        </w:tc>
        <w:tc>
          <w:tcPr>
            <w:tcW w:w="344" w:type="pct"/>
            <w:vMerge w:val="continue"/>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spacing w:val="0"/>
                <w:positio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jc w:val="center"/>
        </w:trPr>
        <w:tc>
          <w:tcPr>
            <w:tcW w:w="44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pacing w:val="0"/>
                <w:position w:val="0"/>
                <w:sz w:val="21"/>
                <w:szCs w:val="21"/>
              </w:rPr>
            </w:pPr>
            <w:r>
              <w:rPr>
                <w:spacing w:val="0"/>
                <w:position w:val="0"/>
                <w:sz w:val="21"/>
                <w:szCs w:val="21"/>
              </w:rPr>
              <w:t>噪声</w:t>
            </w:r>
          </w:p>
        </w:tc>
        <w:tc>
          <w:tcPr>
            <w:tcW w:w="38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pacing w:val="0"/>
                <w:position w:val="0"/>
                <w:sz w:val="21"/>
                <w:szCs w:val="21"/>
              </w:rPr>
            </w:pPr>
            <w:r>
              <w:rPr>
                <w:spacing w:val="0"/>
                <w:position w:val="0"/>
                <w:sz w:val="21"/>
                <w:szCs w:val="21"/>
              </w:rPr>
              <w:t>生产设备</w:t>
            </w:r>
          </w:p>
        </w:tc>
        <w:tc>
          <w:tcPr>
            <w:tcW w:w="51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宋体" w:cs="Times New Roman"/>
                <w:spacing w:val="0"/>
                <w:position w:val="0"/>
                <w:sz w:val="21"/>
                <w:szCs w:val="21"/>
              </w:rPr>
            </w:pPr>
            <w:r>
              <w:rPr>
                <w:rFonts w:ascii="Times New Roman" w:hAnsi="Times New Roman" w:eastAsia="宋体" w:cs="Times New Roman"/>
                <w:spacing w:val="0"/>
                <w:position w:val="0"/>
                <w:sz w:val="21"/>
                <w:szCs w:val="21"/>
              </w:rPr>
              <w:t>噪声</w:t>
            </w:r>
          </w:p>
        </w:tc>
        <w:tc>
          <w:tcPr>
            <w:tcW w:w="107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宋体" w:cs="Times New Roman"/>
                <w:spacing w:val="0"/>
                <w:position w:val="0"/>
                <w:sz w:val="21"/>
                <w:szCs w:val="21"/>
              </w:rPr>
            </w:pPr>
            <w:r>
              <w:rPr>
                <w:rFonts w:ascii="Times New Roman" w:hAnsi="Times New Roman" w:eastAsia="宋体" w:cs="Times New Roman"/>
                <w:spacing w:val="0"/>
                <w:position w:val="0"/>
                <w:sz w:val="21"/>
                <w:szCs w:val="21"/>
              </w:rPr>
              <w:t>隔声、减振等</w:t>
            </w:r>
          </w:p>
        </w:tc>
        <w:tc>
          <w:tcPr>
            <w:tcW w:w="782"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宋体" w:cs="Times New Roman"/>
                <w:spacing w:val="0"/>
                <w:position w:val="0"/>
                <w:sz w:val="21"/>
                <w:szCs w:val="21"/>
              </w:rPr>
            </w:pPr>
            <w:r>
              <w:rPr>
                <w:rFonts w:ascii="Times New Roman" w:hAnsi="Times New Roman" w:eastAsia="宋体" w:cs="Times New Roman"/>
                <w:spacing w:val="0"/>
                <w:position w:val="0"/>
                <w:sz w:val="21"/>
                <w:szCs w:val="21"/>
              </w:rPr>
              <w:t>厂界</w:t>
            </w:r>
            <w:r>
              <w:rPr>
                <w:rFonts w:hint="eastAsia" w:cs="Times New Roman"/>
                <w:spacing w:val="0"/>
                <w:position w:val="0"/>
                <w:sz w:val="21"/>
                <w:szCs w:val="21"/>
                <w:lang w:eastAsia="zh-CN"/>
              </w:rPr>
              <w:t>执行</w:t>
            </w:r>
            <w:r>
              <w:rPr>
                <w:rFonts w:ascii="Times New Roman" w:hAnsi="Times New Roman" w:eastAsia="宋体" w:cs="Times New Roman"/>
                <w:spacing w:val="0"/>
                <w:position w:val="0"/>
                <w:sz w:val="21"/>
                <w:szCs w:val="21"/>
              </w:rPr>
              <w:t>《工业企业厂界环境噪声排放标准》中的3类标准</w:t>
            </w:r>
          </w:p>
        </w:tc>
        <w:tc>
          <w:tcPr>
            <w:tcW w:w="71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spacing w:val="0"/>
                <w:position w:val="0"/>
                <w:sz w:val="21"/>
                <w:szCs w:val="21"/>
                <w:lang w:eastAsia="zh-CN"/>
              </w:rPr>
            </w:pPr>
            <w:r>
              <w:rPr>
                <w:rFonts w:hint="eastAsia" w:ascii="Times New Roman" w:hAnsi="Times New Roman" w:eastAsia="宋体" w:cs="Times New Roman"/>
                <w:spacing w:val="0"/>
                <w:position w:val="0"/>
                <w:sz w:val="21"/>
                <w:szCs w:val="21"/>
                <w:lang w:val="en-US" w:eastAsia="zh-CN"/>
              </w:rPr>
              <w:t>/</w:t>
            </w:r>
          </w:p>
        </w:tc>
        <w:tc>
          <w:tcPr>
            <w:tcW w:w="37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eastAsia="宋体"/>
                <w:spacing w:val="0"/>
                <w:position w:val="0"/>
                <w:sz w:val="21"/>
                <w:szCs w:val="21"/>
                <w:lang w:val="en-US" w:eastAsia="zh-CN"/>
              </w:rPr>
            </w:pPr>
            <w:r>
              <w:rPr>
                <w:rFonts w:hint="eastAsia"/>
                <w:spacing w:val="0"/>
                <w:position w:val="0"/>
                <w:sz w:val="21"/>
                <w:szCs w:val="21"/>
                <w:lang w:val="en-US" w:eastAsia="zh-CN"/>
              </w:rPr>
              <w:t>10</w:t>
            </w:r>
          </w:p>
        </w:tc>
        <w:tc>
          <w:tcPr>
            <w:tcW w:w="36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eastAsia="宋体"/>
                <w:spacing w:val="0"/>
                <w:position w:val="0"/>
                <w:sz w:val="21"/>
                <w:szCs w:val="21"/>
                <w:lang w:val="en-US" w:eastAsia="zh-CN"/>
              </w:rPr>
            </w:pPr>
            <w:r>
              <w:rPr>
                <w:rFonts w:hint="eastAsia"/>
                <w:spacing w:val="0"/>
                <w:position w:val="0"/>
                <w:sz w:val="21"/>
                <w:szCs w:val="21"/>
                <w:lang w:val="en-US" w:eastAsia="zh-CN"/>
              </w:rPr>
              <w:t>5</w:t>
            </w:r>
          </w:p>
        </w:tc>
        <w:tc>
          <w:tcPr>
            <w:tcW w:w="344" w:type="pct"/>
            <w:vMerge w:val="continue"/>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spacing w:val="0"/>
                <w:positio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jc w:val="center"/>
        </w:trPr>
        <w:tc>
          <w:tcPr>
            <w:tcW w:w="443" w:type="pct"/>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pacing w:val="0"/>
                <w:position w:val="0"/>
                <w:sz w:val="21"/>
                <w:szCs w:val="21"/>
              </w:rPr>
            </w:pPr>
            <w:r>
              <w:rPr>
                <w:spacing w:val="0"/>
                <w:position w:val="0"/>
                <w:sz w:val="21"/>
                <w:szCs w:val="21"/>
              </w:rPr>
              <w:t>固废</w:t>
            </w:r>
          </w:p>
        </w:tc>
        <w:tc>
          <w:tcPr>
            <w:tcW w:w="38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spacing w:val="0"/>
                <w:position w:val="0"/>
                <w:sz w:val="21"/>
                <w:szCs w:val="21"/>
                <w:lang w:eastAsia="zh-CN"/>
              </w:rPr>
            </w:pPr>
            <w:r>
              <w:rPr>
                <w:rFonts w:hint="eastAsia"/>
                <w:spacing w:val="0"/>
                <w:position w:val="0"/>
                <w:sz w:val="21"/>
                <w:szCs w:val="21"/>
                <w:lang w:eastAsia="zh-CN"/>
              </w:rPr>
              <w:t>一般固废</w:t>
            </w:r>
          </w:p>
        </w:tc>
        <w:tc>
          <w:tcPr>
            <w:tcW w:w="51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宋体" w:cs="Times New Roman"/>
                <w:spacing w:val="0"/>
                <w:position w:val="0"/>
                <w:sz w:val="21"/>
                <w:szCs w:val="21"/>
              </w:rPr>
            </w:pPr>
            <w:r>
              <w:rPr>
                <w:rFonts w:hint="eastAsia"/>
                <w:spacing w:val="0"/>
                <w:position w:val="0"/>
                <w:sz w:val="21"/>
                <w:szCs w:val="21"/>
                <w:lang w:eastAsia="zh-CN"/>
              </w:rPr>
              <w:t>废包装材料、分切边角料、生活垃圾</w:t>
            </w:r>
          </w:p>
        </w:tc>
        <w:tc>
          <w:tcPr>
            <w:tcW w:w="107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宋体" w:cs="Times New Roman"/>
                <w:spacing w:val="0"/>
                <w:position w:val="0"/>
                <w:sz w:val="21"/>
                <w:szCs w:val="21"/>
              </w:rPr>
            </w:pPr>
            <w:r>
              <w:rPr>
                <w:rFonts w:ascii="Times New Roman" w:hAnsi="Times New Roman" w:eastAsia="宋体" w:cs="Times New Roman"/>
                <w:spacing w:val="0"/>
                <w:position w:val="0"/>
                <w:sz w:val="21"/>
                <w:szCs w:val="21"/>
              </w:rPr>
              <w:t>仓库内西北角，一般固废堆场20m</w:t>
            </w:r>
            <w:r>
              <w:rPr>
                <w:rFonts w:ascii="Times New Roman" w:hAnsi="Times New Roman" w:eastAsia="宋体" w:cs="Times New Roman"/>
                <w:spacing w:val="0"/>
                <w:position w:val="0"/>
                <w:sz w:val="21"/>
                <w:szCs w:val="21"/>
                <w:vertAlign w:val="superscript"/>
              </w:rPr>
              <w:t>2</w:t>
            </w:r>
          </w:p>
        </w:tc>
        <w:tc>
          <w:tcPr>
            <w:tcW w:w="782"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宋体" w:cs="Times New Roman"/>
                <w:spacing w:val="0"/>
                <w:position w:val="0"/>
                <w:sz w:val="21"/>
                <w:szCs w:val="21"/>
              </w:rPr>
            </w:pPr>
            <w:r>
              <w:rPr>
                <w:rFonts w:ascii="Times New Roman" w:hAnsi="Times New Roman" w:eastAsia="宋体" w:cs="Times New Roman"/>
                <w:spacing w:val="0"/>
                <w:position w:val="0"/>
                <w:sz w:val="21"/>
                <w:szCs w:val="21"/>
              </w:rPr>
              <w:t>综合利用，不外排</w:t>
            </w:r>
          </w:p>
        </w:tc>
        <w:tc>
          <w:tcPr>
            <w:tcW w:w="71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宋体" w:cs="Times New Roman"/>
                <w:spacing w:val="0"/>
                <w:position w:val="0"/>
                <w:sz w:val="21"/>
                <w:szCs w:val="21"/>
              </w:rPr>
            </w:pPr>
            <w:r>
              <w:rPr>
                <w:rFonts w:hint="eastAsia" w:cs="Times New Roman"/>
                <w:spacing w:val="0"/>
                <w:position w:val="0"/>
                <w:sz w:val="21"/>
                <w:szCs w:val="21"/>
                <w:lang w:val="en-US" w:eastAsia="zh-CN"/>
              </w:rPr>
              <w:t>已验收</w:t>
            </w:r>
          </w:p>
        </w:tc>
        <w:tc>
          <w:tcPr>
            <w:tcW w:w="37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eastAsia="宋体"/>
                <w:spacing w:val="0"/>
                <w:position w:val="0"/>
                <w:sz w:val="21"/>
                <w:szCs w:val="21"/>
                <w:lang w:val="en-US" w:eastAsia="zh-CN"/>
              </w:rPr>
            </w:pPr>
            <w:r>
              <w:rPr>
                <w:rFonts w:hint="eastAsia"/>
                <w:spacing w:val="0"/>
                <w:position w:val="0"/>
                <w:sz w:val="21"/>
                <w:szCs w:val="21"/>
                <w:lang w:val="en-US" w:eastAsia="zh-CN"/>
              </w:rPr>
              <w:t>10</w:t>
            </w:r>
          </w:p>
        </w:tc>
        <w:tc>
          <w:tcPr>
            <w:tcW w:w="36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spacing w:val="0"/>
                <w:position w:val="0"/>
                <w:sz w:val="21"/>
                <w:szCs w:val="21"/>
                <w:lang w:eastAsia="zh-CN"/>
              </w:rPr>
            </w:pPr>
            <w:r>
              <w:rPr>
                <w:rFonts w:hint="eastAsia"/>
                <w:spacing w:val="0"/>
                <w:position w:val="0"/>
                <w:sz w:val="21"/>
                <w:szCs w:val="21"/>
                <w:lang w:val="en-US" w:eastAsia="zh-CN"/>
              </w:rPr>
              <w:t>/</w:t>
            </w:r>
          </w:p>
        </w:tc>
        <w:tc>
          <w:tcPr>
            <w:tcW w:w="344" w:type="pct"/>
            <w:vMerge w:val="continue"/>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spacing w:val="0"/>
                <w:positio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7" w:hRule="atLeast"/>
          <w:jc w:val="center"/>
        </w:trPr>
        <w:tc>
          <w:tcPr>
            <w:tcW w:w="443"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pacing w:val="0"/>
                <w:position w:val="0"/>
                <w:sz w:val="21"/>
                <w:szCs w:val="21"/>
              </w:rPr>
            </w:pPr>
          </w:p>
        </w:tc>
        <w:tc>
          <w:tcPr>
            <w:tcW w:w="38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pacing w:val="0"/>
                <w:position w:val="0"/>
                <w:sz w:val="21"/>
                <w:szCs w:val="21"/>
              </w:rPr>
            </w:pPr>
            <w:r>
              <w:rPr>
                <w:rFonts w:hint="eastAsia"/>
                <w:spacing w:val="0"/>
                <w:position w:val="0"/>
                <w:sz w:val="21"/>
                <w:szCs w:val="21"/>
                <w:lang w:eastAsia="zh-CN"/>
              </w:rPr>
              <w:t>危险固废</w:t>
            </w:r>
          </w:p>
        </w:tc>
        <w:tc>
          <w:tcPr>
            <w:tcW w:w="51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宋体" w:cs="Times New Roman"/>
                <w:spacing w:val="0"/>
                <w:position w:val="0"/>
                <w:sz w:val="21"/>
                <w:szCs w:val="21"/>
              </w:rPr>
            </w:pPr>
            <w:r>
              <w:rPr>
                <w:rFonts w:ascii="Times New Roman" w:hAnsi="Times New Roman" w:eastAsia="宋体" w:cs="Times New Roman"/>
                <w:spacing w:val="0"/>
                <w:position w:val="0"/>
                <w:sz w:val="21"/>
                <w:szCs w:val="21"/>
              </w:rPr>
              <w:t>废抹布及手套、废包装桶</w:t>
            </w:r>
          </w:p>
        </w:tc>
        <w:tc>
          <w:tcPr>
            <w:tcW w:w="107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宋体" w:cs="Times New Roman"/>
                <w:spacing w:val="0"/>
                <w:position w:val="0"/>
                <w:sz w:val="21"/>
                <w:szCs w:val="21"/>
              </w:rPr>
            </w:pPr>
            <w:r>
              <w:rPr>
                <w:rFonts w:ascii="Times New Roman" w:hAnsi="Times New Roman" w:eastAsia="宋体" w:cs="Times New Roman"/>
                <w:spacing w:val="0"/>
                <w:position w:val="0"/>
                <w:sz w:val="21"/>
                <w:szCs w:val="21"/>
              </w:rPr>
              <w:t>仓库内东北角，危险废物暂存处</w:t>
            </w:r>
          </w:p>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宋体" w:cs="Times New Roman"/>
                <w:spacing w:val="0"/>
                <w:position w:val="0"/>
                <w:sz w:val="21"/>
                <w:szCs w:val="21"/>
              </w:rPr>
            </w:pPr>
            <w:r>
              <w:rPr>
                <w:rFonts w:ascii="Times New Roman" w:hAnsi="Times New Roman" w:eastAsia="宋体" w:cs="Times New Roman"/>
                <w:spacing w:val="0"/>
                <w:position w:val="0"/>
                <w:sz w:val="21"/>
                <w:szCs w:val="21"/>
              </w:rPr>
              <w:t>10m</w:t>
            </w:r>
            <w:r>
              <w:rPr>
                <w:rFonts w:ascii="Times New Roman" w:hAnsi="Times New Roman" w:eastAsia="宋体" w:cs="Times New Roman"/>
                <w:spacing w:val="0"/>
                <w:position w:val="0"/>
                <w:sz w:val="21"/>
                <w:szCs w:val="21"/>
                <w:vertAlign w:val="superscript"/>
              </w:rPr>
              <w:t>2</w:t>
            </w:r>
            <w:r>
              <w:rPr>
                <w:rFonts w:hint="eastAsia" w:ascii="Times New Roman" w:hAnsi="Times New Roman" w:eastAsia="宋体" w:cs="Times New Roman"/>
                <w:spacing w:val="0"/>
                <w:position w:val="0"/>
                <w:sz w:val="21"/>
                <w:szCs w:val="21"/>
                <w:lang w:eastAsia="zh-CN"/>
              </w:rPr>
              <w:t>，</w:t>
            </w:r>
            <w:r>
              <w:rPr>
                <w:rFonts w:ascii="Times New Roman" w:hAnsi="Times New Roman" w:eastAsia="宋体" w:cs="Times New Roman"/>
                <w:spacing w:val="0"/>
                <w:position w:val="0"/>
                <w:sz w:val="21"/>
                <w:szCs w:val="21"/>
              </w:rPr>
              <w:t>委托有资质单位进行处置</w:t>
            </w:r>
          </w:p>
        </w:tc>
        <w:tc>
          <w:tcPr>
            <w:tcW w:w="782"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宋体" w:cs="Times New Roman"/>
                <w:spacing w:val="0"/>
                <w:position w:val="0"/>
                <w:sz w:val="21"/>
                <w:szCs w:val="21"/>
              </w:rPr>
            </w:pPr>
            <w:r>
              <w:rPr>
                <w:rFonts w:ascii="Times New Roman" w:hAnsi="Times New Roman" w:eastAsia="宋体" w:cs="Times New Roman"/>
                <w:spacing w:val="0"/>
                <w:position w:val="0"/>
                <w:sz w:val="21"/>
                <w:szCs w:val="21"/>
              </w:rPr>
              <w:t>委托处置，不外排</w:t>
            </w:r>
          </w:p>
        </w:tc>
        <w:tc>
          <w:tcPr>
            <w:tcW w:w="71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spacing w:val="0"/>
                <w:position w:val="0"/>
                <w:sz w:val="21"/>
                <w:szCs w:val="21"/>
                <w:lang w:val="en-US" w:eastAsia="zh-CN"/>
              </w:rPr>
            </w:pPr>
            <w:r>
              <w:rPr>
                <w:rFonts w:hint="eastAsia" w:cs="Times New Roman"/>
                <w:spacing w:val="0"/>
                <w:position w:val="0"/>
                <w:sz w:val="21"/>
                <w:szCs w:val="21"/>
                <w:lang w:val="en-US" w:eastAsia="zh-CN"/>
              </w:rPr>
              <w:t>已验收</w:t>
            </w:r>
          </w:p>
        </w:tc>
        <w:tc>
          <w:tcPr>
            <w:tcW w:w="37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pacing w:val="0"/>
                <w:position w:val="0"/>
                <w:sz w:val="21"/>
                <w:szCs w:val="21"/>
              </w:rPr>
            </w:pPr>
            <w:r>
              <w:rPr>
                <w:spacing w:val="0"/>
                <w:w w:val="97"/>
                <w:position w:val="0"/>
                <w:sz w:val="21"/>
                <w:szCs w:val="21"/>
              </w:rPr>
              <w:t>10</w:t>
            </w:r>
          </w:p>
        </w:tc>
        <w:tc>
          <w:tcPr>
            <w:tcW w:w="36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spacing w:val="0"/>
                <w:w w:val="97"/>
                <w:position w:val="0"/>
                <w:sz w:val="21"/>
                <w:szCs w:val="21"/>
                <w:lang w:eastAsia="zh-CN"/>
              </w:rPr>
            </w:pPr>
            <w:r>
              <w:rPr>
                <w:rFonts w:hint="eastAsia"/>
                <w:spacing w:val="0"/>
                <w:position w:val="0"/>
                <w:sz w:val="21"/>
                <w:szCs w:val="21"/>
                <w:lang w:val="en-US" w:eastAsia="zh-CN"/>
              </w:rPr>
              <w:t>/</w:t>
            </w:r>
          </w:p>
        </w:tc>
        <w:tc>
          <w:tcPr>
            <w:tcW w:w="344" w:type="pct"/>
            <w:vMerge w:val="continue"/>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spacing w:val="0"/>
                <w:positio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jc w:val="center"/>
        </w:trPr>
        <w:tc>
          <w:tcPr>
            <w:tcW w:w="443" w:type="pct"/>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spacing w:val="0"/>
                <w:position w:val="0"/>
                <w:sz w:val="21"/>
                <w:szCs w:val="21"/>
                <w:lang w:eastAsia="zh-CN"/>
              </w:rPr>
            </w:pPr>
            <w:r>
              <w:rPr>
                <w:rFonts w:hint="eastAsia"/>
                <w:spacing w:val="0"/>
                <w:position w:val="0"/>
                <w:sz w:val="21"/>
                <w:szCs w:val="21"/>
                <w:lang w:eastAsia="zh-CN"/>
              </w:rPr>
              <w:t>雨污分流管道</w:t>
            </w:r>
          </w:p>
        </w:tc>
        <w:tc>
          <w:tcPr>
            <w:tcW w:w="38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spacing w:val="0"/>
                <w:position w:val="0"/>
                <w:sz w:val="21"/>
                <w:szCs w:val="21"/>
                <w:lang w:eastAsia="zh-CN"/>
              </w:rPr>
            </w:pPr>
            <w:r>
              <w:rPr>
                <w:rFonts w:hint="eastAsia"/>
                <w:spacing w:val="0"/>
                <w:position w:val="0"/>
                <w:sz w:val="21"/>
                <w:szCs w:val="21"/>
                <w:lang w:eastAsia="zh-CN"/>
              </w:rPr>
              <w:t>雨水</w:t>
            </w:r>
          </w:p>
        </w:tc>
        <w:tc>
          <w:tcPr>
            <w:tcW w:w="51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spacing w:val="0"/>
                <w:position w:val="0"/>
                <w:sz w:val="21"/>
                <w:szCs w:val="21"/>
                <w:lang w:val="en-US" w:eastAsia="zh-CN"/>
              </w:rPr>
            </w:pPr>
            <w:r>
              <w:rPr>
                <w:rFonts w:hint="eastAsia" w:ascii="Times New Roman" w:hAnsi="Times New Roman" w:eastAsia="宋体" w:cs="Times New Roman"/>
                <w:spacing w:val="0"/>
                <w:position w:val="0"/>
                <w:sz w:val="21"/>
                <w:szCs w:val="21"/>
                <w:lang w:val="en-US" w:eastAsia="zh-CN"/>
              </w:rPr>
              <w:t>/</w:t>
            </w:r>
          </w:p>
        </w:tc>
        <w:tc>
          <w:tcPr>
            <w:tcW w:w="107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spacing w:val="0"/>
                <w:position w:val="0"/>
                <w:sz w:val="21"/>
                <w:szCs w:val="21"/>
                <w:lang w:eastAsia="zh-CN"/>
              </w:rPr>
            </w:pPr>
            <w:r>
              <w:rPr>
                <w:rFonts w:hint="eastAsia" w:ascii="Times New Roman" w:hAnsi="Times New Roman" w:eastAsia="宋体" w:cs="Times New Roman"/>
                <w:spacing w:val="0"/>
                <w:position w:val="0"/>
                <w:sz w:val="21"/>
                <w:szCs w:val="21"/>
                <w:lang w:eastAsia="zh-CN"/>
              </w:rPr>
              <w:t>雨水管道</w:t>
            </w:r>
          </w:p>
        </w:tc>
        <w:tc>
          <w:tcPr>
            <w:tcW w:w="782" w:type="pct"/>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spacing w:val="0"/>
                <w:position w:val="0"/>
                <w:sz w:val="21"/>
                <w:szCs w:val="21"/>
                <w:lang w:eastAsia="zh-CN"/>
              </w:rPr>
            </w:pPr>
            <w:r>
              <w:rPr>
                <w:rFonts w:hint="eastAsia" w:ascii="Times New Roman" w:hAnsi="Times New Roman" w:eastAsia="宋体" w:cs="Times New Roman"/>
                <w:spacing w:val="0"/>
                <w:position w:val="0"/>
                <w:sz w:val="21"/>
                <w:szCs w:val="21"/>
                <w:lang w:eastAsia="zh-CN"/>
              </w:rPr>
              <w:t>雨污分流</w:t>
            </w:r>
          </w:p>
        </w:tc>
        <w:tc>
          <w:tcPr>
            <w:tcW w:w="71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宋体" w:cs="Times New Roman"/>
                <w:spacing w:val="0"/>
                <w:position w:val="0"/>
                <w:sz w:val="21"/>
                <w:szCs w:val="21"/>
              </w:rPr>
            </w:pPr>
            <w:r>
              <w:rPr>
                <w:rFonts w:hint="eastAsia" w:cs="Times New Roman"/>
                <w:spacing w:val="0"/>
                <w:position w:val="0"/>
                <w:sz w:val="21"/>
                <w:szCs w:val="21"/>
                <w:lang w:val="en-US" w:eastAsia="zh-CN"/>
              </w:rPr>
              <w:t>已验收</w:t>
            </w:r>
          </w:p>
        </w:tc>
        <w:tc>
          <w:tcPr>
            <w:tcW w:w="37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eastAsia="宋体"/>
                <w:spacing w:val="0"/>
                <w:w w:val="97"/>
                <w:position w:val="0"/>
                <w:sz w:val="21"/>
                <w:szCs w:val="21"/>
                <w:lang w:val="en-US" w:eastAsia="zh-CN"/>
              </w:rPr>
            </w:pPr>
            <w:r>
              <w:rPr>
                <w:rFonts w:hint="eastAsia"/>
                <w:spacing w:val="0"/>
                <w:w w:val="97"/>
                <w:position w:val="0"/>
                <w:sz w:val="21"/>
                <w:szCs w:val="21"/>
                <w:lang w:val="en-US" w:eastAsia="zh-CN"/>
              </w:rPr>
              <w:t>10</w:t>
            </w:r>
          </w:p>
        </w:tc>
        <w:tc>
          <w:tcPr>
            <w:tcW w:w="36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eastAsia="宋体"/>
                <w:spacing w:val="0"/>
                <w:w w:val="97"/>
                <w:position w:val="0"/>
                <w:sz w:val="21"/>
                <w:szCs w:val="21"/>
                <w:lang w:val="en-US" w:eastAsia="zh-CN"/>
              </w:rPr>
            </w:pPr>
            <w:r>
              <w:rPr>
                <w:rFonts w:hint="eastAsia"/>
                <w:spacing w:val="0"/>
                <w:position w:val="0"/>
                <w:sz w:val="21"/>
                <w:szCs w:val="21"/>
                <w:lang w:val="en-US" w:eastAsia="zh-CN"/>
              </w:rPr>
              <w:t>/</w:t>
            </w:r>
          </w:p>
        </w:tc>
        <w:tc>
          <w:tcPr>
            <w:tcW w:w="344" w:type="pct"/>
            <w:vMerge w:val="continue"/>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spacing w:val="0"/>
                <w:positio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jc w:val="center"/>
        </w:trPr>
        <w:tc>
          <w:tcPr>
            <w:tcW w:w="443"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pacing w:val="0"/>
                <w:position w:val="0"/>
                <w:sz w:val="21"/>
                <w:szCs w:val="21"/>
              </w:rPr>
            </w:pPr>
          </w:p>
        </w:tc>
        <w:tc>
          <w:tcPr>
            <w:tcW w:w="38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spacing w:val="0"/>
                <w:position w:val="0"/>
                <w:sz w:val="21"/>
                <w:szCs w:val="21"/>
                <w:lang w:eastAsia="zh-CN"/>
              </w:rPr>
            </w:pPr>
            <w:r>
              <w:rPr>
                <w:rFonts w:hint="eastAsia"/>
                <w:spacing w:val="0"/>
                <w:position w:val="0"/>
                <w:sz w:val="21"/>
                <w:szCs w:val="21"/>
                <w:lang w:eastAsia="zh-CN"/>
              </w:rPr>
              <w:t>污水</w:t>
            </w:r>
          </w:p>
        </w:tc>
        <w:tc>
          <w:tcPr>
            <w:tcW w:w="51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spacing w:val="0"/>
                <w:position w:val="0"/>
                <w:sz w:val="21"/>
                <w:szCs w:val="21"/>
                <w:lang w:val="en-US" w:eastAsia="zh-CN"/>
              </w:rPr>
            </w:pPr>
            <w:r>
              <w:rPr>
                <w:rFonts w:hint="eastAsia" w:ascii="Times New Roman" w:hAnsi="Times New Roman" w:eastAsia="宋体" w:cs="Times New Roman"/>
                <w:spacing w:val="0"/>
                <w:position w:val="0"/>
                <w:sz w:val="21"/>
                <w:szCs w:val="21"/>
                <w:lang w:val="en-US" w:eastAsia="zh-CN"/>
              </w:rPr>
              <w:t>/</w:t>
            </w:r>
          </w:p>
        </w:tc>
        <w:tc>
          <w:tcPr>
            <w:tcW w:w="107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spacing w:val="0"/>
                <w:position w:val="0"/>
                <w:sz w:val="21"/>
                <w:szCs w:val="21"/>
                <w:lang w:eastAsia="zh-CN"/>
              </w:rPr>
            </w:pPr>
            <w:r>
              <w:rPr>
                <w:rFonts w:hint="eastAsia" w:ascii="Times New Roman" w:hAnsi="Times New Roman" w:eastAsia="宋体" w:cs="Times New Roman"/>
                <w:spacing w:val="0"/>
                <w:position w:val="0"/>
                <w:sz w:val="21"/>
                <w:szCs w:val="21"/>
                <w:lang w:eastAsia="zh-CN"/>
              </w:rPr>
              <w:t>污水管道</w:t>
            </w:r>
          </w:p>
        </w:tc>
        <w:tc>
          <w:tcPr>
            <w:tcW w:w="782"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宋体" w:cs="Times New Roman"/>
                <w:spacing w:val="0"/>
                <w:position w:val="0"/>
                <w:sz w:val="21"/>
                <w:szCs w:val="21"/>
              </w:rPr>
            </w:pPr>
          </w:p>
        </w:tc>
        <w:tc>
          <w:tcPr>
            <w:tcW w:w="71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宋体" w:cs="Times New Roman"/>
                <w:spacing w:val="0"/>
                <w:position w:val="0"/>
                <w:sz w:val="21"/>
                <w:szCs w:val="21"/>
              </w:rPr>
            </w:pPr>
            <w:r>
              <w:rPr>
                <w:rFonts w:hint="eastAsia" w:cs="Times New Roman"/>
                <w:spacing w:val="0"/>
                <w:position w:val="0"/>
                <w:sz w:val="21"/>
                <w:szCs w:val="21"/>
                <w:lang w:val="en-US" w:eastAsia="zh-CN"/>
              </w:rPr>
              <w:t>已验收</w:t>
            </w:r>
          </w:p>
        </w:tc>
        <w:tc>
          <w:tcPr>
            <w:tcW w:w="37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eastAsia="宋体"/>
                <w:spacing w:val="0"/>
                <w:w w:val="97"/>
                <w:position w:val="0"/>
                <w:sz w:val="21"/>
                <w:szCs w:val="21"/>
                <w:lang w:val="en-US" w:eastAsia="zh-CN"/>
              </w:rPr>
            </w:pPr>
            <w:r>
              <w:rPr>
                <w:rFonts w:hint="eastAsia"/>
                <w:spacing w:val="0"/>
                <w:w w:val="97"/>
                <w:position w:val="0"/>
                <w:sz w:val="21"/>
                <w:szCs w:val="21"/>
                <w:lang w:val="en-US" w:eastAsia="zh-CN"/>
              </w:rPr>
              <w:t>10</w:t>
            </w:r>
          </w:p>
        </w:tc>
        <w:tc>
          <w:tcPr>
            <w:tcW w:w="36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eastAsia="宋体"/>
                <w:spacing w:val="0"/>
                <w:w w:val="97"/>
                <w:position w:val="0"/>
                <w:sz w:val="21"/>
                <w:szCs w:val="21"/>
                <w:lang w:val="en-US" w:eastAsia="zh-CN"/>
              </w:rPr>
            </w:pPr>
            <w:r>
              <w:rPr>
                <w:rFonts w:hint="eastAsia"/>
                <w:spacing w:val="0"/>
                <w:position w:val="0"/>
                <w:sz w:val="21"/>
                <w:szCs w:val="21"/>
                <w:lang w:val="en-US" w:eastAsia="zh-CN"/>
              </w:rPr>
              <w:t>/</w:t>
            </w:r>
          </w:p>
        </w:tc>
        <w:tc>
          <w:tcPr>
            <w:tcW w:w="344" w:type="pct"/>
            <w:vMerge w:val="continue"/>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spacing w:val="0"/>
                <w:positio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jc w:val="center"/>
        </w:trPr>
        <w:tc>
          <w:tcPr>
            <w:tcW w:w="44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spacing w:val="0"/>
                <w:position w:val="0"/>
                <w:sz w:val="21"/>
                <w:szCs w:val="21"/>
                <w:lang w:eastAsia="zh-CN"/>
              </w:rPr>
            </w:pPr>
            <w:r>
              <w:rPr>
                <w:rFonts w:hint="eastAsia"/>
                <w:spacing w:val="0"/>
                <w:position w:val="0"/>
                <w:sz w:val="21"/>
                <w:szCs w:val="21"/>
                <w:lang w:eastAsia="zh-CN"/>
              </w:rPr>
              <w:t>绿化</w:t>
            </w:r>
          </w:p>
        </w:tc>
        <w:tc>
          <w:tcPr>
            <w:tcW w:w="38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spacing w:val="0"/>
                <w:position w:val="0"/>
                <w:sz w:val="21"/>
                <w:szCs w:val="21"/>
                <w:lang w:val="en-US" w:eastAsia="zh-CN"/>
              </w:rPr>
            </w:pPr>
            <w:r>
              <w:rPr>
                <w:rFonts w:hint="eastAsia"/>
                <w:spacing w:val="0"/>
                <w:position w:val="0"/>
                <w:sz w:val="21"/>
                <w:szCs w:val="21"/>
                <w:lang w:val="en-US" w:eastAsia="zh-CN"/>
              </w:rPr>
              <w:t>/</w:t>
            </w:r>
          </w:p>
        </w:tc>
        <w:tc>
          <w:tcPr>
            <w:tcW w:w="51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lang w:val="en-US" w:eastAsia="zh-CN"/>
              </w:rPr>
            </w:pPr>
            <w:r>
              <w:rPr>
                <w:rFonts w:hint="eastAsia" w:ascii="Times New Roman" w:hAnsi="Times New Roman" w:eastAsia="宋体" w:cs="Times New Roman"/>
                <w:spacing w:val="0"/>
                <w:position w:val="0"/>
                <w:sz w:val="21"/>
                <w:szCs w:val="21"/>
                <w:lang w:val="en-US" w:eastAsia="zh-CN"/>
              </w:rPr>
              <w:t>/</w:t>
            </w:r>
          </w:p>
        </w:tc>
        <w:tc>
          <w:tcPr>
            <w:tcW w:w="107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spacing w:val="0"/>
                <w:position w:val="0"/>
                <w:sz w:val="21"/>
                <w:szCs w:val="21"/>
                <w:lang w:eastAsia="zh-CN"/>
              </w:rPr>
            </w:pPr>
            <w:r>
              <w:rPr>
                <w:rFonts w:ascii="Times New Roman" w:hAnsi="Times New Roman" w:eastAsia="宋体" w:cs="Times New Roman"/>
                <w:spacing w:val="0"/>
                <w:position w:val="0"/>
                <w:sz w:val="21"/>
                <w:szCs w:val="21"/>
              </w:rPr>
              <w:t>绿化面积2500m</w:t>
            </w:r>
            <w:r>
              <w:rPr>
                <w:rFonts w:ascii="Times New Roman" w:hAnsi="Times New Roman" w:eastAsia="宋体" w:cs="Times New Roman"/>
                <w:spacing w:val="0"/>
                <w:position w:val="0"/>
                <w:sz w:val="21"/>
                <w:szCs w:val="21"/>
                <w:vertAlign w:val="superscript"/>
              </w:rPr>
              <w:t>2</w:t>
            </w:r>
          </w:p>
        </w:tc>
        <w:tc>
          <w:tcPr>
            <w:tcW w:w="782"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宋体" w:cs="Times New Roman"/>
                <w:spacing w:val="0"/>
                <w:position w:val="0"/>
                <w:sz w:val="21"/>
                <w:szCs w:val="21"/>
              </w:rPr>
            </w:pPr>
            <w:r>
              <w:rPr>
                <w:rFonts w:ascii="Times New Roman" w:hAnsi="Times New Roman" w:eastAsia="宋体" w:cs="Times New Roman"/>
                <w:spacing w:val="0"/>
                <w:position w:val="0"/>
                <w:sz w:val="21"/>
                <w:szCs w:val="21"/>
              </w:rPr>
              <w:t>绿化率15%</w:t>
            </w:r>
          </w:p>
        </w:tc>
        <w:tc>
          <w:tcPr>
            <w:tcW w:w="71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spacing w:val="0"/>
                <w:position w:val="0"/>
                <w:sz w:val="21"/>
                <w:szCs w:val="21"/>
                <w:lang w:val="en-US" w:eastAsia="zh-CN"/>
              </w:rPr>
            </w:pPr>
            <w:r>
              <w:rPr>
                <w:rFonts w:hint="eastAsia" w:ascii="Times New Roman" w:hAnsi="Times New Roman" w:eastAsia="宋体" w:cs="Times New Roman"/>
                <w:spacing w:val="0"/>
                <w:position w:val="0"/>
                <w:sz w:val="21"/>
                <w:szCs w:val="21"/>
                <w:lang w:val="en-US" w:eastAsia="zh-CN"/>
              </w:rPr>
              <w:t>/</w:t>
            </w:r>
          </w:p>
        </w:tc>
        <w:tc>
          <w:tcPr>
            <w:tcW w:w="37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eastAsia="宋体"/>
                <w:spacing w:val="0"/>
                <w:w w:val="97"/>
                <w:position w:val="0"/>
                <w:sz w:val="21"/>
                <w:szCs w:val="21"/>
                <w:lang w:val="en-US" w:eastAsia="zh-CN"/>
              </w:rPr>
            </w:pPr>
            <w:r>
              <w:rPr>
                <w:rFonts w:hint="eastAsia"/>
                <w:spacing w:val="0"/>
                <w:w w:val="97"/>
                <w:position w:val="0"/>
                <w:sz w:val="21"/>
                <w:szCs w:val="21"/>
                <w:lang w:val="en-US" w:eastAsia="zh-CN"/>
              </w:rPr>
              <w:t>20</w:t>
            </w:r>
          </w:p>
        </w:tc>
        <w:tc>
          <w:tcPr>
            <w:tcW w:w="36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eastAsia="宋体"/>
                <w:spacing w:val="0"/>
                <w:w w:val="97"/>
                <w:position w:val="0"/>
                <w:sz w:val="21"/>
                <w:szCs w:val="21"/>
                <w:lang w:val="en-US" w:eastAsia="zh-CN"/>
              </w:rPr>
            </w:pPr>
            <w:r>
              <w:rPr>
                <w:rFonts w:hint="eastAsia"/>
                <w:spacing w:val="0"/>
                <w:w w:val="97"/>
                <w:position w:val="0"/>
                <w:sz w:val="21"/>
                <w:szCs w:val="21"/>
                <w:lang w:val="en-US" w:eastAsia="zh-CN"/>
              </w:rPr>
              <w:t>15</w:t>
            </w:r>
          </w:p>
        </w:tc>
        <w:tc>
          <w:tcPr>
            <w:tcW w:w="344" w:type="pct"/>
            <w:vMerge w:val="continue"/>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spacing w:val="0"/>
                <w:positio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jc w:val="center"/>
        </w:trPr>
        <w:tc>
          <w:tcPr>
            <w:tcW w:w="3916" w:type="pct"/>
            <w:gridSpan w:val="6"/>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lang w:val="en-US" w:eastAsia="zh-CN"/>
              </w:rPr>
            </w:pPr>
            <w:r>
              <w:rPr>
                <w:rFonts w:hint="eastAsia" w:cs="Times New Roman"/>
                <w:spacing w:val="0"/>
                <w:position w:val="0"/>
                <w:sz w:val="21"/>
                <w:szCs w:val="21"/>
                <w:lang w:val="en-US" w:eastAsia="zh-CN"/>
              </w:rPr>
              <w:t>合计</w:t>
            </w:r>
          </w:p>
        </w:tc>
        <w:tc>
          <w:tcPr>
            <w:tcW w:w="37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spacing w:val="0"/>
                <w:w w:val="97"/>
                <w:position w:val="0"/>
                <w:sz w:val="21"/>
                <w:szCs w:val="21"/>
                <w:lang w:val="en-US" w:eastAsia="zh-CN"/>
              </w:rPr>
            </w:pPr>
            <w:r>
              <w:rPr>
                <w:rFonts w:hint="eastAsia"/>
                <w:spacing w:val="0"/>
                <w:w w:val="97"/>
                <w:position w:val="0"/>
                <w:sz w:val="21"/>
                <w:szCs w:val="21"/>
                <w:lang w:val="en-US" w:eastAsia="zh-CN"/>
              </w:rPr>
              <w:t>600</w:t>
            </w:r>
          </w:p>
        </w:tc>
        <w:tc>
          <w:tcPr>
            <w:tcW w:w="36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spacing w:val="0"/>
                <w:w w:val="97"/>
                <w:position w:val="0"/>
                <w:sz w:val="21"/>
                <w:szCs w:val="21"/>
                <w:lang w:val="en-US" w:eastAsia="zh-CN"/>
              </w:rPr>
            </w:pPr>
            <w:r>
              <w:rPr>
                <w:rFonts w:hint="eastAsia"/>
                <w:spacing w:val="0"/>
                <w:w w:val="97"/>
                <w:position w:val="0"/>
                <w:sz w:val="21"/>
                <w:szCs w:val="21"/>
                <w:lang w:val="en-US" w:eastAsia="zh-CN"/>
              </w:rPr>
              <w:t>170</w:t>
            </w:r>
          </w:p>
        </w:tc>
        <w:tc>
          <w:tcPr>
            <w:tcW w:w="344" w:type="pct"/>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spacing w:val="0"/>
                <w:position w:val="0"/>
                <w:sz w:val="21"/>
                <w:szCs w:val="21"/>
              </w:rPr>
            </w:pPr>
          </w:p>
        </w:tc>
      </w:tr>
    </w:tbl>
    <w:p>
      <w:pPr>
        <w:rPr>
          <w:rFonts w:ascii="宋体" w:hAnsi="宋体" w:cs="宋体"/>
          <w:b/>
          <w:snapToGrid w:val="0"/>
          <w:color w:val="FF0000"/>
        </w:rPr>
        <w:sectPr>
          <w:footerReference r:id="rId18" w:type="default"/>
          <w:pgSz w:w="16783" w:h="11850" w:orient="landscape"/>
          <w:pgMar w:top="1440" w:right="1080" w:bottom="1440" w:left="1080" w:header="794" w:footer="964" w:gutter="0"/>
          <w:pgNumType w:fmt="decimal"/>
          <w:cols w:space="720" w:num="1"/>
          <w:docGrid w:linePitch="395" w:charSpace="0"/>
        </w:sectPr>
      </w:pPr>
    </w:p>
    <w:p>
      <w:pPr>
        <w:pStyle w:val="5"/>
        <w:keepNext/>
        <w:keepLines/>
        <w:pageBreakBefore w:val="0"/>
        <w:widowControl w:val="0"/>
        <w:kinsoku/>
        <w:wordWrap/>
        <w:overflowPunct/>
        <w:topLinePunct w:val="0"/>
        <w:autoSpaceDE/>
        <w:autoSpaceDN/>
        <w:bidi w:val="0"/>
        <w:adjustRightInd/>
        <w:snapToGrid/>
        <w:spacing w:beforeLines="0" w:afterLines="0"/>
        <w:textAlignment w:val="auto"/>
        <w:rPr>
          <w:sz w:val="36"/>
          <w:szCs w:val="36"/>
        </w:rPr>
      </w:pPr>
      <w:bookmarkStart w:id="74" w:name="_Toc6050"/>
      <w:r>
        <w:rPr>
          <w:rFonts w:hint="eastAsia"/>
          <w:sz w:val="36"/>
          <w:szCs w:val="36"/>
        </w:rPr>
        <w:t>5环境影响报告书的主要结论与建议及审批部门审批</w:t>
      </w:r>
      <w:bookmarkEnd w:id="74"/>
    </w:p>
    <w:p>
      <w:pPr>
        <w:pStyle w:val="6"/>
        <w:keepNext/>
        <w:pageBreakBefore w:val="0"/>
        <w:widowControl w:val="0"/>
        <w:kinsoku/>
        <w:wordWrap/>
        <w:overflowPunct/>
        <w:topLinePunct w:val="0"/>
        <w:autoSpaceDE/>
        <w:autoSpaceDN/>
        <w:bidi w:val="0"/>
        <w:adjustRightInd/>
        <w:snapToGrid/>
        <w:spacing w:beforeLines="0" w:afterLines="0"/>
        <w:textAlignment w:val="auto"/>
        <w:rPr>
          <w:color w:val="auto"/>
          <w:sz w:val="32"/>
          <w:szCs w:val="32"/>
        </w:rPr>
      </w:pPr>
      <w:bookmarkStart w:id="75" w:name="_Toc3810"/>
      <w:bookmarkStart w:id="76" w:name="_Toc21563"/>
      <w:bookmarkStart w:id="77" w:name="_Toc6406"/>
      <w:r>
        <w:rPr>
          <w:rFonts w:hint="eastAsia"/>
          <w:color w:val="auto"/>
          <w:sz w:val="32"/>
          <w:szCs w:val="32"/>
        </w:rPr>
        <w:t>5.1环境影响报告书的主要结论与建议</w:t>
      </w:r>
      <w:bookmarkEnd w:id="75"/>
      <w:bookmarkEnd w:id="76"/>
      <w:bookmarkEnd w:id="77"/>
    </w:p>
    <w:p>
      <w:pPr>
        <w:ind w:firstLine="480" w:firstLineChars="200"/>
        <w:rPr>
          <w:rFonts w:hint="eastAsia" w:ascii="Times New Roman" w:hAnsi="Times New Roman" w:eastAsia="宋体" w:cs="Times New Roman"/>
        </w:rPr>
      </w:pPr>
      <w:r>
        <w:rPr>
          <w:rFonts w:hint="eastAsia" w:ascii="Times New Roman" w:hAnsi="Times New Roman" w:eastAsia="宋体" w:cs="Times New Roman"/>
        </w:rPr>
        <w:t>“芜湖徽氏新材料科技有限公司锂电池胶带生产和精加工项目”符合当地规划要求，符合国家产业政策和清洁生产要求，采用的各项环保设施可以保证各项污染物长期稳定的达标排放，项目总体上对评价区域的环境影响较小，不会造成区域环境功能的改变。项目认真落实本报告书所提出的环保措施和加强环境管理的前提下，可将环境影响降低到最小程度或可接受程度，公众对本项目的建设无反对意见，因此，从环境影响评价角度分析，本项目的建设是可行的。</w:t>
      </w:r>
    </w:p>
    <w:p>
      <w:pPr>
        <w:pStyle w:val="6"/>
        <w:spacing w:beforeLines="0" w:afterLines="0"/>
        <w:rPr>
          <w:color w:val="auto"/>
          <w:sz w:val="32"/>
          <w:szCs w:val="32"/>
        </w:rPr>
      </w:pPr>
      <w:bookmarkStart w:id="78" w:name="_Toc565"/>
      <w:bookmarkStart w:id="79" w:name="_Toc3157"/>
      <w:bookmarkStart w:id="80" w:name="_Toc26986"/>
      <w:r>
        <w:rPr>
          <w:rFonts w:hint="eastAsia"/>
          <w:color w:val="auto"/>
          <w:sz w:val="32"/>
          <w:szCs w:val="32"/>
        </w:rPr>
        <w:t>5.2审批部门审批决定</w:t>
      </w:r>
      <w:bookmarkEnd w:id="78"/>
      <w:bookmarkEnd w:id="79"/>
      <w:bookmarkEnd w:id="80"/>
    </w:p>
    <w:p>
      <w:pPr>
        <w:ind w:firstLine="480" w:firstLineChars="200"/>
        <w:rPr>
          <w:rFonts w:hint="eastAsia" w:ascii="Times New Roman" w:hAnsi="Times New Roman" w:eastAsia="宋体" w:cs="Times New Roman"/>
          <w:sz w:val="24"/>
        </w:rPr>
      </w:pPr>
      <w:bookmarkStart w:id="81" w:name="_Toc30506"/>
      <w:bookmarkStart w:id="82" w:name="_Toc1619"/>
      <w:r>
        <w:rPr>
          <w:rFonts w:hint="eastAsia" w:ascii="Times New Roman" w:hAnsi="Times New Roman" w:eastAsia="宋体" w:cs="Times New Roman"/>
          <w:sz w:val="24"/>
        </w:rPr>
        <w:t>一、本项目位于无为县经济开发区城东工业园区，总投资19477万元，占地面积为40亩，总建筑面积27377平方米，主要建设厂房、仓库、食堂、职工宿舍等，项目全部投产后将形成年产3600万平方米锂电池胶带的生产能力。</w:t>
      </w:r>
    </w:p>
    <w:p>
      <w:pPr>
        <w:ind w:firstLine="480" w:firstLineChars="200"/>
        <w:rPr>
          <w:rFonts w:hint="eastAsia" w:ascii="Times New Roman" w:hAnsi="Times New Roman" w:eastAsia="宋体" w:cs="Times New Roman"/>
          <w:sz w:val="24"/>
        </w:rPr>
      </w:pPr>
      <w:r>
        <w:rPr>
          <w:rFonts w:hint="eastAsia" w:ascii="Times New Roman" w:hAnsi="Times New Roman" w:eastAsia="宋体" w:cs="Times New Roman"/>
          <w:sz w:val="24"/>
        </w:rPr>
        <w:t>该项目建设符合国家产业政策，选址符合城东工业园区规划要求，建设、运营过程中产生的各类污染物经采取相应措施后可实现达标排放，从环境影响角度考虑，该项目建设是可行的。</w:t>
      </w:r>
    </w:p>
    <w:p>
      <w:pPr>
        <w:ind w:firstLine="480" w:firstLineChars="200"/>
        <w:rPr>
          <w:rFonts w:hint="eastAsia" w:ascii="Times New Roman" w:hAnsi="Times New Roman" w:eastAsia="宋体" w:cs="Times New Roman"/>
          <w:sz w:val="24"/>
        </w:rPr>
      </w:pPr>
      <w:r>
        <w:rPr>
          <w:rFonts w:hint="eastAsia" w:ascii="Times New Roman" w:hAnsi="Times New Roman" w:eastAsia="宋体" w:cs="Times New Roman"/>
          <w:sz w:val="24"/>
        </w:rPr>
        <w:t>二、上报的《环境影响报告书》及专家技术审查意见可作为该项目环境管理的技术依据，建设单位应严格按照《环境影响报告书》所列建设项目的地点、性质、规模、环境保护设施进行建设。</w:t>
      </w:r>
    </w:p>
    <w:p>
      <w:pPr>
        <w:ind w:firstLine="480" w:firstLineChars="200"/>
        <w:rPr>
          <w:rFonts w:hint="eastAsia" w:ascii="Times New Roman" w:hAnsi="Times New Roman" w:eastAsia="宋体" w:cs="Times New Roman"/>
          <w:sz w:val="24"/>
        </w:rPr>
      </w:pPr>
      <w:r>
        <w:rPr>
          <w:rFonts w:hint="eastAsia" w:ascii="Times New Roman" w:hAnsi="Times New Roman" w:eastAsia="宋体" w:cs="Times New Roman"/>
          <w:sz w:val="24"/>
        </w:rPr>
        <w:t>三、项目施工、运营过程中污染物排放执行以下标准：</w:t>
      </w:r>
    </w:p>
    <w:p>
      <w:pPr>
        <w:ind w:firstLine="480" w:firstLineChars="200"/>
        <w:rPr>
          <w:rFonts w:hint="eastAsia" w:ascii="Times New Roman" w:hAnsi="Times New Roman" w:eastAsia="宋体" w:cs="Times New Roman"/>
          <w:sz w:val="24"/>
        </w:rPr>
      </w:pPr>
      <w:r>
        <w:rPr>
          <w:rFonts w:hint="eastAsia" w:ascii="Times New Roman" w:hAnsi="Times New Roman" w:eastAsia="宋体" w:cs="Times New Roman"/>
          <w:sz w:val="24"/>
        </w:rPr>
        <w:t>1.本项目运营过程中无生产废水，生活污水经预处理后排入无为城东工业园污水收集系统处理，污水接管浓度可执行《污水综合排放标准》(GB8978-1996)表4中三级标准。</w:t>
      </w:r>
    </w:p>
    <w:p>
      <w:pPr>
        <w:ind w:firstLine="480" w:firstLineChars="200"/>
        <w:rPr>
          <w:rFonts w:hint="eastAsia" w:ascii="Times New Roman" w:hAnsi="Times New Roman" w:eastAsia="宋体" w:cs="Times New Roman"/>
          <w:sz w:val="24"/>
        </w:rPr>
      </w:pPr>
      <w:r>
        <w:rPr>
          <w:rFonts w:hint="eastAsia" w:ascii="Times New Roman" w:hAnsi="Times New Roman" w:eastAsia="宋体" w:cs="Times New Roman"/>
          <w:sz w:val="24"/>
        </w:rPr>
        <w:t>2.甲苯、非甲烷总烃及TSP等排放执行《大气污染物综合排放标准》(GB16297-1996)表2中有组织及无组织排放监控浓度限值；乙酸乙酯参照执行《工业场所有害因素职业接触限值》(GBZ2-2002)的相关规定。</w:t>
      </w:r>
    </w:p>
    <w:p>
      <w:pPr>
        <w:ind w:firstLine="480" w:firstLineChars="200"/>
        <w:rPr>
          <w:rFonts w:ascii="Times New Roman" w:hAnsi="Times New Roman" w:eastAsia="宋体" w:cs="Times New Roman"/>
          <w:color w:val="auto"/>
          <w:sz w:val="24"/>
          <w:highlight w:val="none"/>
        </w:rPr>
      </w:pPr>
      <w:r>
        <w:rPr>
          <w:rFonts w:hint="eastAsia" w:ascii="Times New Roman" w:hAnsi="Times New Roman" w:eastAsia="宋体" w:cs="Times New Roman"/>
          <w:sz w:val="24"/>
        </w:rPr>
        <w:t>3.施工期场界噪声排放执行《建筑施工场界环境噪声排放标准》(GB12523-2011)；运营期厂界东侧、北侧噪声排放执行《工业企业厂界环境噪声排放标准》(GB12348-2008)声功能区4类排放限值，其他两侧噪声排放执行《工业企业厂界环境噪声排放标准》(GB12348-2008)声功能区3类排放限值。</w:t>
      </w:r>
    </w:p>
    <w:p>
      <w:pPr>
        <w:ind w:firstLine="480" w:firstLineChars="200"/>
        <w:rPr>
          <w:rFonts w:hint="eastAsia" w:ascii="Times New Roman" w:hAnsi="Times New Roman" w:eastAsia="宋体" w:cs="Times New Roman"/>
          <w:sz w:val="24"/>
        </w:rPr>
      </w:pPr>
      <w:r>
        <w:rPr>
          <w:rFonts w:hint="eastAsia" w:ascii="Times New Roman" w:hAnsi="Times New Roman" w:eastAsia="宋体" w:cs="Times New Roman"/>
          <w:sz w:val="24"/>
        </w:rPr>
        <w:t>4.一般工业废物执行《一般工业固体废物贮存、处置场污染控制标准》(GB18599-2001)及其修改单要求；危险废物处理处置执行《危险废物贮存污染控制标准》(GB18597-2001)及其修改单要求，固废危险性鉴别执行《国家危险废物名录》(环境保护部，2016版)和《危险废物鉴别标准》(GB5085-2007)。</w:t>
      </w:r>
    </w:p>
    <w:p>
      <w:pPr>
        <w:ind w:firstLine="480" w:firstLineChars="200"/>
        <w:rPr>
          <w:rFonts w:hint="eastAsia" w:ascii="Times New Roman" w:hAnsi="Times New Roman" w:eastAsia="宋体" w:cs="Times New Roman"/>
          <w:sz w:val="24"/>
        </w:rPr>
      </w:pPr>
      <w:r>
        <w:rPr>
          <w:rFonts w:hint="eastAsia" w:ascii="Times New Roman" w:hAnsi="Times New Roman" w:eastAsia="宋体" w:cs="Times New Roman"/>
          <w:sz w:val="24"/>
        </w:rPr>
        <w:t>四、项目施工、运营过程中应做好如下工作：</w:t>
      </w:r>
    </w:p>
    <w:p>
      <w:pPr>
        <w:ind w:firstLine="480" w:firstLineChars="200"/>
        <w:rPr>
          <w:rFonts w:hint="eastAsia" w:ascii="Times New Roman" w:hAnsi="Times New Roman" w:eastAsia="宋体" w:cs="Times New Roman"/>
          <w:sz w:val="24"/>
        </w:rPr>
      </w:pPr>
      <w:r>
        <w:rPr>
          <w:rFonts w:hint="eastAsia" w:ascii="Times New Roman" w:hAnsi="Times New Roman" w:eastAsia="宋体" w:cs="Times New Roman"/>
          <w:sz w:val="24"/>
        </w:rPr>
        <w:t>1.厂区应建设雨污分流系统，生活污水经预处理后排入园区污水管网。建设中做好与无为城东工业园区污水收集管网配套、衔接工作；工艺冷却水循环使用不外排。</w:t>
      </w:r>
    </w:p>
    <w:p>
      <w:pPr>
        <w:ind w:firstLine="480" w:firstLineChars="200"/>
        <w:rPr>
          <w:rFonts w:hint="eastAsia" w:ascii="Times New Roman" w:hAnsi="Times New Roman" w:eastAsia="宋体" w:cs="Times New Roman"/>
          <w:sz w:val="24"/>
        </w:rPr>
      </w:pPr>
      <w:r>
        <w:rPr>
          <w:rFonts w:hint="eastAsia" w:ascii="Times New Roman" w:hAnsi="Times New Roman" w:eastAsia="宋体" w:cs="Times New Roman"/>
          <w:sz w:val="24"/>
        </w:rPr>
        <w:t>2.严格落实施工期噪声、扬尘等各项污染防治措施。</w:t>
      </w:r>
    </w:p>
    <w:p>
      <w:pPr>
        <w:ind w:firstLine="480" w:firstLineChars="200"/>
        <w:rPr>
          <w:rFonts w:hint="eastAsia" w:ascii="Times New Roman" w:hAnsi="Times New Roman" w:eastAsia="宋体" w:cs="Times New Roman"/>
          <w:sz w:val="24"/>
        </w:rPr>
      </w:pPr>
      <w:r>
        <w:rPr>
          <w:rFonts w:hint="eastAsia" w:ascii="Times New Roman" w:hAnsi="Times New Roman" w:eastAsia="宋体" w:cs="Times New Roman"/>
          <w:sz w:val="24"/>
        </w:rPr>
        <w:t>3.每2条胶带生产线共用1套“催化燃烧装置”处理有机废气，有机废气经集气罩收集，“催化燃烧”处理后经15m高排气筒达标排放(6条生产线共设置3套)；加强车间通风，车间顶部设置排风换气装置等措施减少无组织废气的排放。</w:t>
      </w:r>
    </w:p>
    <w:p>
      <w:pPr>
        <w:ind w:firstLine="480" w:firstLineChars="200"/>
        <w:rPr>
          <w:rFonts w:hint="eastAsia" w:ascii="Times New Roman" w:hAnsi="Times New Roman" w:eastAsia="宋体" w:cs="Times New Roman"/>
          <w:sz w:val="24"/>
        </w:rPr>
      </w:pPr>
      <w:r>
        <w:rPr>
          <w:rFonts w:hint="eastAsia" w:ascii="Times New Roman" w:hAnsi="Times New Roman" w:eastAsia="宋体" w:cs="Times New Roman"/>
          <w:sz w:val="24"/>
        </w:rPr>
        <w:t>4.合理安排施工和生产时间，科学设备厂区布局，选用低噪声设备，对高噪声机械采取以减振、隔声等措施，确保厂界噪声排放达标。</w:t>
      </w:r>
    </w:p>
    <w:p>
      <w:pPr>
        <w:ind w:firstLine="480" w:firstLineChars="200"/>
        <w:rPr>
          <w:rFonts w:hint="eastAsia" w:ascii="Times New Roman" w:hAnsi="Times New Roman" w:eastAsia="宋体" w:cs="Times New Roman"/>
          <w:sz w:val="24"/>
        </w:rPr>
      </w:pPr>
      <w:r>
        <w:rPr>
          <w:rFonts w:hint="eastAsia" w:ascii="Times New Roman" w:hAnsi="Times New Roman" w:eastAsia="宋体" w:cs="Times New Roman"/>
          <w:sz w:val="24"/>
        </w:rPr>
        <w:t>5.生活垃圾分类收集后定期交由环卫部门集中处理；规范一般固体废物收集，实现综合利用；对危险废物规范收集后暂存于危险废物贮存场所，做好贮存场所的防雨淋、防渗漏和地面硬化措施，并定期交由有资质单位安全处置。</w:t>
      </w:r>
    </w:p>
    <w:p>
      <w:pPr>
        <w:ind w:firstLine="480" w:firstLineChars="200"/>
        <w:rPr>
          <w:rFonts w:hint="eastAsia" w:ascii="Times New Roman" w:hAnsi="Times New Roman" w:eastAsia="宋体" w:cs="Times New Roman"/>
          <w:sz w:val="24"/>
        </w:rPr>
      </w:pPr>
      <w:r>
        <w:rPr>
          <w:rFonts w:hint="eastAsia" w:ascii="Times New Roman" w:hAnsi="Times New Roman" w:eastAsia="宋体" w:cs="Times New Roman"/>
          <w:sz w:val="24"/>
        </w:rPr>
        <w:t>6.本项目设置100m卫生防护距离，在此防护距离内不得新建人群长期居住的环境敏感建筑物。</w:t>
      </w:r>
    </w:p>
    <w:p>
      <w:pPr>
        <w:ind w:firstLine="480" w:firstLineChars="200"/>
        <w:rPr>
          <w:rFonts w:hint="eastAsia" w:ascii="Times New Roman" w:hAnsi="Times New Roman" w:eastAsia="宋体" w:cs="Times New Roman"/>
          <w:sz w:val="24"/>
        </w:rPr>
      </w:pPr>
      <w:r>
        <w:rPr>
          <w:rFonts w:hint="eastAsia" w:ascii="Times New Roman" w:hAnsi="Times New Roman" w:eastAsia="宋体" w:cs="Times New Roman"/>
          <w:sz w:val="24"/>
        </w:rPr>
        <w:t>7.应强化安全生产管理及安全教育，制订并完善安全生产制度，开展安全生产培训，培养员工规范操作意识；加强厂区防火防渗管理；制定风险事故应急预案，定期演练。</w:t>
      </w:r>
    </w:p>
    <w:p>
      <w:pPr>
        <w:ind w:firstLine="480" w:firstLineChars="200"/>
        <w:rPr>
          <w:rFonts w:hint="eastAsia" w:ascii="Times New Roman" w:hAnsi="Times New Roman" w:eastAsia="宋体" w:cs="Times New Roman"/>
          <w:sz w:val="24"/>
        </w:rPr>
        <w:sectPr>
          <w:footerReference r:id="rId19" w:type="default"/>
          <w:pgSz w:w="11900" w:h="16840"/>
          <w:pgMar w:top="1440" w:right="1800" w:bottom="1440" w:left="1800" w:header="794" w:footer="964" w:gutter="0"/>
          <w:pgNumType w:fmt="decimal"/>
          <w:cols w:space="720" w:num="1"/>
        </w:sectPr>
      </w:pPr>
    </w:p>
    <w:p>
      <w:pPr>
        <w:pStyle w:val="6"/>
        <w:keepNext/>
        <w:keepLines w:val="0"/>
        <w:pageBreakBefore w:val="0"/>
        <w:widowControl w:val="0"/>
        <w:kinsoku/>
        <w:wordWrap/>
        <w:overflowPunct/>
        <w:topLinePunct w:val="0"/>
        <w:autoSpaceDE/>
        <w:autoSpaceDN/>
        <w:bidi w:val="0"/>
        <w:adjustRightInd/>
        <w:snapToGrid/>
        <w:spacing w:beforeLines="0" w:afterLines="0"/>
        <w:textAlignment w:val="auto"/>
        <w:rPr>
          <w:color w:val="auto"/>
          <w:sz w:val="32"/>
          <w:szCs w:val="32"/>
        </w:rPr>
      </w:pPr>
      <w:bookmarkStart w:id="83" w:name="_Toc8611"/>
      <w:r>
        <w:rPr>
          <w:rFonts w:hint="eastAsia"/>
          <w:color w:val="auto"/>
          <w:sz w:val="32"/>
          <w:szCs w:val="32"/>
        </w:rPr>
        <w:t>5.3批复落实情况</w:t>
      </w:r>
      <w:bookmarkEnd w:id="81"/>
      <w:bookmarkEnd w:id="82"/>
      <w:bookmarkEnd w:id="83"/>
    </w:p>
    <w:p>
      <w:pPr>
        <w:ind w:firstLine="480" w:firstLineChars="200"/>
      </w:pPr>
      <w:r>
        <w:t>本项目对环境影响报告书的批复落实情况如表5.</w:t>
      </w:r>
      <w:r>
        <w:rPr>
          <w:rFonts w:hint="eastAsia"/>
        </w:rPr>
        <w:t>3</w:t>
      </w:r>
      <w:r>
        <w:t>-1所示。</w:t>
      </w:r>
    </w:p>
    <w:p>
      <w:pPr>
        <w:jc w:val="center"/>
        <w:rPr>
          <w:rFonts w:hint="eastAsia" w:ascii="Times New Roman" w:hAnsi="Times New Roman" w:eastAsia="黑体" w:cs="Times New Roman"/>
          <w:b w:val="0"/>
          <w:bCs w:val="0"/>
          <w:sz w:val="21"/>
          <w:szCs w:val="21"/>
          <w:lang w:val="en-US" w:eastAsia="zh-CN"/>
        </w:rPr>
      </w:pPr>
      <w:r>
        <w:rPr>
          <w:rFonts w:hint="eastAsia" w:ascii="Times New Roman" w:hAnsi="Times New Roman" w:eastAsia="黑体" w:cs="Times New Roman"/>
          <w:b w:val="0"/>
          <w:bCs w:val="0"/>
          <w:sz w:val="21"/>
          <w:szCs w:val="21"/>
          <w:lang w:val="en-US" w:eastAsia="zh-CN"/>
        </w:rPr>
        <w:t>表5.3-1  环境影响报告书批复要求落实情况</w:t>
      </w:r>
    </w:p>
    <w:tbl>
      <w:tblPr>
        <w:tblStyle w:val="18"/>
        <w:tblW w:w="4999"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716"/>
        <w:gridCol w:w="6865"/>
        <w:gridCol w:w="4637"/>
        <w:gridCol w:w="123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blHeader/>
          <w:jc w:val="center"/>
        </w:trPr>
        <w:tc>
          <w:tcPr>
            <w:tcW w:w="266" w:type="pct"/>
            <w:tcBorders>
              <w:tl2br w:val="nil"/>
              <w:tr2bl w:val="nil"/>
            </w:tcBorders>
            <w:vAlign w:val="center"/>
          </w:tcPr>
          <w:p>
            <w:pPr>
              <w:spacing w:line="240" w:lineRule="auto"/>
              <w:jc w:val="center"/>
              <w:rPr>
                <w:sz w:val="21"/>
                <w:szCs w:val="21"/>
              </w:rPr>
            </w:pPr>
            <w:r>
              <w:rPr>
                <w:sz w:val="21"/>
                <w:szCs w:val="21"/>
              </w:rPr>
              <w:t>序号</w:t>
            </w:r>
          </w:p>
        </w:tc>
        <w:tc>
          <w:tcPr>
            <w:tcW w:w="2551" w:type="pct"/>
            <w:tcBorders>
              <w:tl2br w:val="nil"/>
              <w:tr2bl w:val="nil"/>
            </w:tcBorders>
            <w:vAlign w:val="center"/>
          </w:tcPr>
          <w:p>
            <w:pPr>
              <w:spacing w:line="240" w:lineRule="auto"/>
              <w:jc w:val="center"/>
              <w:rPr>
                <w:sz w:val="21"/>
                <w:szCs w:val="21"/>
              </w:rPr>
            </w:pPr>
            <w:r>
              <w:rPr>
                <w:sz w:val="21"/>
                <w:szCs w:val="21"/>
              </w:rPr>
              <w:t>环评报告书批复要求</w:t>
            </w:r>
          </w:p>
        </w:tc>
        <w:tc>
          <w:tcPr>
            <w:tcW w:w="1723" w:type="pct"/>
            <w:tcBorders>
              <w:tl2br w:val="nil"/>
              <w:tr2bl w:val="nil"/>
            </w:tcBorders>
            <w:vAlign w:val="center"/>
          </w:tcPr>
          <w:p>
            <w:pPr>
              <w:spacing w:line="240" w:lineRule="auto"/>
              <w:jc w:val="center"/>
              <w:rPr>
                <w:sz w:val="21"/>
                <w:szCs w:val="21"/>
              </w:rPr>
            </w:pPr>
            <w:r>
              <w:rPr>
                <w:rFonts w:hint="eastAsia"/>
                <w:sz w:val="21"/>
                <w:szCs w:val="21"/>
              </w:rPr>
              <w:t>实际建设情况</w:t>
            </w:r>
          </w:p>
        </w:tc>
        <w:tc>
          <w:tcPr>
            <w:tcW w:w="458" w:type="pct"/>
            <w:tcBorders>
              <w:tl2br w:val="nil"/>
              <w:tr2bl w:val="nil"/>
            </w:tcBorders>
            <w:vAlign w:val="center"/>
          </w:tcPr>
          <w:p>
            <w:pPr>
              <w:spacing w:line="240" w:lineRule="auto"/>
              <w:jc w:val="center"/>
              <w:rPr>
                <w:sz w:val="21"/>
                <w:szCs w:val="21"/>
              </w:rPr>
            </w:pPr>
            <w:r>
              <w:rPr>
                <w:sz w:val="21"/>
                <w:szCs w:val="21"/>
              </w:rPr>
              <w:t>落实情况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266" w:type="pct"/>
            <w:tcBorders>
              <w:tl2br w:val="nil"/>
              <w:tr2bl w:val="nil"/>
            </w:tcBorders>
            <w:vAlign w:val="center"/>
          </w:tcPr>
          <w:p>
            <w:pPr>
              <w:spacing w:line="240" w:lineRule="auto"/>
              <w:jc w:val="center"/>
              <w:rPr>
                <w:sz w:val="21"/>
                <w:szCs w:val="21"/>
              </w:rPr>
            </w:pPr>
            <w:r>
              <w:rPr>
                <w:sz w:val="21"/>
                <w:szCs w:val="21"/>
              </w:rPr>
              <w:t>1</w:t>
            </w:r>
          </w:p>
        </w:tc>
        <w:tc>
          <w:tcPr>
            <w:tcW w:w="2551" w:type="pct"/>
            <w:tcBorders>
              <w:tl2br w:val="nil"/>
              <w:tr2bl w:val="nil"/>
            </w:tcBorders>
            <w:vAlign w:val="center"/>
          </w:tcPr>
          <w:p>
            <w:pPr>
              <w:spacing w:line="240" w:lineRule="auto"/>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厂区应建设雨污分流系统，生活污水经预处理后排入园区污水管网。建设中做好与无为城东工业园区污水收集管网配套、衔接工作；工艺冷却水循环使用不外排。</w:t>
            </w:r>
          </w:p>
        </w:tc>
        <w:tc>
          <w:tcPr>
            <w:tcW w:w="1723" w:type="pct"/>
            <w:tcBorders>
              <w:tl2br w:val="nil"/>
              <w:tr2bl w:val="nil"/>
            </w:tcBorders>
            <w:vAlign w:val="center"/>
          </w:tcPr>
          <w:p>
            <w:pPr>
              <w:spacing w:line="240" w:lineRule="auto"/>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厂区</w:t>
            </w:r>
            <w:r>
              <w:rPr>
                <w:rFonts w:hint="eastAsia" w:cs="Times New Roman"/>
                <w:color w:val="auto"/>
                <w:sz w:val="21"/>
                <w:szCs w:val="21"/>
                <w:lang w:eastAsia="zh-CN"/>
              </w:rPr>
              <w:t>已</w:t>
            </w:r>
            <w:r>
              <w:rPr>
                <w:rFonts w:hint="eastAsia" w:ascii="Times New Roman" w:hAnsi="Times New Roman" w:eastAsia="宋体" w:cs="Times New Roman"/>
                <w:color w:val="auto"/>
                <w:sz w:val="21"/>
                <w:szCs w:val="21"/>
              </w:rPr>
              <w:t>建设雨污分流系统，生活污水经预处理后排入园区污水管网。工艺冷却水循环使用不外排。</w:t>
            </w:r>
          </w:p>
        </w:tc>
        <w:tc>
          <w:tcPr>
            <w:tcW w:w="458" w:type="pct"/>
            <w:tcBorders>
              <w:tl2br w:val="nil"/>
              <w:tr2bl w:val="nil"/>
            </w:tcBorders>
            <w:vAlign w:val="center"/>
          </w:tcPr>
          <w:p>
            <w:pPr>
              <w:spacing w:line="240" w:lineRule="auto"/>
              <w:jc w:val="center"/>
              <w:rPr>
                <w:sz w:val="21"/>
                <w:szCs w:val="21"/>
              </w:rPr>
            </w:pPr>
            <w:r>
              <w:rPr>
                <w:sz w:val="21"/>
                <w:szCs w:val="21"/>
              </w:rPr>
              <w:t>已落实</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266" w:type="pct"/>
            <w:tcBorders>
              <w:tl2br w:val="nil"/>
              <w:tr2bl w:val="nil"/>
            </w:tcBorders>
            <w:vAlign w:val="center"/>
          </w:tcPr>
          <w:p>
            <w:pPr>
              <w:spacing w:line="240" w:lineRule="auto"/>
              <w:jc w:val="center"/>
              <w:rPr>
                <w:sz w:val="21"/>
                <w:szCs w:val="21"/>
              </w:rPr>
            </w:pPr>
            <w:r>
              <w:rPr>
                <w:sz w:val="21"/>
                <w:szCs w:val="21"/>
              </w:rPr>
              <w:t>2</w:t>
            </w:r>
          </w:p>
        </w:tc>
        <w:tc>
          <w:tcPr>
            <w:tcW w:w="2551" w:type="pct"/>
            <w:tcBorders>
              <w:tl2br w:val="nil"/>
              <w:tr2bl w:val="nil"/>
            </w:tcBorders>
            <w:vAlign w:val="center"/>
          </w:tcPr>
          <w:p>
            <w:pPr>
              <w:spacing w:line="240" w:lineRule="auto"/>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合理安排施工和生产时间，科学设备厂区布局，选用低噪声设备，对高噪声机械采取以减振、隔声等措施，确保厂界噪声排放达标</w:t>
            </w:r>
          </w:p>
        </w:tc>
        <w:tc>
          <w:tcPr>
            <w:tcW w:w="1723" w:type="pct"/>
            <w:tcBorders>
              <w:tl2br w:val="nil"/>
              <w:tr2bl w:val="nil"/>
            </w:tcBorders>
            <w:vAlign w:val="center"/>
          </w:tcPr>
          <w:p>
            <w:pPr>
              <w:spacing w:line="240" w:lineRule="auto"/>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对高噪声机械采取以减振、隔声等措施，确保厂界噪声排放达标</w:t>
            </w:r>
          </w:p>
        </w:tc>
        <w:tc>
          <w:tcPr>
            <w:tcW w:w="458" w:type="pct"/>
            <w:tcBorders>
              <w:tl2br w:val="nil"/>
              <w:tr2bl w:val="nil"/>
            </w:tcBorders>
            <w:vAlign w:val="center"/>
          </w:tcPr>
          <w:p>
            <w:pPr>
              <w:spacing w:line="240" w:lineRule="auto"/>
              <w:jc w:val="center"/>
              <w:rPr>
                <w:sz w:val="21"/>
                <w:szCs w:val="21"/>
              </w:rPr>
            </w:pPr>
            <w:r>
              <w:rPr>
                <w:rFonts w:hint="eastAsia"/>
                <w:sz w:val="21"/>
                <w:szCs w:val="21"/>
              </w:rPr>
              <w:t>已落实</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266" w:type="pct"/>
            <w:tcBorders>
              <w:tl2br w:val="nil"/>
              <w:tr2bl w:val="nil"/>
            </w:tcBorders>
            <w:vAlign w:val="center"/>
          </w:tcPr>
          <w:p>
            <w:pPr>
              <w:spacing w:line="240" w:lineRule="auto"/>
              <w:jc w:val="center"/>
              <w:rPr>
                <w:sz w:val="21"/>
                <w:szCs w:val="21"/>
              </w:rPr>
            </w:pPr>
            <w:r>
              <w:rPr>
                <w:sz w:val="21"/>
                <w:szCs w:val="21"/>
              </w:rPr>
              <w:t>3</w:t>
            </w:r>
          </w:p>
        </w:tc>
        <w:tc>
          <w:tcPr>
            <w:tcW w:w="2551" w:type="pct"/>
            <w:tcBorders>
              <w:tl2br w:val="nil"/>
              <w:tr2bl w:val="nil"/>
            </w:tcBorders>
            <w:vAlign w:val="center"/>
          </w:tcPr>
          <w:p>
            <w:pPr>
              <w:spacing w:line="240" w:lineRule="auto"/>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生活垃圾分类收集后定期交由环卫部门集中处理；规范一般固体废物收集，实现综合利用；对危险废物规范收集后暂存于危险废物贮存场所，做好贮存场所的防雨淋、防渗漏和地面硬化措施，并定期交由有资质单位安全处置。</w:t>
            </w:r>
          </w:p>
        </w:tc>
        <w:tc>
          <w:tcPr>
            <w:tcW w:w="1723" w:type="pct"/>
            <w:tcBorders>
              <w:tl2br w:val="nil"/>
              <w:tr2bl w:val="nil"/>
            </w:tcBorders>
            <w:vAlign w:val="center"/>
          </w:tcPr>
          <w:p>
            <w:pPr>
              <w:spacing w:line="240" w:lineRule="auto"/>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rPr>
              <w:t>生活垃圾分类收集后定期交由环卫部门集中处理；对危险废物规范收集后暂存于危险废物贮存场所</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rPr>
              <w:t>并定期交由有资质单位安全处置</w:t>
            </w:r>
          </w:p>
        </w:tc>
        <w:tc>
          <w:tcPr>
            <w:tcW w:w="458" w:type="pct"/>
            <w:tcBorders>
              <w:tl2br w:val="nil"/>
              <w:tr2bl w:val="nil"/>
            </w:tcBorders>
            <w:vAlign w:val="center"/>
          </w:tcPr>
          <w:p>
            <w:pPr>
              <w:spacing w:line="240" w:lineRule="auto"/>
              <w:jc w:val="center"/>
              <w:rPr>
                <w:sz w:val="21"/>
                <w:szCs w:val="21"/>
              </w:rPr>
            </w:pPr>
            <w:r>
              <w:rPr>
                <w:rFonts w:hint="eastAsia"/>
                <w:sz w:val="21"/>
                <w:szCs w:val="21"/>
              </w:rPr>
              <w:t>已落实</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266" w:type="pct"/>
            <w:tcBorders>
              <w:tl2br w:val="nil"/>
              <w:tr2bl w:val="nil"/>
            </w:tcBorders>
            <w:vAlign w:val="center"/>
          </w:tcPr>
          <w:p>
            <w:pPr>
              <w:spacing w:line="240" w:lineRule="auto"/>
              <w:jc w:val="center"/>
              <w:rPr>
                <w:sz w:val="21"/>
                <w:szCs w:val="21"/>
              </w:rPr>
            </w:pPr>
            <w:r>
              <w:rPr>
                <w:rFonts w:hint="eastAsia"/>
                <w:sz w:val="21"/>
                <w:szCs w:val="21"/>
              </w:rPr>
              <w:t>4</w:t>
            </w:r>
          </w:p>
        </w:tc>
        <w:tc>
          <w:tcPr>
            <w:tcW w:w="2551" w:type="pct"/>
            <w:tcBorders>
              <w:tl2br w:val="nil"/>
              <w:tr2bl w:val="nil"/>
            </w:tcBorders>
            <w:vAlign w:val="center"/>
          </w:tcPr>
          <w:p>
            <w:pPr>
              <w:spacing w:line="240" w:lineRule="auto"/>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本项目设置100m卫生防护距离，在此防护距离内不得新建人群长期居住的环境敏感建筑物</w:t>
            </w:r>
          </w:p>
        </w:tc>
        <w:tc>
          <w:tcPr>
            <w:tcW w:w="1723" w:type="pct"/>
            <w:tcBorders>
              <w:tl2br w:val="nil"/>
              <w:tr2bl w:val="nil"/>
            </w:tcBorders>
            <w:vAlign w:val="center"/>
          </w:tcPr>
          <w:p>
            <w:pPr>
              <w:spacing w:line="240" w:lineRule="auto"/>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本项目设置100m卫生防护距离，在此防护距离内</w:t>
            </w:r>
            <w:r>
              <w:rPr>
                <w:rFonts w:hint="eastAsia" w:ascii="Times New Roman" w:hAnsi="Times New Roman" w:eastAsia="宋体" w:cs="Times New Roman"/>
                <w:color w:val="auto"/>
                <w:sz w:val="21"/>
                <w:szCs w:val="21"/>
                <w:lang w:eastAsia="zh-CN"/>
              </w:rPr>
              <w:t>没有</w:t>
            </w:r>
            <w:r>
              <w:rPr>
                <w:rFonts w:hint="eastAsia" w:ascii="Times New Roman" w:hAnsi="Times New Roman" w:eastAsia="宋体" w:cs="Times New Roman"/>
                <w:color w:val="auto"/>
                <w:sz w:val="21"/>
                <w:szCs w:val="21"/>
              </w:rPr>
              <w:t>新建人群长期居住的环境敏感建筑物</w:t>
            </w:r>
          </w:p>
        </w:tc>
        <w:tc>
          <w:tcPr>
            <w:tcW w:w="458" w:type="pct"/>
            <w:tcBorders>
              <w:tl2br w:val="nil"/>
              <w:tr2bl w:val="nil"/>
            </w:tcBorders>
            <w:vAlign w:val="center"/>
          </w:tcPr>
          <w:p>
            <w:pPr>
              <w:spacing w:line="240" w:lineRule="auto"/>
              <w:jc w:val="center"/>
              <w:rPr>
                <w:sz w:val="21"/>
                <w:szCs w:val="21"/>
              </w:rPr>
            </w:pPr>
            <w:r>
              <w:rPr>
                <w:rFonts w:hint="eastAsia"/>
                <w:sz w:val="21"/>
                <w:szCs w:val="21"/>
              </w:rPr>
              <w:t>已落实</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789" w:hRule="atLeast"/>
          <w:jc w:val="center"/>
        </w:trPr>
        <w:tc>
          <w:tcPr>
            <w:tcW w:w="266" w:type="pct"/>
            <w:tcBorders>
              <w:tl2br w:val="nil"/>
              <w:tr2bl w:val="nil"/>
            </w:tcBorders>
            <w:vAlign w:val="center"/>
          </w:tcPr>
          <w:p>
            <w:pPr>
              <w:spacing w:line="240" w:lineRule="auto"/>
              <w:jc w:val="center"/>
              <w:rPr>
                <w:sz w:val="21"/>
                <w:szCs w:val="21"/>
              </w:rPr>
            </w:pPr>
            <w:r>
              <w:rPr>
                <w:rFonts w:hint="eastAsia"/>
                <w:sz w:val="21"/>
                <w:szCs w:val="21"/>
              </w:rPr>
              <w:t>5</w:t>
            </w:r>
          </w:p>
        </w:tc>
        <w:tc>
          <w:tcPr>
            <w:tcW w:w="2551" w:type="pct"/>
            <w:tcBorders>
              <w:tl2br w:val="nil"/>
              <w:tr2bl w:val="nil"/>
            </w:tcBorders>
            <w:vAlign w:val="center"/>
          </w:tcPr>
          <w:p>
            <w:pPr>
              <w:spacing w:line="240" w:lineRule="auto"/>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应强化安全生产管理及安全教育，制订并完善安全生产制度，开展安全生产培训，培养员工规范操作意识；加强厂区防火防渗管理；制定风险事故应急预案，定期演练。</w:t>
            </w:r>
          </w:p>
        </w:tc>
        <w:tc>
          <w:tcPr>
            <w:tcW w:w="1723" w:type="pct"/>
            <w:tcBorders>
              <w:tl2br w:val="nil"/>
              <w:tr2bl w:val="nil"/>
            </w:tcBorders>
            <w:vAlign w:val="center"/>
          </w:tcPr>
          <w:p>
            <w:pPr>
              <w:spacing w:line="240" w:lineRule="auto"/>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强化安全生产管理及安全教育，制订完善安全生产制度，开展安全生产培训，培养员工规范操作意识；加强厂区防火防渗管理；制定风险事故应急预案</w:t>
            </w:r>
            <w:r>
              <w:rPr>
                <w:rFonts w:hint="eastAsia" w:cs="Times New Roman"/>
                <w:color w:val="auto"/>
                <w:sz w:val="21"/>
                <w:szCs w:val="21"/>
                <w:lang w:eastAsia="zh-CN"/>
              </w:rPr>
              <w:t>（新版应急预案正在编制中）</w:t>
            </w:r>
            <w:r>
              <w:rPr>
                <w:rFonts w:hint="eastAsia" w:ascii="Times New Roman" w:hAnsi="Times New Roman" w:eastAsia="宋体" w:cs="Times New Roman"/>
                <w:color w:val="auto"/>
                <w:sz w:val="21"/>
                <w:szCs w:val="21"/>
              </w:rPr>
              <w:t>，定期</w:t>
            </w:r>
            <w:r>
              <w:rPr>
                <w:rFonts w:hint="eastAsia" w:ascii="Times New Roman" w:hAnsi="Times New Roman" w:eastAsia="宋体" w:cs="Times New Roman"/>
                <w:color w:val="auto"/>
                <w:sz w:val="21"/>
                <w:szCs w:val="21"/>
                <w:lang w:eastAsia="zh-CN"/>
              </w:rPr>
              <w:t>进行</w:t>
            </w:r>
            <w:r>
              <w:rPr>
                <w:rFonts w:hint="eastAsia" w:ascii="Times New Roman" w:hAnsi="Times New Roman" w:eastAsia="宋体" w:cs="Times New Roman"/>
                <w:color w:val="auto"/>
                <w:sz w:val="21"/>
                <w:szCs w:val="21"/>
              </w:rPr>
              <w:t>演练。</w:t>
            </w:r>
          </w:p>
        </w:tc>
        <w:tc>
          <w:tcPr>
            <w:tcW w:w="458" w:type="pct"/>
            <w:tcBorders>
              <w:tl2br w:val="nil"/>
              <w:tr2bl w:val="nil"/>
            </w:tcBorders>
            <w:vAlign w:val="center"/>
          </w:tcPr>
          <w:p>
            <w:pPr>
              <w:spacing w:line="240" w:lineRule="auto"/>
              <w:jc w:val="center"/>
              <w:rPr>
                <w:rFonts w:hint="default" w:eastAsia="宋体"/>
                <w:sz w:val="21"/>
                <w:szCs w:val="21"/>
                <w:lang w:val="en-US" w:eastAsia="zh-CN"/>
              </w:rPr>
            </w:pPr>
            <w:r>
              <w:rPr>
                <w:rFonts w:hint="eastAsia"/>
                <w:sz w:val="21"/>
                <w:szCs w:val="21"/>
                <w:lang w:eastAsia="zh-CN"/>
              </w:rPr>
              <w:t>最</w:t>
            </w:r>
            <w:r>
              <w:rPr>
                <w:rFonts w:hint="eastAsia"/>
                <w:sz w:val="21"/>
                <w:szCs w:val="21"/>
                <w:lang w:val="en-US" w:eastAsia="zh-CN"/>
              </w:rPr>
              <w:t xml:space="preserve">已落实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266" w:type="pct"/>
            <w:tcBorders>
              <w:tl2br w:val="nil"/>
              <w:tr2bl w:val="nil"/>
            </w:tcBorders>
            <w:vAlign w:val="center"/>
          </w:tcPr>
          <w:p>
            <w:pPr>
              <w:spacing w:line="240" w:lineRule="auto"/>
              <w:jc w:val="center"/>
              <w:rPr>
                <w:sz w:val="21"/>
                <w:szCs w:val="21"/>
              </w:rPr>
            </w:pPr>
            <w:r>
              <w:rPr>
                <w:rFonts w:hint="eastAsia"/>
                <w:sz w:val="21"/>
                <w:szCs w:val="21"/>
              </w:rPr>
              <w:t>6</w:t>
            </w:r>
          </w:p>
        </w:tc>
        <w:tc>
          <w:tcPr>
            <w:tcW w:w="2551" w:type="pct"/>
            <w:tcBorders>
              <w:tl2br w:val="nil"/>
              <w:tr2bl w:val="nil"/>
            </w:tcBorders>
            <w:vAlign w:val="center"/>
          </w:tcPr>
          <w:p>
            <w:pPr>
              <w:spacing w:line="240" w:lineRule="auto"/>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每2条胶带生产线共用1套“催化燃烧装置”处理有机废气，有机废气经集气罩收集，“催化燃烧”处理后经15m高排气筒达标排放(6条生产线共设置3套)；加强车间通风，车间顶部设置排风换气装置等措施减少无组织废气的排放。</w:t>
            </w:r>
          </w:p>
        </w:tc>
        <w:tc>
          <w:tcPr>
            <w:tcW w:w="1723" w:type="pct"/>
            <w:tcBorders>
              <w:tl2br w:val="nil"/>
              <w:tr2bl w:val="nil"/>
            </w:tcBorders>
            <w:vAlign w:val="center"/>
          </w:tcPr>
          <w:p>
            <w:pPr>
              <w:spacing w:line="240" w:lineRule="auto"/>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每</w:t>
            </w:r>
            <w:r>
              <w:rPr>
                <w:rFonts w:hint="eastAsia" w:ascii="Times New Roman" w:hAnsi="Times New Roman" w:eastAsia="宋体" w:cs="Times New Roman"/>
                <w:color w:val="auto"/>
                <w:sz w:val="21"/>
                <w:szCs w:val="21"/>
                <w:lang w:val="en-US" w:eastAsia="zh-CN"/>
              </w:rPr>
              <w:t>3</w:t>
            </w:r>
            <w:r>
              <w:rPr>
                <w:rFonts w:hint="eastAsia" w:ascii="Times New Roman" w:hAnsi="Times New Roman" w:eastAsia="宋体" w:cs="Times New Roman"/>
                <w:color w:val="auto"/>
                <w:sz w:val="21"/>
                <w:szCs w:val="21"/>
              </w:rPr>
              <w:t>条胶带生产线共用1套</w:t>
            </w:r>
            <w:r>
              <w:rPr>
                <w:rFonts w:ascii="Times New Roman" w:hAnsi="Times New Roman" w:eastAsia="宋体" w:cs="Times New Roman"/>
                <w:kern w:val="2"/>
                <w:sz w:val="21"/>
                <w:szCs w:val="21"/>
                <w:lang w:eastAsia="zh-CN"/>
              </w:rPr>
              <w:t>蓄热式热氧化炉及热回收成套设备</w:t>
            </w:r>
            <w:r>
              <w:rPr>
                <w:rFonts w:hint="eastAsia" w:cs="Times New Roman"/>
                <w:kern w:val="2"/>
                <w:sz w:val="21"/>
                <w:szCs w:val="21"/>
                <w:lang w:eastAsia="zh-CN"/>
              </w:rPr>
              <w:t>处理</w:t>
            </w:r>
            <w:r>
              <w:rPr>
                <w:rFonts w:hint="eastAsia" w:ascii="Times New Roman" w:hAnsi="Times New Roman" w:eastAsia="宋体" w:cs="Times New Roman"/>
                <w:color w:val="auto"/>
                <w:sz w:val="21"/>
                <w:szCs w:val="21"/>
              </w:rPr>
              <w:t>，有机废气经集气罩收集处理后经15m高排气筒达标排放(6条生产线共设置</w:t>
            </w:r>
            <w:r>
              <w:rPr>
                <w:rFonts w:hint="eastAsia" w:ascii="Times New Roman" w:hAnsi="Times New Roman" w:eastAsia="宋体" w:cs="Times New Roman"/>
                <w:color w:val="auto"/>
                <w:sz w:val="21"/>
                <w:szCs w:val="21"/>
                <w:lang w:val="en-US" w:eastAsia="zh-CN"/>
              </w:rPr>
              <w:t>2</w:t>
            </w:r>
            <w:r>
              <w:rPr>
                <w:rFonts w:hint="eastAsia" w:ascii="Times New Roman" w:hAnsi="Times New Roman" w:eastAsia="宋体" w:cs="Times New Roman"/>
                <w:color w:val="auto"/>
                <w:sz w:val="21"/>
                <w:szCs w:val="21"/>
              </w:rPr>
              <w:t>套)；加强车间通风，车间顶部设置排风换气装置等措施减少无组织废气的排放</w:t>
            </w:r>
          </w:p>
        </w:tc>
        <w:tc>
          <w:tcPr>
            <w:tcW w:w="458" w:type="pct"/>
            <w:tcBorders>
              <w:tl2br w:val="nil"/>
              <w:tr2bl w:val="nil"/>
            </w:tcBorders>
            <w:vAlign w:val="center"/>
          </w:tcPr>
          <w:p>
            <w:pPr>
              <w:spacing w:line="240" w:lineRule="auto"/>
              <w:jc w:val="center"/>
              <w:rPr>
                <w:rFonts w:hint="eastAsia" w:eastAsia="宋体"/>
                <w:sz w:val="21"/>
                <w:szCs w:val="21"/>
                <w:lang w:eastAsia="zh-CN"/>
              </w:rPr>
            </w:pPr>
            <w:r>
              <w:rPr>
                <w:rFonts w:hint="eastAsia"/>
                <w:color w:val="auto"/>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266" w:type="pct"/>
            <w:tcBorders>
              <w:tl2br w:val="nil"/>
              <w:tr2bl w:val="nil"/>
            </w:tcBorders>
            <w:vAlign w:val="center"/>
          </w:tcPr>
          <w:p>
            <w:pPr>
              <w:spacing w:line="240" w:lineRule="auto"/>
              <w:jc w:val="center"/>
              <w:rPr>
                <w:sz w:val="21"/>
                <w:szCs w:val="21"/>
              </w:rPr>
            </w:pPr>
            <w:r>
              <w:rPr>
                <w:rFonts w:hint="eastAsia"/>
                <w:sz w:val="21"/>
                <w:szCs w:val="21"/>
              </w:rPr>
              <w:t>7</w:t>
            </w:r>
          </w:p>
        </w:tc>
        <w:tc>
          <w:tcPr>
            <w:tcW w:w="2551" w:type="pct"/>
            <w:tcBorders>
              <w:tl2br w:val="nil"/>
              <w:tr2bl w:val="nil"/>
            </w:tcBorders>
            <w:vAlign w:val="center"/>
          </w:tcPr>
          <w:p>
            <w:pPr>
              <w:spacing w:line="240" w:lineRule="auto"/>
              <w:jc w:val="center"/>
              <w:rPr>
                <w:color w:val="auto"/>
                <w:sz w:val="21"/>
                <w:szCs w:val="21"/>
              </w:rPr>
            </w:pPr>
            <w:r>
              <w:rPr>
                <w:rFonts w:hint="eastAsia"/>
                <w:color w:val="auto"/>
                <w:sz w:val="21"/>
                <w:szCs w:val="21"/>
              </w:rPr>
              <w:t>建立完善的企业自行环境监测制度，自行环境监测须作为项目污染物排放末端环境控制手段之一，切实落实《报告书》所述自行环境监测计划。</w:t>
            </w:r>
          </w:p>
        </w:tc>
        <w:tc>
          <w:tcPr>
            <w:tcW w:w="1723" w:type="pct"/>
            <w:tcBorders>
              <w:tl2br w:val="nil"/>
              <w:tr2bl w:val="nil"/>
            </w:tcBorders>
            <w:vAlign w:val="center"/>
          </w:tcPr>
          <w:p>
            <w:pPr>
              <w:spacing w:line="240" w:lineRule="auto"/>
              <w:jc w:val="center"/>
              <w:rPr>
                <w:rFonts w:hint="eastAsia" w:eastAsia="宋体"/>
                <w:sz w:val="21"/>
                <w:szCs w:val="21"/>
                <w:lang w:val="en-US" w:eastAsia="zh-CN"/>
              </w:rPr>
            </w:pPr>
            <w:r>
              <w:rPr>
                <w:rFonts w:hint="eastAsia"/>
                <w:sz w:val="21"/>
                <w:szCs w:val="21"/>
              </w:rPr>
              <w:t>项目已建立完善的企业自行监测制度并按照排污许可证自行监测方案开展</w:t>
            </w:r>
            <w:r>
              <w:rPr>
                <w:rFonts w:hint="eastAsia"/>
                <w:sz w:val="21"/>
                <w:szCs w:val="21"/>
                <w:lang w:val="en-US" w:eastAsia="zh-CN"/>
              </w:rPr>
              <w:t>监测</w:t>
            </w:r>
          </w:p>
        </w:tc>
        <w:tc>
          <w:tcPr>
            <w:tcW w:w="458" w:type="pct"/>
            <w:tcBorders>
              <w:tl2br w:val="nil"/>
              <w:tr2bl w:val="nil"/>
            </w:tcBorders>
            <w:vAlign w:val="center"/>
          </w:tcPr>
          <w:p>
            <w:pPr>
              <w:spacing w:line="240" w:lineRule="auto"/>
              <w:jc w:val="center"/>
              <w:rPr>
                <w:sz w:val="21"/>
                <w:szCs w:val="21"/>
              </w:rPr>
            </w:pPr>
            <w:r>
              <w:rPr>
                <w:rFonts w:hint="eastAsia"/>
                <w:sz w:val="21"/>
                <w:szCs w:val="21"/>
              </w:rPr>
              <w:t>已落实</w:t>
            </w:r>
          </w:p>
        </w:tc>
      </w:tr>
    </w:tbl>
    <w:p>
      <w:pPr>
        <w:pStyle w:val="21"/>
        <w:sectPr>
          <w:footerReference r:id="rId20" w:type="default"/>
          <w:pgSz w:w="16838" w:h="11906" w:orient="landscape"/>
          <w:pgMar w:top="1440" w:right="1800" w:bottom="1440" w:left="1800" w:header="794" w:footer="992" w:gutter="0"/>
          <w:pgNumType w:fmt="decimal"/>
          <w:cols w:space="425" w:num="1"/>
          <w:docGrid w:type="lines" w:linePitch="312" w:charSpace="0"/>
        </w:sectPr>
      </w:pPr>
    </w:p>
    <w:p>
      <w:pPr>
        <w:pStyle w:val="5"/>
        <w:keepNext/>
        <w:keepLines/>
        <w:pageBreakBefore w:val="0"/>
        <w:widowControl w:val="0"/>
        <w:kinsoku/>
        <w:wordWrap/>
        <w:overflowPunct/>
        <w:topLinePunct w:val="0"/>
        <w:autoSpaceDE/>
        <w:autoSpaceDN/>
        <w:bidi w:val="0"/>
        <w:adjustRightInd/>
        <w:snapToGrid/>
        <w:spacing w:beforeLines="0" w:afterLines="0"/>
        <w:textAlignment w:val="auto"/>
        <w:rPr>
          <w:sz w:val="36"/>
          <w:szCs w:val="36"/>
        </w:rPr>
      </w:pPr>
      <w:bookmarkStart w:id="84" w:name="_Toc18294"/>
      <w:bookmarkStart w:id="85" w:name="_Toc22541"/>
      <w:bookmarkStart w:id="86" w:name="_Toc15560"/>
      <w:r>
        <w:rPr>
          <w:rFonts w:hint="eastAsia"/>
          <w:sz w:val="36"/>
          <w:szCs w:val="36"/>
        </w:rPr>
        <w:t>6验收执行标准</w:t>
      </w:r>
      <w:bookmarkEnd w:id="84"/>
      <w:bookmarkEnd w:id="85"/>
      <w:bookmarkEnd w:id="86"/>
    </w:p>
    <w:p>
      <w:pPr>
        <w:ind w:firstLine="480" w:firstLineChars="200"/>
      </w:pPr>
      <w:r>
        <w:t>根据本项目环评及其批复要求，确认本次竣工环境保护验收监测污染物排放执行下列标准。</w:t>
      </w:r>
    </w:p>
    <w:p>
      <w:pPr>
        <w:keepNext w:val="0"/>
        <w:keepLines w:val="0"/>
        <w:pageBreakBefore w:val="0"/>
        <w:widowControl w:val="0"/>
        <w:kinsoku/>
        <w:wordWrap/>
        <w:overflowPunct/>
        <w:topLinePunct w:val="0"/>
        <w:autoSpaceDE/>
        <w:autoSpaceDN/>
        <w:bidi w:val="0"/>
        <w:adjustRightInd/>
        <w:snapToGrid/>
        <w:textAlignment w:val="auto"/>
        <w:outlineLvl w:val="1"/>
        <w:rPr>
          <w:b/>
          <w:bCs/>
          <w:sz w:val="32"/>
          <w:szCs w:val="32"/>
        </w:rPr>
      </w:pPr>
      <w:bookmarkStart w:id="87" w:name="_Toc14517"/>
      <w:r>
        <w:rPr>
          <w:rFonts w:hint="eastAsia"/>
          <w:b/>
          <w:bCs/>
          <w:sz w:val="32"/>
          <w:szCs w:val="32"/>
        </w:rPr>
        <w:t>6.1废气</w:t>
      </w:r>
      <w:bookmarkEnd w:id="87"/>
    </w:p>
    <w:p>
      <w:pPr>
        <w:ind w:firstLine="480" w:firstLineChars="200"/>
        <w:rPr>
          <w:rFonts w:ascii="Times New Roman" w:hAnsi="Times New Roman" w:eastAsia="宋体" w:cs="Times New Roman"/>
        </w:rPr>
      </w:pPr>
      <w:r>
        <w:rPr>
          <w:rFonts w:ascii="Times New Roman" w:hAnsi="Times New Roman" w:eastAsia="宋体" w:cs="Times New Roman"/>
        </w:rPr>
        <w:t>废气主要为颗粒物、甲苯、乙酸乙酯和非甲烷总烃等。颗粒物、甲苯和非甲烷总烃执行《大气污染物综合排放标准》(GB16297-1996)</w:t>
      </w:r>
      <w:r>
        <w:rPr>
          <w:rFonts w:hint="eastAsia" w:cs="Times New Roman"/>
          <w:lang w:val="en-US" w:eastAsia="zh-CN"/>
        </w:rPr>
        <w:t>新污染源二级</w:t>
      </w:r>
      <w:r>
        <w:rPr>
          <w:rFonts w:ascii="Times New Roman" w:hAnsi="Times New Roman" w:eastAsia="宋体" w:cs="Times New Roman"/>
        </w:rPr>
        <w:t>标准；乙酸乙酯参考执行GBZ2-2002《工作场所有害因素职业接触限值》。</w:t>
      </w:r>
    </w:p>
    <w:p>
      <w:pPr>
        <w:jc w:val="center"/>
        <w:rPr>
          <w:rFonts w:hint="eastAsia" w:ascii="Times New Roman" w:hAnsi="Times New Roman" w:eastAsia="黑体" w:cs="Times New Roman"/>
          <w:b w:val="0"/>
          <w:bCs w:val="0"/>
          <w:sz w:val="21"/>
          <w:szCs w:val="21"/>
          <w:lang w:val="en-US" w:eastAsia="zh-CN"/>
        </w:rPr>
      </w:pPr>
      <w:r>
        <w:rPr>
          <w:rFonts w:hint="eastAsia" w:ascii="Times New Roman" w:hAnsi="Times New Roman" w:eastAsia="黑体" w:cs="Times New Roman"/>
          <w:b w:val="0"/>
          <w:bCs w:val="0"/>
          <w:sz w:val="21"/>
          <w:szCs w:val="21"/>
          <w:lang w:val="en-US" w:eastAsia="zh-CN"/>
        </w:rPr>
        <w:t>表6.1-1大气污染物排放限值</w:t>
      </w:r>
    </w:p>
    <w:tbl>
      <w:tblPr>
        <w:tblStyle w:val="26"/>
        <w:tblW w:w="4998"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297"/>
        <w:gridCol w:w="1600"/>
        <w:gridCol w:w="1322"/>
        <w:gridCol w:w="1473"/>
        <w:gridCol w:w="261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9" w:hRule="atLeast"/>
          <w:jc w:val="center"/>
        </w:trPr>
        <w:tc>
          <w:tcPr>
            <w:tcW w:w="781" w:type="pct"/>
            <w:vMerge w:val="restart"/>
            <w:tcBorders>
              <w:left w:val="nil"/>
              <w:bottom w:val="nil"/>
            </w:tcBorders>
            <w:vAlign w:val="center"/>
          </w:tcPr>
          <w:p>
            <w:pPr>
              <w:spacing w:line="240" w:lineRule="auto"/>
              <w:jc w:val="center"/>
              <w:rPr>
                <w:rFonts w:ascii="Times New Roman" w:hAnsi="Times New Roman" w:eastAsia="宋体" w:cs="Times New Roman"/>
                <w:sz w:val="21"/>
                <w:szCs w:val="21"/>
              </w:rPr>
            </w:pPr>
            <w:r>
              <w:rPr>
                <w:rFonts w:ascii="Times New Roman" w:hAnsi="Times New Roman" w:eastAsia="宋体" w:cs="Times New Roman"/>
                <w:sz w:val="21"/>
                <w:szCs w:val="21"/>
              </w:rPr>
              <w:t>污染物名称</w:t>
            </w:r>
          </w:p>
        </w:tc>
        <w:tc>
          <w:tcPr>
            <w:tcW w:w="963" w:type="pct"/>
            <w:vMerge w:val="restart"/>
            <w:tcBorders>
              <w:bottom w:val="nil"/>
            </w:tcBorders>
            <w:vAlign w:val="center"/>
          </w:tcPr>
          <w:p>
            <w:pPr>
              <w:spacing w:line="240" w:lineRule="auto"/>
              <w:jc w:val="center"/>
              <w:rPr>
                <w:rFonts w:hint="eastAsia" w:ascii="Times New Roman" w:hAnsi="Times New Roman" w:eastAsia="宋体" w:cs="Times New Roman"/>
                <w:sz w:val="21"/>
                <w:szCs w:val="21"/>
                <w:lang w:eastAsia="zh-CN"/>
              </w:rPr>
            </w:pPr>
            <w:r>
              <w:rPr>
                <w:rFonts w:ascii="Times New Roman" w:hAnsi="Times New Roman" w:eastAsia="宋体" w:cs="Times New Roman"/>
                <w:sz w:val="21"/>
                <w:szCs w:val="21"/>
              </w:rPr>
              <w:t>排放浓度</w:t>
            </w:r>
            <w:r>
              <w:rPr>
                <w:rFonts w:hint="eastAsia" w:ascii="Times New Roman" w:hAnsi="Times New Roman" w:eastAsia="宋体" w:cs="Times New Roman"/>
                <w:sz w:val="21"/>
                <w:szCs w:val="21"/>
                <w:lang w:eastAsia="zh-CN"/>
              </w:rPr>
              <w:t>（</w:t>
            </w:r>
            <w:r>
              <w:rPr>
                <w:rFonts w:hint="eastAsia" w:ascii="Times New Roman" w:hAnsi="Times New Roman" w:eastAsia="宋体" w:cs="Times New Roman"/>
                <w:sz w:val="21"/>
                <w:szCs w:val="21"/>
                <w:lang w:val="en-US" w:eastAsia="zh-CN"/>
              </w:rPr>
              <w:t>mg/m</w:t>
            </w:r>
            <w:r>
              <w:rPr>
                <w:rFonts w:hint="eastAsia" w:ascii="Times New Roman" w:hAnsi="Times New Roman" w:eastAsia="宋体" w:cs="Times New Roman"/>
                <w:sz w:val="21"/>
                <w:szCs w:val="21"/>
                <w:vertAlign w:val="superscript"/>
                <w:lang w:val="en-US" w:eastAsia="zh-CN"/>
              </w:rPr>
              <w:t>3</w:t>
            </w:r>
            <w:r>
              <w:rPr>
                <w:rFonts w:hint="eastAsia" w:ascii="Times New Roman" w:hAnsi="Times New Roman" w:eastAsia="宋体" w:cs="Times New Roman"/>
                <w:sz w:val="21"/>
                <w:szCs w:val="21"/>
                <w:lang w:eastAsia="zh-CN"/>
              </w:rPr>
              <w:t>）</w:t>
            </w:r>
          </w:p>
        </w:tc>
        <w:tc>
          <w:tcPr>
            <w:tcW w:w="796" w:type="pct"/>
            <w:vMerge w:val="restart"/>
            <w:tcBorders>
              <w:bottom w:val="nil"/>
            </w:tcBorders>
            <w:vAlign w:val="center"/>
          </w:tcPr>
          <w:p>
            <w:pPr>
              <w:spacing w:line="240" w:lineRule="auto"/>
              <w:jc w:val="center"/>
              <w:rPr>
                <w:rFonts w:ascii="Times New Roman" w:hAnsi="Times New Roman" w:eastAsia="宋体" w:cs="Times New Roman"/>
                <w:sz w:val="21"/>
                <w:szCs w:val="21"/>
              </w:rPr>
            </w:pPr>
            <w:r>
              <w:rPr>
                <w:rFonts w:ascii="Times New Roman" w:hAnsi="Times New Roman" w:eastAsia="宋体" w:cs="Times New Roman"/>
                <w:sz w:val="21"/>
                <w:szCs w:val="21"/>
              </w:rPr>
              <w:t>排放速率</w:t>
            </w:r>
            <w:r>
              <w:rPr>
                <w:rFonts w:hint="eastAsia" w:ascii="Times New Roman" w:hAnsi="Times New Roman" w:eastAsia="宋体" w:cs="Times New Roman"/>
                <w:sz w:val="21"/>
                <w:szCs w:val="21"/>
                <w:lang w:eastAsia="zh-CN"/>
              </w:rPr>
              <w:t>（</w:t>
            </w:r>
            <w:r>
              <w:rPr>
                <w:rFonts w:hint="eastAsia" w:ascii="Times New Roman" w:hAnsi="Times New Roman" w:eastAsia="宋体" w:cs="Times New Roman"/>
                <w:sz w:val="21"/>
                <w:szCs w:val="21"/>
                <w:lang w:val="en-US" w:eastAsia="zh-CN"/>
              </w:rPr>
              <w:t>kg/h</w:t>
            </w:r>
            <w:r>
              <w:rPr>
                <w:rFonts w:hint="eastAsia" w:ascii="Times New Roman" w:hAnsi="Times New Roman" w:eastAsia="宋体" w:cs="Times New Roman"/>
                <w:sz w:val="21"/>
                <w:szCs w:val="21"/>
                <w:lang w:eastAsia="zh-CN"/>
              </w:rPr>
              <w:t>）</w:t>
            </w:r>
          </w:p>
        </w:tc>
        <w:tc>
          <w:tcPr>
            <w:tcW w:w="887" w:type="pct"/>
            <w:vAlign w:val="center"/>
          </w:tcPr>
          <w:p>
            <w:pPr>
              <w:spacing w:line="240" w:lineRule="auto"/>
              <w:jc w:val="center"/>
              <w:rPr>
                <w:rFonts w:ascii="Times New Roman" w:hAnsi="Times New Roman" w:eastAsia="宋体" w:cs="Times New Roman"/>
                <w:sz w:val="21"/>
                <w:szCs w:val="21"/>
              </w:rPr>
            </w:pPr>
            <w:r>
              <w:rPr>
                <w:rFonts w:ascii="Times New Roman" w:hAnsi="Times New Roman" w:eastAsia="宋体" w:cs="Times New Roman"/>
                <w:sz w:val="21"/>
                <w:szCs w:val="21"/>
              </w:rPr>
              <w:t>边界大气污染物浓度限值</w:t>
            </w:r>
          </w:p>
        </w:tc>
        <w:tc>
          <w:tcPr>
            <w:tcW w:w="1571" w:type="pct"/>
            <w:vMerge w:val="restart"/>
            <w:tcBorders>
              <w:bottom w:val="nil"/>
              <w:right w:val="nil"/>
            </w:tcBorders>
            <w:vAlign w:val="center"/>
          </w:tcPr>
          <w:p>
            <w:pPr>
              <w:spacing w:line="240" w:lineRule="auto"/>
              <w:jc w:val="center"/>
              <w:rPr>
                <w:rFonts w:ascii="Times New Roman" w:hAnsi="Times New Roman" w:eastAsia="宋体" w:cs="Times New Roman"/>
                <w:sz w:val="21"/>
                <w:szCs w:val="21"/>
              </w:rPr>
            </w:pPr>
            <w:r>
              <w:rPr>
                <w:rFonts w:ascii="Times New Roman" w:hAnsi="Times New Roman" w:eastAsia="宋体" w:cs="Times New Roman"/>
                <w:sz w:val="21"/>
                <w:szCs w:val="21"/>
              </w:rPr>
              <w:t>依据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8" w:hRule="atLeast"/>
          <w:jc w:val="center"/>
        </w:trPr>
        <w:tc>
          <w:tcPr>
            <w:tcW w:w="781" w:type="pct"/>
            <w:vMerge w:val="continue"/>
            <w:tcBorders>
              <w:top w:val="nil"/>
              <w:left w:val="nil"/>
            </w:tcBorders>
            <w:vAlign w:val="center"/>
          </w:tcPr>
          <w:p>
            <w:pPr>
              <w:spacing w:line="240" w:lineRule="auto"/>
              <w:jc w:val="center"/>
              <w:rPr>
                <w:rFonts w:ascii="Times New Roman" w:hAnsi="Times New Roman" w:eastAsia="宋体" w:cs="Times New Roman"/>
                <w:sz w:val="21"/>
                <w:szCs w:val="21"/>
              </w:rPr>
            </w:pPr>
          </w:p>
        </w:tc>
        <w:tc>
          <w:tcPr>
            <w:tcW w:w="963" w:type="pct"/>
            <w:vMerge w:val="continue"/>
            <w:tcBorders>
              <w:top w:val="nil"/>
            </w:tcBorders>
            <w:vAlign w:val="center"/>
          </w:tcPr>
          <w:p>
            <w:pPr>
              <w:spacing w:line="240" w:lineRule="auto"/>
              <w:jc w:val="center"/>
              <w:rPr>
                <w:rFonts w:ascii="Times New Roman" w:hAnsi="Times New Roman" w:eastAsia="宋体" w:cs="Times New Roman"/>
                <w:sz w:val="21"/>
                <w:szCs w:val="21"/>
              </w:rPr>
            </w:pPr>
          </w:p>
        </w:tc>
        <w:tc>
          <w:tcPr>
            <w:tcW w:w="796" w:type="pct"/>
            <w:vMerge w:val="continue"/>
            <w:tcBorders>
              <w:top w:val="nil"/>
            </w:tcBorders>
            <w:vAlign w:val="center"/>
          </w:tcPr>
          <w:p>
            <w:pPr>
              <w:spacing w:line="240" w:lineRule="auto"/>
              <w:jc w:val="center"/>
              <w:rPr>
                <w:rFonts w:ascii="Times New Roman" w:hAnsi="Times New Roman" w:eastAsia="宋体" w:cs="Times New Roman"/>
                <w:sz w:val="21"/>
                <w:szCs w:val="21"/>
              </w:rPr>
            </w:pPr>
          </w:p>
        </w:tc>
        <w:tc>
          <w:tcPr>
            <w:tcW w:w="887" w:type="pct"/>
            <w:vAlign w:val="center"/>
          </w:tcPr>
          <w:p>
            <w:pPr>
              <w:spacing w:line="240" w:lineRule="auto"/>
              <w:jc w:val="center"/>
              <w:rPr>
                <w:rFonts w:ascii="Times New Roman" w:hAnsi="Times New Roman" w:eastAsia="宋体" w:cs="Times New Roman"/>
                <w:sz w:val="21"/>
                <w:szCs w:val="21"/>
              </w:rPr>
            </w:pPr>
            <w:r>
              <w:rPr>
                <w:rFonts w:ascii="Times New Roman" w:hAnsi="Times New Roman" w:eastAsia="宋体" w:cs="Times New Roman"/>
                <w:sz w:val="21"/>
                <w:szCs w:val="21"/>
              </w:rPr>
              <w:t>最高浓度限值</w:t>
            </w:r>
            <w:r>
              <w:rPr>
                <w:rFonts w:hint="eastAsia" w:ascii="Times New Roman" w:hAnsi="Times New Roman" w:eastAsia="宋体" w:cs="Times New Roman"/>
                <w:sz w:val="21"/>
                <w:szCs w:val="21"/>
                <w:lang w:eastAsia="zh-CN"/>
              </w:rPr>
              <w:t>（</w:t>
            </w:r>
            <w:r>
              <w:rPr>
                <w:rFonts w:hint="eastAsia" w:ascii="Times New Roman" w:hAnsi="Times New Roman" w:eastAsia="宋体" w:cs="Times New Roman"/>
                <w:sz w:val="21"/>
                <w:szCs w:val="21"/>
                <w:lang w:val="en-US" w:eastAsia="zh-CN"/>
              </w:rPr>
              <w:t>mg/m</w:t>
            </w:r>
            <w:r>
              <w:rPr>
                <w:rFonts w:hint="eastAsia" w:ascii="Times New Roman" w:hAnsi="Times New Roman" w:eastAsia="宋体" w:cs="Times New Roman"/>
                <w:sz w:val="21"/>
                <w:szCs w:val="21"/>
                <w:vertAlign w:val="superscript"/>
                <w:lang w:val="en-US" w:eastAsia="zh-CN"/>
              </w:rPr>
              <w:t>3</w:t>
            </w:r>
            <w:r>
              <w:rPr>
                <w:rFonts w:hint="eastAsia" w:ascii="Times New Roman" w:hAnsi="Times New Roman" w:eastAsia="宋体" w:cs="Times New Roman"/>
                <w:sz w:val="21"/>
                <w:szCs w:val="21"/>
                <w:lang w:eastAsia="zh-CN"/>
              </w:rPr>
              <w:t>）</w:t>
            </w:r>
          </w:p>
        </w:tc>
        <w:tc>
          <w:tcPr>
            <w:tcW w:w="1571" w:type="pct"/>
            <w:vMerge w:val="continue"/>
            <w:tcBorders>
              <w:top w:val="nil"/>
              <w:right w:val="nil"/>
            </w:tcBorders>
            <w:vAlign w:val="center"/>
          </w:tcPr>
          <w:p>
            <w:pPr>
              <w:spacing w:line="240" w:lineRule="auto"/>
              <w:jc w:val="center"/>
              <w:rPr>
                <w:rFonts w:ascii="Times New Roman" w:hAnsi="Times New Roman" w:eastAsia="宋体" w:cs="Times New Roman"/>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781" w:type="pct"/>
            <w:tcBorders>
              <w:left w:val="nil"/>
            </w:tcBorders>
            <w:vAlign w:val="center"/>
          </w:tcPr>
          <w:p>
            <w:pPr>
              <w:spacing w:line="240" w:lineRule="auto"/>
              <w:jc w:val="center"/>
              <w:rPr>
                <w:rFonts w:ascii="Times New Roman" w:hAnsi="Times New Roman" w:eastAsia="宋体" w:cs="Times New Roman"/>
                <w:sz w:val="21"/>
                <w:szCs w:val="21"/>
              </w:rPr>
            </w:pPr>
            <w:r>
              <w:rPr>
                <w:rFonts w:ascii="Times New Roman" w:hAnsi="Times New Roman" w:eastAsia="宋体" w:cs="Times New Roman"/>
                <w:sz w:val="21"/>
                <w:szCs w:val="21"/>
              </w:rPr>
              <w:t>颗粒物</w:t>
            </w:r>
          </w:p>
        </w:tc>
        <w:tc>
          <w:tcPr>
            <w:tcW w:w="963" w:type="pct"/>
            <w:vAlign w:val="center"/>
          </w:tcPr>
          <w:p>
            <w:pPr>
              <w:spacing w:line="240" w:lineRule="auto"/>
              <w:jc w:val="center"/>
              <w:rPr>
                <w:rFonts w:ascii="Times New Roman" w:hAnsi="Times New Roman" w:eastAsia="宋体" w:cs="Times New Roman"/>
                <w:sz w:val="21"/>
                <w:szCs w:val="21"/>
              </w:rPr>
            </w:pPr>
            <w:r>
              <w:rPr>
                <w:rFonts w:ascii="Times New Roman" w:hAnsi="Times New Roman" w:eastAsia="宋体" w:cs="Times New Roman"/>
                <w:sz w:val="21"/>
                <w:szCs w:val="21"/>
              </w:rPr>
              <w:t>120</w:t>
            </w:r>
          </w:p>
        </w:tc>
        <w:tc>
          <w:tcPr>
            <w:tcW w:w="796" w:type="pct"/>
            <w:vAlign w:val="center"/>
          </w:tcPr>
          <w:p>
            <w:pPr>
              <w:spacing w:line="240" w:lineRule="auto"/>
              <w:jc w:val="center"/>
              <w:rPr>
                <w:rFonts w:ascii="Times New Roman" w:hAnsi="Times New Roman" w:eastAsia="宋体" w:cs="Times New Roman"/>
                <w:sz w:val="21"/>
                <w:szCs w:val="21"/>
              </w:rPr>
            </w:pPr>
            <w:r>
              <w:rPr>
                <w:rFonts w:ascii="Times New Roman" w:hAnsi="Times New Roman" w:eastAsia="宋体" w:cs="Times New Roman"/>
                <w:sz w:val="21"/>
                <w:szCs w:val="21"/>
              </w:rPr>
              <w:t>3.5</w:t>
            </w:r>
          </w:p>
        </w:tc>
        <w:tc>
          <w:tcPr>
            <w:tcW w:w="887" w:type="pct"/>
            <w:vAlign w:val="center"/>
          </w:tcPr>
          <w:p>
            <w:pPr>
              <w:spacing w:line="240" w:lineRule="auto"/>
              <w:jc w:val="center"/>
              <w:rPr>
                <w:rFonts w:ascii="Times New Roman" w:hAnsi="Times New Roman" w:eastAsia="宋体" w:cs="Times New Roman"/>
                <w:sz w:val="21"/>
                <w:szCs w:val="21"/>
              </w:rPr>
            </w:pPr>
            <w:r>
              <w:rPr>
                <w:rFonts w:ascii="Times New Roman" w:hAnsi="Times New Roman" w:eastAsia="宋体" w:cs="Times New Roman"/>
                <w:sz w:val="21"/>
                <w:szCs w:val="21"/>
              </w:rPr>
              <w:t>1.0</w:t>
            </w:r>
          </w:p>
        </w:tc>
        <w:tc>
          <w:tcPr>
            <w:tcW w:w="1571" w:type="pct"/>
            <w:vMerge w:val="restart"/>
            <w:tcBorders>
              <w:bottom w:val="nil"/>
              <w:right w:val="nil"/>
            </w:tcBorders>
            <w:vAlign w:val="center"/>
          </w:tcPr>
          <w:p>
            <w:pPr>
              <w:spacing w:line="240" w:lineRule="auto"/>
              <w:jc w:val="center"/>
              <w:rPr>
                <w:rFonts w:ascii="Times New Roman" w:hAnsi="Times New Roman" w:eastAsia="宋体" w:cs="Times New Roman"/>
                <w:sz w:val="21"/>
                <w:szCs w:val="21"/>
              </w:rPr>
            </w:pPr>
            <w:r>
              <w:rPr>
                <w:rFonts w:ascii="Times New Roman" w:hAnsi="Times New Roman" w:eastAsia="宋体" w:cs="Times New Roman"/>
                <w:sz w:val="21"/>
                <w:szCs w:val="21"/>
              </w:rPr>
              <w:t>《大气污染物综合排放标准》(GB16297-1996)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3" w:hRule="atLeast"/>
          <w:jc w:val="center"/>
        </w:trPr>
        <w:tc>
          <w:tcPr>
            <w:tcW w:w="781" w:type="pct"/>
            <w:tcBorders>
              <w:left w:val="nil"/>
            </w:tcBorders>
            <w:vAlign w:val="center"/>
          </w:tcPr>
          <w:p>
            <w:pPr>
              <w:spacing w:line="240" w:lineRule="auto"/>
              <w:jc w:val="center"/>
              <w:rPr>
                <w:rFonts w:ascii="Times New Roman" w:hAnsi="Times New Roman" w:eastAsia="宋体" w:cs="Times New Roman"/>
                <w:sz w:val="21"/>
                <w:szCs w:val="21"/>
              </w:rPr>
            </w:pPr>
            <w:r>
              <w:rPr>
                <w:rFonts w:ascii="Times New Roman" w:hAnsi="Times New Roman" w:eastAsia="宋体" w:cs="Times New Roman"/>
                <w:sz w:val="21"/>
                <w:szCs w:val="21"/>
              </w:rPr>
              <w:t>甲苯</w:t>
            </w:r>
          </w:p>
        </w:tc>
        <w:tc>
          <w:tcPr>
            <w:tcW w:w="963" w:type="pct"/>
            <w:vAlign w:val="center"/>
          </w:tcPr>
          <w:p>
            <w:pPr>
              <w:spacing w:line="240" w:lineRule="auto"/>
              <w:jc w:val="center"/>
              <w:rPr>
                <w:rFonts w:ascii="Times New Roman" w:hAnsi="Times New Roman" w:eastAsia="宋体" w:cs="Times New Roman"/>
                <w:sz w:val="21"/>
                <w:szCs w:val="21"/>
              </w:rPr>
            </w:pPr>
            <w:r>
              <w:rPr>
                <w:rFonts w:ascii="Times New Roman" w:hAnsi="Times New Roman" w:eastAsia="宋体" w:cs="Times New Roman"/>
                <w:sz w:val="21"/>
                <w:szCs w:val="21"/>
              </w:rPr>
              <w:t>40</w:t>
            </w:r>
          </w:p>
        </w:tc>
        <w:tc>
          <w:tcPr>
            <w:tcW w:w="796" w:type="pct"/>
            <w:vAlign w:val="center"/>
          </w:tcPr>
          <w:p>
            <w:pPr>
              <w:spacing w:line="240" w:lineRule="auto"/>
              <w:jc w:val="center"/>
              <w:rPr>
                <w:rFonts w:ascii="Times New Roman" w:hAnsi="Times New Roman" w:eastAsia="宋体" w:cs="Times New Roman"/>
                <w:sz w:val="21"/>
                <w:szCs w:val="21"/>
              </w:rPr>
            </w:pPr>
            <w:r>
              <w:rPr>
                <w:rFonts w:ascii="Times New Roman" w:hAnsi="Times New Roman" w:eastAsia="宋体" w:cs="Times New Roman"/>
                <w:sz w:val="21"/>
                <w:szCs w:val="21"/>
              </w:rPr>
              <w:t>3.1</w:t>
            </w:r>
          </w:p>
        </w:tc>
        <w:tc>
          <w:tcPr>
            <w:tcW w:w="887" w:type="pct"/>
            <w:vAlign w:val="center"/>
          </w:tcPr>
          <w:p>
            <w:pPr>
              <w:spacing w:line="240" w:lineRule="auto"/>
              <w:jc w:val="center"/>
              <w:rPr>
                <w:rFonts w:ascii="Times New Roman" w:hAnsi="Times New Roman" w:eastAsia="宋体" w:cs="Times New Roman"/>
                <w:sz w:val="21"/>
                <w:szCs w:val="21"/>
              </w:rPr>
            </w:pPr>
            <w:r>
              <w:rPr>
                <w:rFonts w:ascii="Times New Roman" w:hAnsi="Times New Roman" w:eastAsia="宋体" w:cs="Times New Roman"/>
                <w:sz w:val="21"/>
                <w:szCs w:val="21"/>
              </w:rPr>
              <w:t>2.4</w:t>
            </w:r>
          </w:p>
        </w:tc>
        <w:tc>
          <w:tcPr>
            <w:tcW w:w="1571" w:type="pct"/>
            <w:vMerge w:val="continue"/>
            <w:tcBorders>
              <w:top w:val="nil"/>
              <w:right w:val="nil"/>
            </w:tcBorders>
            <w:vAlign w:val="center"/>
          </w:tcPr>
          <w:p>
            <w:pPr>
              <w:spacing w:line="240" w:lineRule="auto"/>
              <w:jc w:val="center"/>
              <w:rPr>
                <w:rFonts w:ascii="Times New Roman" w:hAnsi="Times New Roman" w:eastAsia="宋体" w:cs="Times New Roman"/>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jc w:val="center"/>
        </w:trPr>
        <w:tc>
          <w:tcPr>
            <w:tcW w:w="781" w:type="pct"/>
            <w:tcBorders>
              <w:left w:val="nil"/>
            </w:tcBorders>
            <w:vAlign w:val="center"/>
          </w:tcPr>
          <w:p>
            <w:pPr>
              <w:spacing w:line="240" w:lineRule="auto"/>
              <w:jc w:val="center"/>
              <w:rPr>
                <w:rFonts w:ascii="Times New Roman" w:hAnsi="Times New Roman" w:eastAsia="宋体" w:cs="Times New Roman"/>
                <w:sz w:val="21"/>
                <w:szCs w:val="21"/>
              </w:rPr>
            </w:pPr>
            <w:r>
              <w:rPr>
                <w:rFonts w:ascii="Times New Roman" w:hAnsi="Times New Roman" w:eastAsia="宋体" w:cs="Times New Roman"/>
                <w:sz w:val="21"/>
                <w:szCs w:val="21"/>
              </w:rPr>
              <w:t>乙酸乙酯</w:t>
            </w:r>
          </w:p>
        </w:tc>
        <w:tc>
          <w:tcPr>
            <w:tcW w:w="963" w:type="pct"/>
            <w:vAlign w:val="center"/>
          </w:tcPr>
          <w:p>
            <w:pPr>
              <w:spacing w:line="240" w:lineRule="auto"/>
              <w:jc w:val="center"/>
              <w:rPr>
                <w:rFonts w:ascii="Times New Roman" w:hAnsi="Times New Roman" w:eastAsia="宋体" w:cs="Times New Roman"/>
                <w:sz w:val="21"/>
                <w:szCs w:val="21"/>
              </w:rPr>
            </w:pPr>
            <w:r>
              <w:rPr>
                <w:rFonts w:ascii="Times New Roman" w:hAnsi="Times New Roman" w:eastAsia="宋体" w:cs="Times New Roman"/>
                <w:sz w:val="21"/>
                <w:szCs w:val="21"/>
              </w:rPr>
              <w:t>200(8小时加权)</w:t>
            </w:r>
          </w:p>
        </w:tc>
        <w:tc>
          <w:tcPr>
            <w:tcW w:w="796" w:type="pct"/>
            <w:vAlign w:val="center"/>
          </w:tcPr>
          <w:p>
            <w:pPr>
              <w:spacing w:line="240" w:lineRule="auto"/>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w:t>
            </w:r>
          </w:p>
        </w:tc>
        <w:tc>
          <w:tcPr>
            <w:tcW w:w="887" w:type="pct"/>
            <w:vAlign w:val="center"/>
          </w:tcPr>
          <w:p>
            <w:pPr>
              <w:spacing w:line="240" w:lineRule="auto"/>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w:t>
            </w:r>
          </w:p>
        </w:tc>
        <w:tc>
          <w:tcPr>
            <w:tcW w:w="1571" w:type="pct"/>
            <w:tcBorders>
              <w:right w:val="nil"/>
            </w:tcBorders>
            <w:vAlign w:val="center"/>
          </w:tcPr>
          <w:p>
            <w:pPr>
              <w:spacing w:line="240" w:lineRule="auto"/>
              <w:jc w:val="center"/>
              <w:rPr>
                <w:rFonts w:ascii="Times New Roman" w:hAnsi="Times New Roman" w:eastAsia="宋体" w:cs="Times New Roman"/>
                <w:sz w:val="21"/>
                <w:szCs w:val="21"/>
              </w:rPr>
            </w:pPr>
            <w:r>
              <w:rPr>
                <w:rFonts w:ascii="Times New Roman" w:hAnsi="Times New Roman" w:eastAsia="宋体" w:cs="Times New Roman"/>
                <w:sz w:val="21"/>
                <w:szCs w:val="21"/>
              </w:rPr>
              <w:t>(环函[2003]363号，《工业场所有害因素职业接触限值》(GBZ2-2002)的相关规定)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4" w:hRule="atLeast"/>
          <w:jc w:val="center"/>
        </w:trPr>
        <w:tc>
          <w:tcPr>
            <w:tcW w:w="781" w:type="pct"/>
            <w:tcBorders>
              <w:left w:val="nil"/>
            </w:tcBorders>
            <w:vAlign w:val="center"/>
          </w:tcPr>
          <w:p>
            <w:pPr>
              <w:spacing w:line="240" w:lineRule="auto"/>
              <w:jc w:val="center"/>
              <w:rPr>
                <w:rFonts w:ascii="Times New Roman" w:hAnsi="Times New Roman" w:eastAsia="宋体" w:cs="Times New Roman"/>
                <w:sz w:val="21"/>
                <w:szCs w:val="21"/>
              </w:rPr>
            </w:pPr>
            <w:r>
              <w:rPr>
                <w:rFonts w:ascii="Times New Roman" w:hAnsi="Times New Roman" w:eastAsia="宋体" w:cs="Times New Roman"/>
                <w:sz w:val="21"/>
                <w:szCs w:val="21"/>
              </w:rPr>
              <w:t>非甲烷总烃</w:t>
            </w:r>
          </w:p>
        </w:tc>
        <w:tc>
          <w:tcPr>
            <w:tcW w:w="963" w:type="pct"/>
            <w:vAlign w:val="center"/>
          </w:tcPr>
          <w:p>
            <w:pPr>
              <w:spacing w:line="240" w:lineRule="auto"/>
              <w:jc w:val="center"/>
              <w:rPr>
                <w:rFonts w:ascii="Times New Roman" w:hAnsi="Times New Roman" w:eastAsia="宋体" w:cs="Times New Roman"/>
                <w:sz w:val="21"/>
                <w:szCs w:val="21"/>
              </w:rPr>
            </w:pPr>
            <w:r>
              <w:rPr>
                <w:rFonts w:ascii="Times New Roman" w:hAnsi="Times New Roman" w:eastAsia="宋体" w:cs="Times New Roman"/>
                <w:sz w:val="21"/>
                <w:szCs w:val="21"/>
              </w:rPr>
              <w:t>120</w:t>
            </w:r>
          </w:p>
        </w:tc>
        <w:tc>
          <w:tcPr>
            <w:tcW w:w="796" w:type="pct"/>
            <w:vAlign w:val="center"/>
          </w:tcPr>
          <w:p>
            <w:pPr>
              <w:spacing w:line="240" w:lineRule="auto"/>
              <w:jc w:val="center"/>
              <w:rPr>
                <w:rFonts w:ascii="Times New Roman" w:hAnsi="Times New Roman" w:eastAsia="宋体" w:cs="Times New Roman"/>
                <w:sz w:val="21"/>
                <w:szCs w:val="21"/>
              </w:rPr>
            </w:pPr>
            <w:r>
              <w:rPr>
                <w:rFonts w:ascii="Times New Roman" w:hAnsi="Times New Roman" w:eastAsia="宋体" w:cs="Times New Roman"/>
                <w:sz w:val="21"/>
                <w:szCs w:val="21"/>
              </w:rPr>
              <w:t>10</w:t>
            </w:r>
          </w:p>
        </w:tc>
        <w:tc>
          <w:tcPr>
            <w:tcW w:w="887" w:type="pct"/>
            <w:vAlign w:val="center"/>
          </w:tcPr>
          <w:p>
            <w:pPr>
              <w:spacing w:line="240" w:lineRule="auto"/>
              <w:jc w:val="center"/>
              <w:rPr>
                <w:rFonts w:ascii="Times New Roman" w:hAnsi="Times New Roman" w:eastAsia="宋体" w:cs="Times New Roman"/>
                <w:sz w:val="21"/>
                <w:szCs w:val="21"/>
              </w:rPr>
            </w:pPr>
            <w:r>
              <w:rPr>
                <w:rFonts w:ascii="Times New Roman" w:hAnsi="Times New Roman" w:eastAsia="宋体" w:cs="Times New Roman"/>
                <w:sz w:val="21"/>
                <w:szCs w:val="21"/>
              </w:rPr>
              <w:t>4.0</w:t>
            </w:r>
          </w:p>
        </w:tc>
        <w:tc>
          <w:tcPr>
            <w:tcW w:w="1571" w:type="pct"/>
            <w:tcBorders>
              <w:right w:val="nil"/>
            </w:tcBorders>
            <w:vAlign w:val="center"/>
          </w:tcPr>
          <w:p>
            <w:pPr>
              <w:spacing w:line="240" w:lineRule="auto"/>
              <w:jc w:val="center"/>
              <w:rPr>
                <w:rFonts w:ascii="Times New Roman" w:hAnsi="Times New Roman" w:eastAsia="宋体" w:cs="Times New Roman"/>
                <w:sz w:val="21"/>
                <w:szCs w:val="21"/>
              </w:rPr>
            </w:pPr>
            <w:r>
              <w:rPr>
                <w:rFonts w:ascii="Times New Roman" w:hAnsi="Times New Roman" w:eastAsia="宋体" w:cs="Times New Roman"/>
                <w:sz w:val="21"/>
                <w:szCs w:val="21"/>
              </w:rPr>
              <w:t>《大气污染物综合排放标准》(GB16297-1996)</w:t>
            </w:r>
          </w:p>
        </w:tc>
      </w:tr>
    </w:tbl>
    <w:p>
      <w:pPr>
        <w:keepNext w:val="0"/>
        <w:keepLines w:val="0"/>
        <w:pageBreakBefore w:val="0"/>
        <w:widowControl w:val="0"/>
        <w:kinsoku/>
        <w:wordWrap/>
        <w:overflowPunct/>
        <w:topLinePunct w:val="0"/>
        <w:autoSpaceDE/>
        <w:autoSpaceDN/>
        <w:bidi w:val="0"/>
        <w:adjustRightInd/>
        <w:snapToGrid/>
        <w:spacing w:line="360" w:lineRule="auto"/>
        <w:ind w:left="0" w:right="0" w:firstLine="0"/>
        <w:textAlignment w:val="auto"/>
        <w:outlineLvl w:val="1"/>
        <w:rPr>
          <w:rFonts w:hint="eastAsia" w:ascii="Times New Roman" w:hAnsi="Times New Roman" w:eastAsia="宋体" w:cs="Times New Roman"/>
          <w:b/>
          <w:bCs/>
          <w:sz w:val="32"/>
          <w:szCs w:val="32"/>
          <w:lang w:val="en-US" w:eastAsia="zh-CN"/>
        </w:rPr>
      </w:pPr>
      <w:bookmarkStart w:id="88" w:name="_Toc4677"/>
      <w:r>
        <w:rPr>
          <w:rFonts w:hint="eastAsia" w:ascii="Times New Roman" w:hAnsi="Times New Roman" w:eastAsia="宋体" w:cs="Times New Roman"/>
          <w:b/>
          <w:bCs/>
          <w:sz w:val="32"/>
          <w:szCs w:val="32"/>
        </w:rPr>
        <w:t>6.2</w:t>
      </w:r>
      <w:r>
        <w:rPr>
          <w:rFonts w:hint="eastAsia" w:cs="Times New Roman"/>
          <w:b/>
          <w:bCs/>
          <w:sz w:val="32"/>
          <w:szCs w:val="32"/>
          <w:lang w:eastAsia="zh-CN"/>
        </w:rPr>
        <w:t>废水</w:t>
      </w:r>
      <w:bookmarkEnd w:id="88"/>
    </w:p>
    <w:p>
      <w:pPr>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ascii="宋体" w:hAnsi="宋体" w:eastAsia="宋体" w:cs="宋体"/>
          <w:sz w:val="24"/>
          <w:szCs w:val="24"/>
        </w:rPr>
      </w:pPr>
      <w:r>
        <w:rPr>
          <w:rFonts w:ascii="Times New Roman" w:hAnsi="Times New Roman" w:eastAsia="宋体" w:cs="Times New Roman"/>
        </w:rPr>
        <w:t>本项目为新建项目，废水主要为职工生活污水，废水经预处理达到纳管要求后排入市政污水管网，送无为城东污水处理厂统一处置，执行《污水综合排放标准》(GB8978-1996)中的三级标准。具体标准值见表6</w:t>
      </w:r>
      <w:r>
        <w:rPr>
          <w:rFonts w:hint="eastAsia" w:ascii="Times New Roman" w:hAnsi="Times New Roman" w:eastAsia="宋体" w:cs="Times New Roman"/>
          <w:lang w:val="en-US" w:eastAsia="zh-CN"/>
        </w:rPr>
        <w:t>.2</w:t>
      </w:r>
      <w:r>
        <w:rPr>
          <w:rFonts w:ascii="Times New Roman" w:hAnsi="Times New Roman" w:eastAsia="宋体" w:cs="Times New Roman"/>
        </w:rPr>
        <w:t>-</w:t>
      </w:r>
      <w:r>
        <w:rPr>
          <w:rFonts w:hint="eastAsia" w:ascii="Times New Roman" w:hAnsi="Times New Roman" w:eastAsia="宋体" w:cs="Times New Roman"/>
          <w:lang w:val="en-US" w:eastAsia="zh-CN"/>
        </w:rPr>
        <w:t>1</w:t>
      </w:r>
      <w:r>
        <w:rPr>
          <w:rFonts w:ascii="Times New Roman" w:hAnsi="Times New Roman" w:eastAsia="宋体" w:cs="Times New Roman"/>
        </w:rPr>
        <w:t>。</w:t>
      </w:r>
    </w:p>
    <w:p>
      <w:pPr>
        <w:jc w:val="center"/>
        <w:rPr>
          <w:rFonts w:hint="eastAsia" w:ascii="Times New Roman" w:hAnsi="Times New Roman" w:eastAsia="黑体" w:cs="Times New Roman"/>
          <w:b/>
          <w:bCs/>
          <w:sz w:val="21"/>
          <w:szCs w:val="21"/>
        </w:rPr>
      </w:pPr>
      <w:r>
        <w:rPr>
          <w:rFonts w:hint="eastAsia" w:ascii="Times New Roman" w:hAnsi="Times New Roman" w:eastAsia="黑体" w:cs="Times New Roman"/>
          <w:b w:val="0"/>
          <w:bCs w:val="0"/>
          <w:sz w:val="21"/>
          <w:szCs w:val="21"/>
          <w:lang w:val="en-US" w:eastAsia="zh-CN"/>
        </w:rPr>
        <w:t>表6.2-1废水污染物排放标准单位：mg/L</w:t>
      </w:r>
    </w:p>
    <w:p>
      <w:pPr>
        <w:spacing w:line="19" w:lineRule="exact"/>
      </w:pPr>
    </w:p>
    <w:tbl>
      <w:tblPr>
        <w:tblStyle w:val="26"/>
        <w:tblW w:w="4998"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2969"/>
        <w:gridCol w:w="1168"/>
        <w:gridCol w:w="921"/>
        <w:gridCol w:w="921"/>
        <w:gridCol w:w="1068"/>
        <w:gridCol w:w="125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jc w:val="center"/>
        </w:trPr>
        <w:tc>
          <w:tcPr>
            <w:tcW w:w="1787" w:type="pct"/>
            <w:tcBorders>
              <w:left w:val="nil"/>
            </w:tcBorders>
            <w:vAlign w:val="center"/>
          </w:tcPr>
          <w:p>
            <w:pPr>
              <w:spacing w:line="240" w:lineRule="auto"/>
              <w:jc w:val="center"/>
              <w:rPr>
                <w:rFonts w:ascii="Times New Roman" w:hAnsi="Times New Roman" w:eastAsia="宋体" w:cs="Times New Roman"/>
                <w:sz w:val="21"/>
                <w:szCs w:val="21"/>
              </w:rPr>
            </w:pPr>
            <w:r>
              <w:rPr>
                <w:rFonts w:ascii="Times New Roman" w:hAnsi="Times New Roman" w:eastAsia="宋体" w:cs="Times New Roman"/>
                <w:sz w:val="21"/>
                <w:szCs w:val="21"/>
              </w:rPr>
              <w:t>污染物</w:t>
            </w:r>
          </w:p>
        </w:tc>
        <w:tc>
          <w:tcPr>
            <w:tcW w:w="703" w:type="pct"/>
            <w:tcBorders>
              <w:left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BOD</w:t>
            </w:r>
            <w:r>
              <w:rPr>
                <w:rFonts w:hint="eastAsia" w:ascii="Times New Roman" w:hAnsi="Times New Roman" w:eastAsia="宋体" w:cs="Times New Roman"/>
                <w:sz w:val="21"/>
                <w:szCs w:val="21"/>
                <w:vertAlign w:val="subscript"/>
                <w:lang w:val="en-US" w:eastAsia="zh-CN"/>
              </w:rPr>
              <w:t>5</w:t>
            </w:r>
          </w:p>
        </w:tc>
        <w:tc>
          <w:tcPr>
            <w:tcW w:w="554" w:type="pct"/>
            <w:vAlign w:val="center"/>
          </w:tcPr>
          <w:p>
            <w:pPr>
              <w:spacing w:line="240" w:lineRule="auto"/>
              <w:jc w:val="center"/>
              <w:rPr>
                <w:rFonts w:ascii="Times New Roman" w:hAnsi="Times New Roman" w:eastAsia="宋体" w:cs="Times New Roman"/>
                <w:sz w:val="21"/>
                <w:szCs w:val="21"/>
              </w:rPr>
            </w:pPr>
            <w:r>
              <w:rPr>
                <w:rFonts w:ascii="Times New Roman" w:hAnsi="Times New Roman" w:eastAsia="宋体" w:cs="Times New Roman"/>
                <w:sz w:val="21"/>
                <w:szCs w:val="21"/>
              </w:rPr>
              <w:t>COD</w:t>
            </w:r>
          </w:p>
        </w:tc>
        <w:tc>
          <w:tcPr>
            <w:tcW w:w="554" w:type="pct"/>
            <w:vAlign w:val="center"/>
          </w:tcPr>
          <w:p>
            <w:pPr>
              <w:spacing w:line="240" w:lineRule="auto"/>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SS</w:t>
            </w:r>
          </w:p>
        </w:tc>
        <w:tc>
          <w:tcPr>
            <w:tcW w:w="643" w:type="pct"/>
            <w:vAlign w:val="center"/>
          </w:tcPr>
          <w:p>
            <w:pPr>
              <w:spacing w:line="240" w:lineRule="auto"/>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动植物油</w:t>
            </w:r>
          </w:p>
        </w:tc>
        <w:tc>
          <w:tcPr>
            <w:tcW w:w="756" w:type="pct"/>
            <w:tcBorders>
              <w:right w:val="nil"/>
            </w:tcBorders>
            <w:vAlign w:val="center"/>
          </w:tcPr>
          <w:p>
            <w:pPr>
              <w:spacing w:line="240" w:lineRule="auto"/>
              <w:jc w:val="center"/>
              <w:rPr>
                <w:rFonts w:ascii="Times New Roman" w:hAnsi="Times New Roman" w:eastAsia="宋体" w:cs="Times New Roman"/>
                <w:sz w:val="21"/>
                <w:szCs w:val="21"/>
              </w:rPr>
            </w:pPr>
            <w:r>
              <w:rPr>
                <w:rFonts w:ascii="Times New Roman" w:hAnsi="Times New Roman" w:eastAsia="宋体" w:cs="Times New Roman"/>
                <w:sz w:val="21"/>
                <w:szCs w:val="21"/>
              </w:rPr>
              <w:t>氨氮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6" w:hRule="atLeast"/>
          <w:jc w:val="center"/>
        </w:trPr>
        <w:tc>
          <w:tcPr>
            <w:tcW w:w="1787" w:type="pct"/>
            <w:tcBorders>
              <w:left w:val="nil"/>
            </w:tcBorders>
            <w:vAlign w:val="center"/>
          </w:tcPr>
          <w:p>
            <w:pPr>
              <w:spacing w:line="240" w:lineRule="auto"/>
              <w:jc w:val="center"/>
              <w:rPr>
                <w:rFonts w:ascii="Times New Roman" w:hAnsi="Times New Roman" w:eastAsia="宋体" w:cs="Times New Roman"/>
                <w:sz w:val="21"/>
                <w:szCs w:val="21"/>
              </w:rPr>
            </w:pPr>
            <w:r>
              <w:rPr>
                <w:rFonts w:ascii="Times New Roman" w:hAnsi="Times New Roman" w:eastAsia="宋体" w:cs="Times New Roman"/>
                <w:sz w:val="21"/>
                <w:szCs w:val="21"/>
              </w:rPr>
              <w:t>《污水综合排放标准》三级标准</w:t>
            </w:r>
          </w:p>
        </w:tc>
        <w:tc>
          <w:tcPr>
            <w:tcW w:w="703" w:type="pct"/>
            <w:tcBorders>
              <w:left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300</w:t>
            </w:r>
          </w:p>
        </w:tc>
        <w:tc>
          <w:tcPr>
            <w:tcW w:w="554" w:type="pct"/>
            <w:vAlign w:val="center"/>
          </w:tcPr>
          <w:p>
            <w:pPr>
              <w:spacing w:line="240" w:lineRule="auto"/>
              <w:jc w:val="center"/>
              <w:rPr>
                <w:rFonts w:ascii="Times New Roman" w:hAnsi="Times New Roman" w:eastAsia="宋体" w:cs="Times New Roman"/>
                <w:sz w:val="21"/>
                <w:szCs w:val="21"/>
              </w:rPr>
            </w:pPr>
            <w:r>
              <w:rPr>
                <w:rFonts w:ascii="Times New Roman" w:hAnsi="Times New Roman" w:eastAsia="宋体" w:cs="Times New Roman"/>
                <w:sz w:val="21"/>
                <w:szCs w:val="21"/>
              </w:rPr>
              <w:t>500</w:t>
            </w:r>
          </w:p>
        </w:tc>
        <w:tc>
          <w:tcPr>
            <w:tcW w:w="554" w:type="pct"/>
            <w:vAlign w:val="center"/>
          </w:tcPr>
          <w:p>
            <w:pPr>
              <w:spacing w:line="240" w:lineRule="auto"/>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400</w:t>
            </w:r>
          </w:p>
        </w:tc>
        <w:tc>
          <w:tcPr>
            <w:tcW w:w="643" w:type="pct"/>
            <w:vAlign w:val="center"/>
          </w:tcPr>
          <w:p>
            <w:pPr>
              <w:spacing w:line="240" w:lineRule="auto"/>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100</w:t>
            </w:r>
          </w:p>
        </w:tc>
        <w:tc>
          <w:tcPr>
            <w:tcW w:w="756" w:type="pct"/>
            <w:tcBorders>
              <w:right w:val="nil"/>
            </w:tcBorders>
            <w:vAlign w:val="center"/>
          </w:tcPr>
          <w:p>
            <w:pPr>
              <w:spacing w:line="240" w:lineRule="auto"/>
              <w:jc w:val="center"/>
              <w:rPr>
                <w:rFonts w:hint="eastAsia" w:ascii="Times New Roman" w:hAnsi="Times New Roman" w:eastAsia="宋体" w:cs="Times New Roman"/>
                <w:sz w:val="21"/>
                <w:szCs w:val="21"/>
                <w:lang w:eastAsia="zh-CN"/>
              </w:rPr>
            </w:pPr>
            <w:r>
              <w:rPr>
                <w:rFonts w:hint="eastAsia" w:cs="Times New Roman"/>
                <w:sz w:val="21"/>
                <w:szCs w:val="21"/>
                <w:lang w:val="en-US" w:eastAsia="zh-CN"/>
              </w:rPr>
              <w:t>/</w:t>
            </w:r>
          </w:p>
        </w:tc>
      </w:tr>
    </w:tbl>
    <w:p>
      <w:pPr>
        <w:keepNext w:val="0"/>
        <w:keepLines w:val="0"/>
        <w:pageBreakBefore w:val="0"/>
        <w:widowControl w:val="0"/>
        <w:kinsoku/>
        <w:wordWrap/>
        <w:overflowPunct/>
        <w:topLinePunct w:val="0"/>
        <w:autoSpaceDE/>
        <w:autoSpaceDN/>
        <w:bidi w:val="0"/>
        <w:adjustRightInd/>
        <w:snapToGrid/>
        <w:textAlignment w:val="auto"/>
        <w:outlineLvl w:val="1"/>
        <w:rPr>
          <w:rFonts w:hint="eastAsia" w:ascii="Times New Roman" w:hAnsi="Times New Roman" w:eastAsia="宋体" w:cs="Times New Roman"/>
          <w:b/>
          <w:bCs/>
          <w:sz w:val="32"/>
          <w:szCs w:val="32"/>
        </w:rPr>
      </w:pPr>
      <w:bookmarkStart w:id="89" w:name="_Toc15712"/>
      <w:r>
        <w:rPr>
          <w:rFonts w:hint="eastAsia" w:ascii="Times New Roman" w:hAnsi="Times New Roman" w:eastAsia="宋体" w:cs="Times New Roman"/>
          <w:b/>
          <w:bCs/>
          <w:sz w:val="32"/>
          <w:szCs w:val="32"/>
        </w:rPr>
        <w:t>6.</w:t>
      </w:r>
      <w:r>
        <w:rPr>
          <w:rFonts w:hint="eastAsia" w:cs="Times New Roman"/>
          <w:b/>
          <w:bCs/>
          <w:sz w:val="32"/>
          <w:szCs w:val="32"/>
          <w:lang w:val="en-US" w:eastAsia="zh-CN"/>
        </w:rPr>
        <w:t>3</w:t>
      </w:r>
      <w:r>
        <w:rPr>
          <w:rFonts w:hint="eastAsia" w:ascii="Times New Roman" w:hAnsi="Times New Roman" w:eastAsia="宋体" w:cs="Times New Roman"/>
          <w:b/>
          <w:bCs/>
          <w:sz w:val="32"/>
          <w:szCs w:val="32"/>
        </w:rPr>
        <w:t>噪声</w:t>
      </w:r>
      <w:bookmarkEnd w:id="89"/>
    </w:p>
    <w:p>
      <w:pPr>
        <w:ind w:firstLine="480" w:firstLineChars="200"/>
        <w:rPr>
          <w:rFonts w:hint="eastAsia" w:ascii="Times New Roman" w:hAnsi="Times New Roman" w:eastAsia="黑体" w:cs="Times New Roman"/>
          <w:b/>
          <w:bCs/>
          <w:color w:val="auto"/>
          <w:sz w:val="21"/>
          <w:szCs w:val="21"/>
        </w:rPr>
      </w:pPr>
      <w:r>
        <w:rPr>
          <w:rFonts w:ascii="Times New Roman" w:hAnsi="Times New Roman" w:eastAsia="宋体" w:cs="Times New Roman"/>
        </w:rPr>
        <w:t>本项目厂界东面为经四路，北侧为规划道路支一路，属城市主要交通干线，因此东厂界和北侧噪声排放执行《工业企业厂界环境噪声排放标准》(GB12348－2008)中的</w:t>
      </w:r>
      <w:r>
        <w:rPr>
          <w:rFonts w:hint="eastAsia" w:cs="Times New Roman"/>
          <w:lang w:val="en-US" w:eastAsia="zh-CN"/>
        </w:rPr>
        <w:t>4</w:t>
      </w:r>
      <w:r>
        <w:rPr>
          <w:rFonts w:ascii="Times New Roman" w:hAnsi="Times New Roman" w:eastAsia="宋体" w:cs="Times New Roman"/>
        </w:rPr>
        <w:t>类标准；其余两侧厂界噪声执行《工业企业厂界环境噪声排放标准》(GB12348－2008)中的3类标准。</w:t>
      </w:r>
      <w:r>
        <w:rPr>
          <w:rFonts w:hint="eastAsia" w:ascii="Times New Roman" w:hAnsi="Times New Roman" w:eastAsia="宋体" w:cs="Times New Roman"/>
        </w:rPr>
        <w:t>具体见表6</w:t>
      </w:r>
      <w:r>
        <w:rPr>
          <w:rFonts w:hint="eastAsia" w:ascii="Times New Roman" w:hAnsi="Times New Roman" w:eastAsia="宋体" w:cs="Times New Roman"/>
          <w:lang w:val="en-US" w:eastAsia="zh-CN"/>
        </w:rPr>
        <w:t>.3</w:t>
      </w:r>
      <w:r>
        <w:rPr>
          <w:rFonts w:hint="eastAsia" w:ascii="Times New Roman" w:hAnsi="Times New Roman" w:eastAsia="宋体" w:cs="Times New Roman"/>
        </w:rPr>
        <w:t>-</w:t>
      </w:r>
      <w:r>
        <w:rPr>
          <w:rFonts w:hint="eastAsia" w:ascii="Times New Roman" w:hAnsi="Times New Roman" w:eastAsia="宋体" w:cs="Times New Roman"/>
          <w:lang w:val="en-US" w:eastAsia="zh-CN"/>
        </w:rPr>
        <w:t>1</w:t>
      </w:r>
      <w:r>
        <w:rPr>
          <w:rFonts w:hint="eastAsia" w:ascii="Times New Roman" w:hAnsi="Times New Roman" w:eastAsia="宋体" w:cs="Times New Roman"/>
        </w:rPr>
        <w:t>。</w:t>
      </w:r>
    </w:p>
    <w:p>
      <w:pPr>
        <w:jc w:val="center"/>
        <w:rPr>
          <w:rFonts w:hint="eastAsia" w:ascii="Times New Roman" w:hAnsi="Times New Roman" w:eastAsia="黑体" w:cs="Times New Roman"/>
          <w:b w:val="0"/>
          <w:bCs w:val="0"/>
          <w:sz w:val="21"/>
          <w:szCs w:val="21"/>
          <w:lang w:val="en-US" w:eastAsia="zh-CN"/>
        </w:rPr>
      </w:pPr>
      <w:r>
        <w:rPr>
          <w:rFonts w:hint="eastAsia" w:ascii="Times New Roman" w:hAnsi="Times New Roman" w:eastAsia="黑体" w:cs="Times New Roman"/>
          <w:b w:val="0"/>
          <w:bCs w:val="0"/>
          <w:sz w:val="21"/>
          <w:szCs w:val="21"/>
          <w:lang w:val="en-US" w:eastAsia="zh-CN"/>
        </w:rPr>
        <w:t>表6.3-1 工业企业厂界环境噪声排放标准  单位：dB（A）</w:t>
      </w:r>
    </w:p>
    <w:tbl>
      <w:tblPr>
        <w:tblStyle w:val="1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9"/>
        <w:gridCol w:w="2839"/>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66" w:type="pct"/>
            <w:vAlign w:val="center"/>
          </w:tcPr>
          <w:p>
            <w:pPr>
              <w:spacing w:line="240" w:lineRule="auto"/>
              <w:jc w:val="center"/>
              <w:rPr>
                <w:rFonts w:ascii="宋体" w:hAnsi="宋体" w:cs="宋体"/>
                <w:sz w:val="21"/>
                <w:szCs w:val="21"/>
              </w:rPr>
            </w:pPr>
            <w:r>
              <w:rPr>
                <w:rFonts w:hint="eastAsia" w:ascii="宋体" w:hAnsi="宋体" w:cs="宋体"/>
                <w:sz w:val="21"/>
                <w:szCs w:val="21"/>
              </w:rPr>
              <w:t>类别</w:t>
            </w:r>
          </w:p>
        </w:tc>
        <w:tc>
          <w:tcPr>
            <w:tcW w:w="1666" w:type="pct"/>
            <w:vAlign w:val="center"/>
          </w:tcPr>
          <w:p>
            <w:pPr>
              <w:spacing w:line="240" w:lineRule="auto"/>
              <w:jc w:val="center"/>
              <w:rPr>
                <w:rFonts w:ascii="宋体" w:hAnsi="宋体" w:cs="宋体"/>
                <w:sz w:val="21"/>
                <w:szCs w:val="21"/>
              </w:rPr>
            </w:pPr>
            <w:r>
              <w:rPr>
                <w:rFonts w:hint="eastAsia" w:ascii="宋体" w:hAnsi="宋体" w:cs="宋体"/>
                <w:sz w:val="21"/>
                <w:szCs w:val="21"/>
              </w:rPr>
              <w:t>昼间</w:t>
            </w:r>
          </w:p>
        </w:tc>
        <w:tc>
          <w:tcPr>
            <w:tcW w:w="1667" w:type="pct"/>
            <w:vAlign w:val="center"/>
          </w:tcPr>
          <w:p>
            <w:pPr>
              <w:spacing w:line="240" w:lineRule="auto"/>
              <w:jc w:val="center"/>
              <w:rPr>
                <w:rFonts w:ascii="宋体" w:hAnsi="宋体" w:cs="宋体"/>
                <w:sz w:val="21"/>
                <w:szCs w:val="21"/>
              </w:rPr>
            </w:pPr>
            <w:r>
              <w:rPr>
                <w:rFonts w:hint="eastAsia" w:ascii="宋体" w:hAnsi="宋体" w:cs="宋体"/>
                <w:sz w:val="21"/>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66" w:type="pct"/>
            <w:vAlign w:val="center"/>
          </w:tcPr>
          <w:p>
            <w:pPr>
              <w:spacing w:line="240" w:lineRule="auto"/>
              <w:jc w:val="center"/>
              <w:rPr>
                <w:rFonts w:ascii="宋体" w:hAnsi="宋体" w:cs="宋体"/>
                <w:sz w:val="21"/>
                <w:szCs w:val="21"/>
              </w:rPr>
            </w:pPr>
            <w:r>
              <w:rPr>
                <w:color w:val="000000"/>
                <w:sz w:val="21"/>
                <w:szCs w:val="21"/>
              </w:rPr>
              <w:t>GB12348-2008中</w:t>
            </w:r>
            <w:r>
              <w:rPr>
                <w:rFonts w:hint="eastAsia"/>
                <w:color w:val="000000"/>
                <w:sz w:val="21"/>
                <w:szCs w:val="21"/>
                <w:lang w:val="en-US" w:eastAsia="zh-CN"/>
              </w:rPr>
              <w:t>3</w:t>
            </w:r>
            <w:r>
              <w:rPr>
                <w:color w:val="000000"/>
                <w:sz w:val="21"/>
                <w:szCs w:val="21"/>
              </w:rPr>
              <w:t>类标准</w:t>
            </w:r>
          </w:p>
        </w:tc>
        <w:tc>
          <w:tcPr>
            <w:tcW w:w="1666" w:type="pct"/>
            <w:vAlign w:val="center"/>
          </w:tcPr>
          <w:p>
            <w:pPr>
              <w:spacing w:line="240" w:lineRule="auto"/>
              <w:jc w:val="center"/>
              <w:rPr>
                <w:rFonts w:ascii="宋体" w:hAnsi="宋体" w:cs="宋体"/>
                <w:sz w:val="21"/>
                <w:szCs w:val="21"/>
              </w:rPr>
            </w:pPr>
            <w:r>
              <w:rPr>
                <w:rFonts w:hint="eastAsia" w:cs="宋体"/>
                <w:sz w:val="21"/>
                <w:szCs w:val="21"/>
              </w:rPr>
              <w:t>65</w:t>
            </w:r>
          </w:p>
        </w:tc>
        <w:tc>
          <w:tcPr>
            <w:tcW w:w="1667" w:type="pct"/>
            <w:vAlign w:val="center"/>
          </w:tcPr>
          <w:p>
            <w:pPr>
              <w:spacing w:line="240" w:lineRule="auto"/>
              <w:jc w:val="center"/>
              <w:rPr>
                <w:rFonts w:ascii="宋体" w:hAnsi="宋体" w:cs="宋体"/>
                <w:sz w:val="21"/>
                <w:szCs w:val="21"/>
              </w:rPr>
            </w:pPr>
            <w:r>
              <w:rPr>
                <w:rFonts w:hint="eastAsia" w:cs="宋体"/>
                <w:sz w:val="21"/>
                <w:szCs w:val="21"/>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66" w:type="pct"/>
            <w:vAlign w:val="center"/>
          </w:tcPr>
          <w:p>
            <w:pPr>
              <w:spacing w:line="240" w:lineRule="auto"/>
              <w:jc w:val="center"/>
              <w:rPr>
                <w:color w:val="000000"/>
                <w:sz w:val="21"/>
                <w:szCs w:val="21"/>
              </w:rPr>
            </w:pPr>
            <w:r>
              <w:rPr>
                <w:color w:val="000000"/>
                <w:sz w:val="21"/>
                <w:szCs w:val="21"/>
              </w:rPr>
              <w:t>GB12348-2008中</w:t>
            </w:r>
            <w:r>
              <w:rPr>
                <w:rFonts w:hint="eastAsia"/>
                <w:color w:val="000000"/>
                <w:sz w:val="21"/>
                <w:szCs w:val="21"/>
                <w:lang w:val="en-US" w:eastAsia="zh-CN"/>
              </w:rPr>
              <w:t>4</w:t>
            </w:r>
            <w:r>
              <w:rPr>
                <w:color w:val="000000"/>
                <w:sz w:val="21"/>
                <w:szCs w:val="21"/>
              </w:rPr>
              <w:t>类标准</w:t>
            </w:r>
          </w:p>
        </w:tc>
        <w:tc>
          <w:tcPr>
            <w:tcW w:w="1666" w:type="pct"/>
            <w:vAlign w:val="center"/>
          </w:tcPr>
          <w:p>
            <w:pPr>
              <w:spacing w:line="240" w:lineRule="auto"/>
              <w:jc w:val="center"/>
              <w:rPr>
                <w:rFonts w:hint="default" w:eastAsia="宋体" w:cs="宋体"/>
                <w:sz w:val="21"/>
                <w:szCs w:val="21"/>
                <w:lang w:val="en-US" w:eastAsia="zh-CN"/>
              </w:rPr>
            </w:pPr>
            <w:r>
              <w:rPr>
                <w:rFonts w:hint="eastAsia" w:cs="宋体"/>
                <w:sz w:val="21"/>
                <w:szCs w:val="21"/>
                <w:lang w:val="en-US" w:eastAsia="zh-CN"/>
              </w:rPr>
              <w:t>70</w:t>
            </w:r>
          </w:p>
        </w:tc>
        <w:tc>
          <w:tcPr>
            <w:tcW w:w="1667" w:type="pct"/>
            <w:vAlign w:val="center"/>
          </w:tcPr>
          <w:p>
            <w:pPr>
              <w:spacing w:line="240" w:lineRule="auto"/>
              <w:jc w:val="center"/>
              <w:rPr>
                <w:rFonts w:hint="default" w:eastAsia="宋体" w:cs="宋体"/>
                <w:sz w:val="21"/>
                <w:szCs w:val="21"/>
                <w:lang w:val="en-US" w:eastAsia="zh-CN"/>
              </w:rPr>
            </w:pPr>
            <w:r>
              <w:rPr>
                <w:rFonts w:hint="eastAsia" w:cs="宋体"/>
                <w:sz w:val="21"/>
                <w:szCs w:val="21"/>
                <w:lang w:val="en-US" w:eastAsia="zh-CN"/>
              </w:rPr>
              <w:t>55</w:t>
            </w:r>
          </w:p>
        </w:tc>
      </w:tr>
    </w:tbl>
    <w:p>
      <w:pPr>
        <w:keepNext w:val="0"/>
        <w:keepLines w:val="0"/>
        <w:pageBreakBefore w:val="0"/>
        <w:widowControl w:val="0"/>
        <w:kinsoku/>
        <w:wordWrap/>
        <w:overflowPunct/>
        <w:topLinePunct w:val="0"/>
        <w:autoSpaceDE/>
        <w:autoSpaceDN/>
        <w:bidi w:val="0"/>
        <w:adjustRightInd/>
        <w:snapToGrid/>
        <w:textAlignment w:val="auto"/>
        <w:outlineLvl w:val="1"/>
        <w:rPr>
          <w:rFonts w:hint="eastAsia" w:ascii="Times New Roman" w:hAnsi="Times New Roman" w:eastAsia="宋体" w:cs="Times New Roman"/>
          <w:b/>
          <w:bCs/>
          <w:sz w:val="32"/>
          <w:szCs w:val="32"/>
        </w:rPr>
      </w:pPr>
      <w:bookmarkStart w:id="90" w:name="_Toc5532"/>
      <w:r>
        <w:rPr>
          <w:rFonts w:hint="eastAsia" w:ascii="Times New Roman" w:hAnsi="Times New Roman" w:eastAsia="宋体" w:cs="Times New Roman"/>
          <w:b/>
          <w:bCs/>
          <w:sz w:val="32"/>
          <w:szCs w:val="32"/>
        </w:rPr>
        <w:t>6.</w:t>
      </w:r>
      <w:r>
        <w:rPr>
          <w:rFonts w:hint="eastAsia" w:cs="Times New Roman"/>
          <w:b/>
          <w:bCs/>
          <w:sz w:val="32"/>
          <w:szCs w:val="32"/>
          <w:lang w:val="en-US" w:eastAsia="zh-CN"/>
        </w:rPr>
        <w:t>4</w:t>
      </w:r>
      <w:r>
        <w:rPr>
          <w:rFonts w:hint="eastAsia" w:ascii="Times New Roman" w:hAnsi="Times New Roman" w:eastAsia="宋体" w:cs="Times New Roman"/>
          <w:b/>
          <w:bCs/>
          <w:sz w:val="32"/>
          <w:szCs w:val="32"/>
        </w:rPr>
        <w:t>固体废物</w:t>
      </w:r>
      <w:bookmarkEnd w:id="90"/>
    </w:p>
    <w:p>
      <w:pPr>
        <w:ind w:firstLine="480" w:firstLineChars="200"/>
        <w:rPr>
          <w:rFonts w:hint="eastAsia" w:ascii="Times New Roman" w:hAnsi="Times New Roman" w:eastAsia="宋体" w:cs="Times New Roman"/>
          <w:lang w:val="en-US" w:eastAsia="zh-CN"/>
        </w:rPr>
      </w:pPr>
      <w:r>
        <w:rPr>
          <w:rFonts w:hint="eastAsia" w:ascii="Times New Roman" w:hAnsi="Times New Roman" w:eastAsia="宋体" w:cs="Times New Roman"/>
        </w:rPr>
        <w:t>项目产生的</w:t>
      </w:r>
      <w:r>
        <w:rPr>
          <w:rFonts w:hint="default" w:ascii="Times New Roman" w:hAnsi="Times New Roman" w:eastAsia="宋体" w:cs="Times New Roman"/>
        </w:rPr>
        <w:t>一般固废执行《一般工业固体废物贮存、处置场污染控制标准》（GB18599-20</w:t>
      </w:r>
      <w:r>
        <w:rPr>
          <w:rFonts w:hint="eastAsia" w:ascii="Times New Roman" w:hAnsi="Times New Roman" w:eastAsia="宋体" w:cs="Times New Roman"/>
          <w:lang w:val="en-US" w:eastAsia="zh-CN"/>
        </w:rPr>
        <w:t>20</w:t>
      </w:r>
      <w:r>
        <w:rPr>
          <w:rFonts w:hint="default" w:ascii="Times New Roman" w:hAnsi="Times New Roman" w:eastAsia="宋体" w:cs="Times New Roman"/>
        </w:rPr>
        <w:t>）中的相关要求</w:t>
      </w:r>
      <w:r>
        <w:rPr>
          <w:rFonts w:hint="eastAsia" w:ascii="Times New Roman" w:hAnsi="Times New Roman" w:eastAsia="宋体" w:cs="Times New Roman"/>
        </w:rPr>
        <w:t>。</w:t>
      </w:r>
      <w:r>
        <w:rPr>
          <w:rFonts w:hint="default" w:ascii="Times New Roman" w:hAnsi="Times New Roman" w:eastAsia="宋体" w:cs="Times New Roman"/>
        </w:rPr>
        <w:t>危险废物执行《危险废物贮存污染控制标准》（GB18597-2001）及2013年修改单中的标准要</w:t>
      </w:r>
      <w:r>
        <w:rPr>
          <w:rFonts w:hint="eastAsia" w:ascii="Times New Roman" w:hAnsi="Times New Roman" w:eastAsia="宋体" w:cs="Times New Roman"/>
        </w:rPr>
        <w:t>求</w:t>
      </w:r>
      <w:r>
        <w:rPr>
          <w:rFonts w:hint="eastAsia" w:ascii="Times New Roman" w:hAnsi="Times New Roman" w:eastAsia="宋体" w:cs="Times New Roman"/>
          <w:lang w:eastAsia="zh-CN"/>
        </w:rPr>
        <w:t>。</w:t>
      </w:r>
    </w:p>
    <w:p>
      <w:pPr>
        <w:pStyle w:val="21"/>
        <w:rPr>
          <w:rFonts w:hint="eastAsia" w:ascii="Times New Roman" w:hAnsi="Times New Roman" w:eastAsia="宋体" w:cs="Times New Roman"/>
          <w:color w:val="auto"/>
          <w:sz w:val="24"/>
          <w:szCs w:val="24"/>
          <w:lang w:eastAsia="zh-CN"/>
        </w:rPr>
      </w:pPr>
    </w:p>
    <w:p>
      <w:pPr>
        <w:pStyle w:val="21"/>
        <w:rPr>
          <w:rFonts w:hint="eastAsia" w:ascii="Times New Roman" w:hAnsi="Times New Roman" w:eastAsia="宋体" w:cs="Times New Roman"/>
          <w:color w:val="auto"/>
          <w:sz w:val="24"/>
          <w:szCs w:val="24"/>
          <w:lang w:eastAsia="zh-CN"/>
        </w:rPr>
      </w:pPr>
    </w:p>
    <w:p>
      <w:pPr>
        <w:pStyle w:val="21"/>
        <w:rPr>
          <w:rFonts w:hint="eastAsia" w:ascii="Times New Roman" w:hAnsi="Times New Roman" w:eastAsia="宋体" w:cs="Times New Roman"/>
          <w:color w:val="auto"/>
          <w:sz w:val="24"/>
          <w:szCs w:val="24"/>
          <w:lang w:eastAsia="zh-CN"/>
        </w:rPr>
      </w:pPr>
    </w:p>
    <w:p>
      <w:pPr>
        <w:pStyle w:val="21"/>
        <w:rPr>
          <w:rFonts w:hint="eastAsia" w:ascii="Times New Roman" w:hAnsi="Times New Roman" w:eastAsia="宋体" w:cs="Times New Roman"/>
          <w:color w:val="auto"/>
          <w:sz w:val="24"/>
          <w:szCs w:val="24"/>
          <w:lang w:eastAsia="zh-CN"/>
        </w:rPr>
      </w:pPr>
    </w:p>
    <w:p>
      <w:pPr>
        <w:rPr>
          <w:color w:val="FF0000"/>
        </w:rPr>
      </w:pPr>
    </w:p>
    <w:p>
      <w:pPr>
        <w:pStyle w:val="21"/>
        <w:sectPr>
          <w:footerReference r:id="rId21" w:type="default"/>
          <w:pgSz w:w="11906" w:h="16838"/>
          <w:pgMar w:top="1440" w:right="1800" w:bottom="1440" w:left="1800" w:header="794" w:footer="992" w:gutter="0"/>
          <w:pgNumType w:fmt="decimal"/>
          <w:cols w:space="425" w:num="1"/>
          <w:docGrid w:type="lines" w:linePitch="312" w:charSpace="0"/>
        </w:sectPr>
      </w:pPr>
    </w:p>
    <w:p>
      <w:pPr>
        <w:pStyle w:val="5"/>
        <w:keepNext/>
        <w:keepLines/>
        <w:pageBreakBefore w:val="0"/>
        <w:widowControl w:val="0"/>
        <w:kinsoku/>
        <w:wordWrap/>
        <w:overflowPunct/>
        <w:topLinePunct w:val="0"/>
        <w:autoSpaceDE/>
        <w:autoSpaceDN/>
        <w:bidi w:val="0"/>
        <w:adjustRightInd/>
        <w:snapToGrid/>
        <w:spacing w:before="120" w:beforeLines="0" w:after="120" w:afterLines="0"/>
        <w:textAlignment w:val="auto"/>
        <w:rPr>
          <w:sz w:val="36"/>
          <w:szCs w:val="36"/>
        </w:rPr>
      </w:pPr>
      <w:bookmarkStart w:id="91" w:name="_Toc204"/>
      <w:bookmarkStart w:id="92" w:name="_Toc2951"/>
      <w:bookmarkStart w:id="93" w:name="_Toc15726"/>
      <w:r>
        <w:rPr>
          <w:rFonts w:hint="eastAsia"/>
          <w:sz w:val="36"/>
          <w:szCs w:val="36"/>
        </w:rPr>
        <w:t>7验收监测内容</w:t>
      </w:r>
      <w:bookmarkEnd w:id="91"/>
      <w:bookmarkEnd w:id="92"/>
      <w:bookmarkEnd w:id="93"/>
    </w:p>
    <w:p>
      <w:pPr>
        <w:pStyle w:val="6"/>
        <w:keepNext/>
        <w:pageBreakBefore w:val="0"/>
        <w:widowControl w:val="0"/>
        <w:kinsoku/>
        <w:wordWrap/>
        <w:overflowPunct/>
        <w:topLinePunct w:val="0"/>
        <w:autoSpaceDE/>
        <w:autoSpaceDN/>
        <w:bidi w:val="0"/>
        <w:adjustRightInd/>
        <w:snapToGrid/>
        <w:spacing w:beforeLines="0" w:afterLines="0"/>
        <w:textAlignment w:val="auto"/>
        <w:rPr>
          <w:color w:val="auto"/>
          <w:sz w:val="32"/>
          <w:szCs w:val="32"/>
        </w:rPr>
      </w:pPr>
      <w:bookmarkStart w:id="94" w:name="_Toc27301"/>
      <w:bookmarkStart w:id="95" w:name="_Toc17482"/>
      <w:bookmarkStart w:id="96" w:name="_Toc15570"/>
      <w:r>
        <w:rPr>
          <w:rFonts w:hint="eastAsia"/>
          <w:color w:val="auto"/>
          <w:sz w:val="32"/>
          <w:szCs w:val="32"/>
        </w:rPr>
        <w:t>7.1环境保护设施调试运行效果</w:t>
      </w:r>
      <w:bookmarkEnd w:id="94"/>
      <w:bookmarkEnd w:id="95"/>
      <w:bookmarkEnd w:id="96"/>
    </w:p>
    <w:p>
      <w:pPr>
        <w:ind w:firstLine="480" w:firstLineChars="200"/>
        <w:rPr>
          <w:rFonts w:hint="eastAsia" w:ascii="Times New Roman" w:hAnsi="Times New Roman" w:eastAsia="宋体" w:cs="Times New Roman"/>
          <w:lang w:eastAsia="zh-CN"/>
        </w:rPr>
      </w:pPr>
      <w:r>
        <w:rPr>
          <w:rFonts w:hint="eastAsia" w:ascii="Times New Roman" w:hAnsi="Times New Roman" w:eastAsia="宋体" w:cs="Times New Roman"/>
          <w:lang w:eastAsia="zh-CN"/>
        </w:rPr>
        <w:t>通过对各类污染物排放及各类污染治理设施处理效率的监测，来说明环境保护设施调试运行效果，具体监测内容如下：</w:t>
      </w:r>
    </w:p>
    <w:p>
      <w:pPr>
        <w:pStyle w:val="7"/>
        <w:keepNext/>
        <w:keepLines/>
        <w:pageBreakBefore w:val="0"/>
        <w:widowControl w:val="0"/>
        <w:kinsoku/>
        <w:wordWrap/>
        <w:overflowPunct/>
        <w:topLinePunct w:val="0"/>
        <w:autoSpaceDE/>
        <w:autoSpaceDN/>
        <w:bidi w:val="0"/>
        <w:adjustRightInd/>
        <w:snapToGrid/>
        <w:spacing w:beforeLines="0" w:afterLines="0"/>
        <w:ind w:firstLine="0" w:firstLineChars="0"/>
        <w:textAlignment w:val="auto"/>
        <w:rPr>
          <w:sz w:val="30"/>
          <w:szCs w:val="30"/>
        </w:rPr>
      </w:pPr>
      <w:bookmarkStart w:id="97" w:name="_Toc13738"/>
      <w:r>
        <w:rPr>
          <w:rFonts w:hint="eastAsia"/>
          <w:sz w:val="30"/>
          <w:szCs w:val="30"/>
        </w:rPr>
        <w:t>7</w:t>
      </w:r>
      <w:r>
        <w:rPr>
          <w:sz w:val="30"/>
          <w:szCs w:val="30"/>
        </w:rPr>
        <w:t>.1.</w:t>
      </w:r>
      <w:r>
        <w:rPr>
          <w:rFonts w:hint="eastAsia"/>
          <w:sz w:val="30"/>
          <w:szCs w:val="30"/>
        </w:rPr>
        <w:t>1</w:t>
      </w:r>
      <w:r>
        <w:rPr>
          <w:sz w:val="30"/>
          <w:szCs w:val="30"/>
        </w:rPr>
        <w:t>废</w:t>
      </w:r>
      <w:r>
        <w:rPr>
          <w:rFonts w:hint="eastAsia"/>
          <w:sz w:val="30"/>
          <w:szCs w:val="30"/>
        </w:rPr>
        <w:t>气</w:t>
      </w:r>
      <w:bookmarkEnd w:id="97"/>
    </w:p>
    <w:p>
      <w:pPr>
        <w:pStyle w:val="8"/>
        <w:keepNext/>
        <w:keepLines/>
        <w:pageBreakBefore w:val="0"/>
        <w:widowControl w:val="0"/>
        <w:kinsoku/>
        <w:wordWrap/>
        <w:overflowPunct/>
        <w:topLinePunct w:val="0"/>
        <w:autoSpaceDE/>
        <w:autoSpaceDN/>
        <w:bidi w:val="0"/>
        <w:adjustRightInd/>
        <w:snapToGrid/>
        <w:spacing w:beforeLines="0" w:afterLines="0"/>
        <w:ind w:firstLine="0" w:firstLineChars="0"/>
        <w:textAlignment w:val="auto"/>
        <w:rPr>
          <w:sz w:val="28"/>
          <w:szCs w:val="28"/>
        </w:rPr>
      </w:pPr>
      <w:r>
        <w:rPr>
          <w:rFonts w:hint="eastAsia"/>
          <w:sz w:val="28"/>
          <w:szCs w:val="28"/>
        </w:rPr>
        <w:t>7</w:t>
      </w:r>
      <w:r>
        <w:rPr>
          <w:sz w:val="28"/>
          <w:szCs w:val="28"/>
        </w:rPr>
        <w:t>.1.</w:t>
      </w:r>
      <w:r>
        <w:rPr>
          <w:rFonts w:hint="eastAsia"/>
          <w:sz w:val="28"/>
          <w:szCs w:val="28"/>
        </w:rPr>
        <w:t>1.1有组织排放</w:t>
      </w:r>
    </w:p>
    <w:p>
      <w:pPr>
        <w:ind w:firstLine="480" w:firstLineChars="200"/>
        <w:rPr>
          <w:rFonts w:hint="eastAsia" w:ascii="Times New Roman" w:hAnsi="Times New Roman" w:eastAsia="宋体" w:cs="Times New Roman"/>
          <w:color w:val="auto"/>
          <w:lang w:eastAsia="zh-CN"/>
        </w:rPr>
      </w:pPr>
      <w:r>
        <w:rPr>
          <w:rFonts w:hint="eastAsia" w:ascii="Times New Roman" w:hAnsi="Times New Roman" w:eastAsia="宋体" w:cs="Times New Roman"/>
          <w:lang w:eastAsia="zh-CN"/>
        </w:rPr>
        <w:t>（1）监测点位：</w:t>
      </w:r>
      <w:r>
        <w:rPr>
          <w:rFonts w:hint="eastAsia" w:cs="Times New Roman"/>
          <w:lang w:val="en-US" w:eastAsia="zh-CN"/>
        </w:rPr>
        <w:t>2#</w:t>
      </w:r>
      <w:r>
        <w:rPr>
          <w:rFonts w:hint="eastAsia" w:ascii="Times New Roman" w:hAnsi="Times New Roman" w:eastAsia="宋体" w:cs="Times New Roman"/>
          <w:lang w:eastAsia="zh-CN"/>
        </w:rPr>
        <w:t>厂房有机废</w:t>
      </w:r>
      <w:r>
        <w:rPr>
          <w:rFonts w:hint="eastAsia" w:ascii="Times New Roman" w:hAnsi="Times New Roman" w:eastAsia="宋体" w:cs="Times New Roman"/>
          <w:color w:val="auto"/>
          <w:lang w:eastAsia="zh-CN"/>
        </w:rPr>
        <w:t>气处理装置进出口；涂胶漆房排气筒进出口。</w:t>
      </w:r>
    </w:p>
    <w:p>
      <w:pPr>
        <w:ind w:firstLine="480" w:firstLineChars="200"/>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eastAsia="zh-CN"/>
        </w:rPr>
        <w:t>（2）监测项目：厂房有机废气处理装置进、出口</w:t>
      </w:r>
      <w:r>
        <w:rPr>
          <w:rFonts w:hint="eastAsia" w:ascii="Times New Roman" w:hAnsi="Times New Roman" w:eastAsia="宋体" w:cs="Times New Roman"/>
          <w:color w:val="auto"/>
          <w:lang w:val="en-US" w:eastAsia="zh-CN"/>
        </w:rPr>
        <w:t>测定（颗粒物、非甲烷总烃、甲苯、乙酸乙酯</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w:t>
      </w:r>
      <w:r>
        <w:rPr>
          <w:rFonts w:hint="eastAsia" w:ascii="Times New Roman" w:hAnsi="Times New Roman" w:eastAsia="宋体" w:cs="Times New Roman"/>
          <w:color w:val="auto"/>
          <w:lang w:eastAsia="zh-CN"/>
        </w:rPr>
        <w:t>涂胶漆房排气筒进出口（</w:t>
      </w:r>
      <w:r>
        <w:rPr>
          <w:rFonts w:hint="eastAsia" w:ascii="Times New Roman" w:hAnsi="Times New Roman" w:eastAsia="宋体" w:cs="Times New Roman"/>
          <w:color w:val="auto"/>
          <w:lang w:val="en-US" w:eastAsia="zh-CN"/>
        </w:rPr>
        <w:t>甲苯、乙酸乙酯</w:t>
      </w:r>
      <w:r>
        <w:rPr>
          <w:rFonts w:hint="eastAsia" w:cs="Times New Roman"/>
          <w:color w:val="auto"/>
          <w:lang w:val="en-US" w:eastAsia="zh-CN"/>
        </w:rPr>
        <w:t>、非甲烷总烃</w:t>
      </w:r>
      <w:r>
        <w:rPr>
          <w:rFonts w:hint="eastAsia" w:ascii="Times New Roman" w:hAnsi="Times New Roman" w:eastAsia="宋体" w:cs="Times New Roman"/>
          <w:color w:val="auto"/>
          <w:lang w:eastAsia="zh-CN"/>
        </w:rPr>
        <w:t>）。</w:t>
      </w:r>
    </w:p>
    <w:p>
      <w:pPr>
        <w:ind w:firstLine="480" w:firstLineChars="200"/>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eastAsia="zh-CN"/>
        </w:rPr>
        <w:t>（3）监测频次：每天监测</w:t>
      </w:r>
      <w:r>
        <w:rPr>
          <w:rFonts w:hint="eastAsia" w:cs="Times New Roman"/>
          <w:color w:val="auto"/>
          <w:lang w:eastAsia="zh-CN"/>
        </w:rPr>
        <w:t>四</w:t>
      </w:r>
      <w:r>
        <w:rPr>
          <w:rFonts w:hint="eastAsia" w:ascii="Times New Roman" w:hAnsi="Times New Roman" w:eastAsia="宋体" w:cs="Times New Roman"/>
          <w:color w:val="auto"/>
          <w:lang w:eastAsia="zh-CN"/>
        </w:rPr>
        <w:t>次，连续监测两天。</w:t>
      </w:r>
    </w:p>
    <w:p>
      <w:pPr>
        <w:pStyle w:val="8"/>
        <w:keepNext/>
        <w:keepLines/>
        <w:pageBreakBefore w:val="0"/>
        <w:widowControl w:val="0"/>
        <w:kinsoku/>
        <w:wordWrap/>
        <w:overflowPunct/>
        <w:topLinePunct w:val="0"/>
        <w:autoSpaceDE/>
        <w:autoSpaceDN/>
        <w:bidi w:val="0"/>
        <w:adjustRightInd/>
        <w:snapToGrid/>
        <w:spacing w:beforeLines="0" w:afterLines="0"/>
        <w:ind w:firstLine="0" w:firstLineChars="0"/>
        <w:textAlignment w:val="auto"/>
        <w:rPr>
          <w:sz w:val="28"/>
          <w:szCs w:val="28"/>
        </w:rPr>
      </w:pPr>
      <w:r>
        <w:rPr>
          <w:rFonts w:hint="eastAsia"/>
          <w:sz w:val="28"/>
          <w:szCs w:val="28"/>
        </w:rPr>
        <w:t>7</w:t>
      </w:r>
      <w:r>
        <w:rPr>
          <w:sz w:val="28"/>
          <w:szCs w:val="28"/>
        </w:rPr>
        <w:t>.1.</w:t>
      </w:r>
      <w:r>
        <w:rPr>
          <w:rFonts w:hint="eastAsia"/>
          <w:sz w:val="28"/>
          <w:szCs w:val="28"/>
        </w:rPr>
        <w:t>1.2无组织排放</w:t>
      </w:r>
    </w:p>
    <w:p>
      <w:pPr>
        <w:ind w:firstLine="480" w:firstLineChars="200"/>
      </w:pPr>
      <w:r>
        <w:t>（1）监测点位：根据废气排放特点及建设项目区域环境特征，在厂界外布设</w:t>
      </w:r>
      <w:r>
        <w:rPr>
          <w:rFonts w:hint="eastAsia"/>
          <w:lang w:val="en-US" w:eastAsia="zh-CN"/>
        </w:rPr>
        <w:t>4个大气无组织监测点</w:t>
      </w:r>
      <w:r>
        <w:t>，点位选择根据监测时气象情况确定，上风向1个参照点，下风向3个监控点。</w:t>
      </w:r>
    </w:p>
    <w:p>
      <w:pPr>
        <w:ind w:firstLine="480" w:firstLineChars="200"/>
      </w:pPr>
      <w:r>
        <w:t>（2）监测项目：气象参</w:t>
      </w:r>
      <w:r>
        <w:rPr>
          <w:rFonts w:ascii="Times New Roman" w:hAnsi="Times New Roman" w:eastAsia="宋体" w:cs="Times New Roman"/>
        </w:rPr>
        <w:t>数，</w:t>
      </w:r>
      <w:r>
        <w:rPr>
          <w:rFonts w:hint="eastAsia" w:ascii="Times New Roman" w:hAnsi="Times New Roman" w:eastAsia="宋体" w:cs="Times New Roman"/>
          <w:lang w:val="en-US" w:eastAsia="zh-CN"/>
        </w:rPr>
        <w:t>颗粒物、非甲烷总烃、甲苯</w:t>
      </w:r>
      <w:r>
        <w:rPr>
          <w:rFonts w:ascii="Times New Roman" w:hAnsi="Times New Roman" w:eastAsia="宋体" w:cs="Times New Roman"/>
        </w:rPr>
        <w:t>。</w:t>
      </w:r>
    </w:p>
    <w:p>
      <w:pPr>
        <w:ind w:firstLine="480" w:firstLineChars="200"/>
      </w:pPr>
      <w:r>
        <w:t>（3）监测频次：每天监测</w:t>
      </w:r>
      <w:r>
        <w:rPr>
          <w:rFonts w:hint="eastAsia"/>
          <w:lang w:eastAsia="zh-CN"/>
        </w:rPr>
        <w:t>四</w:t>
      </w:r>
      <w:r>
        <w:rPr>
          <w:rFonts w:hint="eastAsia"/>
        </w:rPr>
        <w:t>次</w:t>
      </w:r>
      <w:r>
        <w:t>，连续监测两天。</w:t>
      </w:r>
    </w:p>
    <w:p>
      <w:pPr>
        <w:pStyle w:val="7"/>
        <w:keepNext/>
        <w:keepLines/>
        <w:pageBreakBefore w:val="0"/>
        <w:widowControl w:val="0"/>
        <w:kinsoku/>
        <w:wordWrap/>
        <w:overflowPunct/>
        <w:topLinePunct w:val="0"/>
        <w:autoSpaceDE/>
        <w:autoSpaceDN/>
        <w:bidi w:val="0"/>
        <w:adjustRightInd/>
        <w:snapToGrid/>
        <w:spacing w:beforeLines="0" w:afterLines="0"/>
        <w:ind w:firstLine="0" w:firstLineChars="0"/>
        <w:textAlignment w:val="auto"/>
        <w:rPr>
          <w:sz w:val="30"/>
          <w:szCs w:val="30"/>
        </w:rPr>
      </w:pPr>
      <w:bookmarkStart w:id="98" w:name="_Toc22920"/>
      <w:r>
        <w:rPr>
          <w:rFonts w:hint="eastAsia"/>
          <w:sz w:val="30"/>
          <w:szCs w:val="30"/>
        </w:rPr>
        <w:t>7</w:t>
      </w:r>
      <w:r>
        <w:rPr>
          <w:sz w:val="30"/>
          <w:szCs w:val="30"/>
        </w:rPr>
        <w:t>.1.</w:t>
      </w:r>
      <w:r>
        <w:rPr>
          <w:rFonts w:hint="eastAsia"/>
          <w:sz w:val="30"/>
          <w:szCs w:val="30"/>
        </w:rPr>
        <w:t>2厂界噪声监测</w:t>
      </w:r>
      <w:bookmarkEnd w:id="98"/>
    </w:p>
    <w:p>
      <w:pPr>
        <w:ind w:firstLine="480" w:firstLineChars="200"/>
      </w:pPr>
      <w:r>
        <w:t>（1）监测点位：厂界四周外1米。</w:t>
      </w:r>
    </w:p>
    <w:p>
      <w:pPr>
        <w:ind w:firstLine="480" w:firstLineChars="200"/>
      </w:pPr>
      <w:r>
        <w:t>（2）监测项目：等效A声级Leq（dB），昼、夜噪声。</w:t>
      </w:r>
    </w:p>
    <w:p>
      <w:pPr>
        <w:ind w:firstLine="480" w:firstLineChars="200"/>
      </w:pPr>
      <w:r>
        <w:t>（3）监测频次：昼夜各监测一次，连续监测两天。</w:t>
      </w:r>
    </w:p>
    <w:p>
      <w:pPr>
        <w:pStyle w:val="7"/>
        <w:keepNext/>
        <w:keepLines/>
        <w:pageBreakBefore w:val="0"/>
        <w:widowControl w:val="0"/>
        <w:kinsoku/>
        <w:wordWrap/>
        <w:overflowPunct/>
        <w:topLinePunct w:val="0"/>
        <w:autoSpaceDE/>
        <w:autoSpaceDN/>
        <w:bidi w:val="0"/>
        <w:adjustRightInd/>
        <w:snapToGrid/>
        <w:spacing w:beforeLines="0" w:afterLines="0"/>
        <w:ind w:firstLine="0" w:firstLineChars="0"/>
        <w:textAlignment w:val="auto"/>
        <w:rPr>
          <w:rFonts w:hint="eastAsia" w:eastAsia="宋体"/>
          <w:sz w:val="30"/>
          <w:szCs w:val="30"/>
          <w:lang w:eastAsia="zh-CN"/>
        </w:rPr>
      </w:pPr>
      <w:r>
        <w:rPr>
          <w:rFonts w:hint="eastAsia"/>
          <w:sz w:val="30"/>
          <w:szCs w:val="30"/>
        </w:rPr>
        <w:t>7</w:t>
      </w:r>
      <w:r>
        <w:rPr>
          <w:sz w:val="30"/>
          <w:szCs w:val="30"/>
        </w:rPr>
        <w:t>.1.</w:t>
      </w:r>
      <w:r>
        <w:rPr>
          <w:rFonts w:hint="eastAsia"/>
          <w:sz w:val="30"/>
          <w:szCs w:val="30"/>
        </w:rPr>
        <w:t>3</w:t>
      </w:r>
      <w:r>
        <w:rPr>
          <w:rFonts w:hint="eastAsia"/>
          <w:sz w:val="30"/>
          <w:szCs w:val="30"/>
          <w:lang w:eastAsia="zh-CN"/>
        </w:rPr>
        <w:t>废水</w:t>
      </w:r>
    </w:p>
    <w:p>
      <w:pPr>
        <w:ind w:firstLine="480" w:firstLineChars="200"/>
        <w:rPr>
          <w:sz w:val="24"/>
          <w:szCs w:val="24"/>
        </w:rPr>
      </w:pPr>
      <w:r>
        <w:rPr>
          <w:sz w:val="24"/>
          <w:szCs w:val="24"/>
        </w:rPr>
        <w:t>（1）</w:t>
      </w:r>
      <w:r>
        <w:rPr>
          <w:rFonts w:hint="eastAsia"/>
          <w:sz w:val="24"/>
          <w:szCs w:val="24"/>
        </w:rPr>
        <w:t>采样</w:t>
      </w:r>
      <w:r>
        <w:rPr>
          <w:sz w:val="24"/>
          <w:szCs w:val="24"/>
        </w:rPr>
        <w:t>点位：</w:t>
      </w:r>
      <w:r>
        <w:rPr>
          <w:rFonts w:hint="eastAsia"/>
          <w:sz w:val="24"/>
          <w:szCs w:val="24"/>
          <w:lang w:eastAsia="zh-CN"/>
        </w:rPr>
        <w:t>废水总排口</w:t>
      </w:r>
      <w:r>
        <w:rPr>
          <w:sz w:val="24"/>
          <w:szCs w:val="24"/>
        </w:rPr>
        <w:t>。</w:t>
      </w:r>
    </w:p>
    <w:p>
      <w:pPr>
        <w:ind w:firstLine="480" w:firstLineChars="200"/>
        <w:rPr>
          <w:rFonts w:ascii="Times New Roman" w:hAnsi="Times New Roman" w:eastAsia="宋体" w:cs="Times New Roman"/>
        </w:rPr>
      </w:pPr>
      <w:r>
        <w:rPr>
          <w:sz w:val="24"/>
          <w:szCs w:val="24"/>
        </w:rPr>
        <w:t>（2）监测项目：</w:t>
      </w:r>
      <w:r>
        <w:rPr>
          <w:rFonts w:hint="eastAsia" w:ascii="Times New Roman" w:hAnsi="Times New Roman" w:eastAsia="宋体" w:cs="Times New Roman"/>
          <w:lang w:val="en-US" w:eastAsia="zh-CN"/>
        </w:rPr>
        <w:t>pH、</w:t>
      </w:r>
      <w:r>
        <w:rPr>
          <w:rFonts w:hint="eastAsia" w:cs="Times New Roman"/>
          <w:lang w:val="en-US" w:eastAsia="zh-CN"/>
        </w:rPr>
        <w:t>化学需氧量</w:t>
      </w:r>
      <w:r>
        <w:rPr>
          <w:rFonts w:hint="eastAsia" w:ascii="Times New Roman" w:hAnsi="Times New Roman" w:eastAsia="宋体" w:cs="Times New Roman"/>
          <w:lang w:val="en-US" w:eastAsia="zh-CN"/>
        </w:rPr>
        <w:t>、</w:t>
      </w:r>
      <w:r>
        <w:rPr>
          <w:rFonts w:hint="eastAsia" w:cs="Times New Roman"/>
          <w:lang w:val="en-US" w:eastAsia="zh-CN"/>
        </w:rPr>
        <w:t>氨氮</w:t>
      </w:r>
      <w:r>
        <w:rPr>
          <w:rFonts w:hint="eastAsia" w:ascii="Times New Roman" w:hAnsi="Times New Roman" w:eastAsia="宋体" w:cs="Times New Roman"/>
          <w:lang w:val="en-US" w:eastAsia="zh-CN"/>
        </w:rPr>
        <w:t>、</w:t>
      </w:r>
      <w:r>
        <w:rPr>
          <w:rFonts w:hint="eastAsia" w:cs="Times New Roman"/>
          <w:lang w:eastAsia="zh-CN"/>
        </w:rPr>
        <w:t>悬浮物</w:t>
      </w:r>
      <w:r>
        <w:rPr>
          <w:rFonts w:ascii="Times New Roman" w:hAnsi="Times New Roman" w:eastAsia="宋体" w:cs="Times New Roman"/>
        </w:rPr>
        <w:t>、</w:t>
      </w:r>
      <w:r>
        <w:rPr>
          <w:rFonts w:hint="eastAsia" w:cs="Times New Roman"/>
          <w:lang w:val="en-US" w:eastAsia="zh-CN"/>
        </w:rPr>
        <w:t>五日生化需氧量</w:t>
      </w:r>
      <w:r>
        <w:rPr>
          <w:rFonts w:hint="eastAsia" w:ascii="Times New Roman" w:hAnsi="Times New Roman" w:eastAsia="宋体" w:cs="Times New Roman"/>
          <w:lang w:val="en-US" w:eastAsia="zh-CN"/>
        </w:rPr>
        <w:t>、</w:t>
      </w:r>
      <w:r>
        <w:rPr>
          <w:rFonts w:ascii="Times New Roman" w:hAnsi="Times New Roman" w:eastAsia="宋体" w:cs="Times New Roman"/>
        </w:rPr>
        <w:t>动植物油。</w:t>
      </w:r>
    </w:p>
    <w:p>
      <w:pPr>
        <w:pStyle w:val="21"/>
        <w:ind w:firstLine="480" w:firstLineChars="200"/>
        <w:rPr>
          <w:color w:val="auto"/>
          <w:sz w:val="24"/>
          <w:szCs w:val="24"/>
        </w:rPr>
      </w:pPr>
      <w:r>
        <w:rPr>
          <w:color w:val="auto"/>
          <w:sz w:val="24"/>
          <w:szCs w:val="24"/>
        </w:rPr>
        <w:t>（3）监测频次：</w:t>
      </w:r>
      <w:r>
        <w:t>每天监测</w:t>
      </w:r>
      <w:r>
        <w:rPr>
          <w:rFonts w:hint="eastAsia"/>
          <w:lang w:eastAsia="zh-CN"/>
        </w:rPr>
        <w:t>四</w:t>
      </w:r>
      <w:r>
        <w:rPr>
          <w:rFonts w:hint="eastAsia"/>
        </w:rPr>
        <w:t>次</w:t>
      </w:r>
      <w:r>
        <w:t>，连续监测两天</w:t>
      </w:r>
      <w:r>
        <w:rPr>
          <w:color w:val="auto"/>
          <w:sz w:val="24"/>
          <w:szCs w:val="24"/>
        </w:rPr>
        <w:t>。</w:t>
      </w:r>
    </w:p>
    <w:p>
      <w:pPr>
        <w:pStyle w:val="21"/>
        <w:ind w:firstLine="480" w:firstLineChars="200"/>
        <w:rPr>
          <w:color w:val="auto"/>
          <w:sz w:val="24"/>
          <w:szCs w:val="24"/>
        </w:rPr>
      </w:pPr>
    </w:p>
    <w:p>
      <w:pPr>
        <w:keepNext w:val="0"/>
        <w:keepLines w:val="0"/>
        <w:pageBreakBefore w:val="0"/>
        <w:widowControl w:val="0"/>
        <w:kinsoku/>
        <w:wordWrap/>
        <w:overflowPunct/>
        <w:topLinePunct w:val="0"/>
        <w:autoSpaceDE/>
        <w:autoSpaceDN/>
        <w:bidi w:val="0"/>
        <w:adjustRightInd/>
        <w:snapToGrid/>
        <w:spacing w:before="120" w:after="120"/>
        <w:textAlignment w:val="auto"/>
        <w:outlineLvl w:val="0"/>
        <w:rPr>
          <w:b/>
          <w:bCs/>
          <w:color w:val="auto"/>
          <w:szCs w:val="32"/>
        </w:rPr>
      </w:pPr>
      <w:bookmarkStart w:id="99" w:name="_Toc202"/>
      <w:bookmarkStart w:id="100" w:name="_Toc23924"/>
      <w:bookmarkStart w:id="101" w:name="_Toc30750"/>
      <w:r>
        <w:rPr>
          <w:rStyle w:val="23"/>
          <w:rFonts w:hint="eastAsia"/>
          <w:color w:val="auto"/>
          <w:sz w:val="36"/>
          <w:szCs w:val="36"/>
        </w:rPr>
        <w:t>8质量保证和质量控制</w:t>
      </w:r>
      <w:bookmarkEnd w:id="99"/>
      <w:bookmarkEnd w:id="100"/>
      <w:bookmarkEnd w:id="101"/>
    </w:p>
    <w:p>
      <w:pPr>
        <w:ind w:firstLine="480" w:firstLineChars="200"/>
      </w:pPr>
      <w:r>
        <w:rPr>
          <w:rFonts w:hint="eastAsia"/>
        </w:rPr>
        <w:t>（1）</w:t>
      </w:r>
      <w:r>
        <w:t>了解生产工况，保证监测过程中工况负荷</w:t>
      </w:r>
      <w:r>
        <w:rPr>
          <w:rFonts w:hint="eastAsia"/>
          <w:lang w:eastAsia="zh-CN"/>
        </w:rPr>
        <w:t>执行</w:t>
      </w:r>
      <w:r>
        <w:t>验收监测要求；</w:t>
      </w:r>
    </w:p>
    <w:p>
      <w:pPr>
        <w:ind w:firstLine="480" w:firstLineChars="200"/>
      </w:pPr>
      <w:r>
        <w:rPr>
          <w:rFonts w:hint="eastAsia"/>
        </w:rPr>
        <w:t>（2）</w:t>
      </w:r>
      <w:r>
        <w:t>合理布置监测点位，保证点位布设的科学性和合理性；</w:t>
      </w:r>
    </w:p>
    <w:p>
      <w:pPr>
        <w:ind w:firstLine="480" w:firstLineChars="200"/>
      </w:pPr>
      <w:r>
        <w:rPr>
          <w:rFonts w:hint="eastAsia"/>
        </w:rPr>
        <w:t>（3）</w:t>
      </w:r>
      <w:r>
        <w:t>监测分析方法采用国家标准分析方法，监测人员持证上岗；</w:t>
      </w:r>
    </w:p>
    <w:p>
      <w:pPr>
        <w:ind w:firstLine="480" w:firstLineChars="200"/>
      </w:pPr>
      <w:r>
        <w:rPr>
          <w:rFonts w:hint="eastAsia"/>
        </w:rPr>
        <w:t>（4）</w:t>
      </w:r>
      <w:r>
        <w:t>现场采样和测试前，空气采样器进行流量校准，声级计用声级计校准器进行校准；</w:t>
      </w:r>
    </w:p>
    <w:p>
      <w:pPr>
        <w:ind w:firstLine="480" w:firstLineChars="200"/>
      </w:pPr>
      <w:r>
        <w:rPr>
          <w:rFonts w:hint="eastAsia"/>
        </w:rPr>
        <w:t>（5）</w:t>
      </w:r>
      <w:r>
        <w:t>样品采集、运输、保存严格按照国家规定的技术要求实施；</w:t>
      </w:r>
    </w:p>
    <w:p>
      <w:pPr>
        <w:ind w:firstLine="480" w:firstLineChars="200"/>
      </w:pPr>
      <w:r>
        <w:rPr>
          <w:rFonts w:hint="eastAsia"/>
        </w:rPr>
        <w:t>（6）</w:t>
      </w:r>
      <w:r>
        <w:t>监测数据及验收监测报告严格执行三级审核制度，经过校核、审核、审定后报出。</w:t>
      </w:r>
    </w:p>
    <w:p>
      <w:pPr>
        <w:pStyle w:val="6"/>
        <w:keepNext/>
        <w:keepLines w:val="0"/>
        <w:pageBreakBefore w:val="0"/>
        <w:widowControl w:val="0"/>
        <w:kinsoku/>
        <w:wordWrap/>
        <w:overflowPunct/>
        <w:topLinePunct w:val="0"/>
        <w:autoSpaceDE/>
        <w:autoSpaceDN/>
        <w:bidi w:val="0"/>
        <w:adjustRightInd/>
        <w:snapToGrid/>
        <w:spacing w:beforeLines="0" w:afterLines="0"/>
        <w:textAlignment w:val="auto"/>
        <w:rPr>
          <w:color w:val="auto"/>
          <w:sz w:val="32"/>
          <w:szCs w:val="32"/>
        </w:rPr>
      </w:pPr>
      <w:bookmarkStart w:id="102" w:name="_Toc14954"/>
      <w:bookmarkStart w:id="103" w:name="_Toc8217"/>
      <w:bookmarkStart w:id="104" w:name="_Toc18207"/>
      <w:r>
        <w:rPr>
          <w:rFonts w:hint="eastAsia"/>
          <w:color w:val="auto"/>
          <w:sz w:val="32"/>
          <w:szCs w:val="32"/>
        </w:rPr>
        <w:t>8.1监测分析方法</w:t>
      </w:r>
      <w:bookmarkEnd w:id="102"/>
      <w:bookmarkEnd w:id="103"/>
      <w:bookmarkEnd w:id="104"/>
    </w:p>
    <w:p>
      <w:pPr>
        <w:keepNext w:val="0"/>
        <w:keepLines w:val="0"/>
        <w:pageBreakBefore w:val="0"/>
        <w:widowControl w:val="0"/>
        <w:kinsoku/>
        <w:wordWrap/>
        <w:overflowPunct/>
        <w:topLinePunct w:val="0"/>
        <w:autoSpaceDE/>
        <w:autoSpaceDN/>
        <w:bidi w:val="0"/>
        <w:adjustRightInd/>
        <w:snapToGrid/>
        <w:ind w:firstLine="480" w:firstLineChars="200"/>
        <w:textAlignment w:val="auto"/>
        <w:outlineLvl w:val="9"/>
      </w:pPr>
      <w:r>
        <w:rPr>
          <w:rFonts w:hint="eastAsia"/>
        </w:rPr>
        <w:t>（1）监测技术规范</w:t>
      </w:r>
    </w:p>
    <w:p>
      <w:pPr>
        <w:ind w:firstLine="480" w:firstLineChars="200"/>
      </w:pPr>
      <w:r>
        <w:rPr>
          <w:rFonts w:hint="eastAsia"/>
        </w:rPr>
        <w:t>1、</w:t>
      </w:r>
      <w:r>
        <w:t>《固定源废气监测技术规范》（HJ/T 397-2007）</w:t>
      </w:r>
    </w:p>
    <w:p>
      <w:pPr>
        <w:ind w:firstLine="480" w:firstLineChars="200"/>
      </w:pPr>
      <w:r>
        <w:rPr>
          <w:rFonts w:hint="eastAsia"/>
        </w:rPr>
        <w:t>2、</w:t>
      </w:r>
      <w:r>
        <w:t>《大气污染物无组织排放监测技术导则》（HJ/T 55-2000）</w:t>
      </w:r>
    </w:p>
    <w:p>
      <w:pPr>
        <w:ind w:firstLine="480" w:firstLineChars="200"/>
      </w:pPr>
      <w:r>
        <w:rPr>
          <w:rFonts w:hint="eastAsia"/>
        </w:rPr>
        <w:t>3、</w:t>
      </w:r>
      <w:r>
        <w:t>《工业企业厂界环境噪声排放标准》（GB 12348-2008）</w:t>
      </w:r>
    </w:p>
    <w:p>
      <w:pPr>
        <w:ind w:firstLine="480" w:firstLineChars="200"/>
      </w:pPr>
      <w:r>
        <w:rPr>
          <w:rFonts w:hint="eastAsia"/>
        </w:rPr>
        <w:t>4、</w:t>
      </w:r>
      <w:r>
        <w:t>《固定污染源烟气排放连续监测技术规范（试行）》（HJ/T 75）</w:t>
      </w:r>
    </w:p>
    <w:p>
      <w:pPr>
        <w:ind w:firstLine="480" w:firstLineChars="200"/>
      </w:pPr>
      <w:r>
        <w:rPr>
          <w:rFonts w:hint="eastAsia"/>
        </w:rPr>
        <w:t>5、</w:t>
      </w:r>
      <w:r>
        <w:t>《固定污染源烟气排放连续监测系统技术要求及检测方法（试行）》（HJ/T 75）</w:t>
      </w:r>
    </w:p>
    <w:p>
      <w:pPr>
        <w:ind w:firstLine="480" w:firstLineChars="200"/>
      </w:pPr>
      <w:r>
        <w:rPr>
          <w:rFonts w:hint="eastAsia"/>
        </w:rPr>
        <w:t>6、</w:t>
      </w:r>
      <w:r>
        <w:t>《工业固体废物采样制样技术规范》（HJ/T 20）</w:t>
      </w:r>
    </w:p>
    <w:p>
      <w:pPr>
        <w:ind w:firstLine="480" w:firstLineChars="200"/>
      </w:pPr>
      <w:r>
        <w:rPr>
          <w:rFonts w:hint="eastAsia"/>
        </w:rPr>
        <w:t>7、</w:t>
      </w:r>
      <w:r>
        <w:t>《环境监测质量管理技术导则》（HJ 630）</w:t>
      </w:r>
    </w:p>
    <w:p>
      <w:pPr>
        <w:keepNext w:val="0"/>
        <w:keepLines w:val="0"/>
        <w:pageBreakBefore w:val="0"/>
        <w:widowControl w:val="0"/>
        <w:kinsoku/>
        <w:wordWrap/>
        <w:overflowPunct/>
        <w:topLinePunct w:val="0"/>
        <w:autoSpaceDE/>
        <w:autoSpaceDN/>
        <w:bidi w:val="0"/>
        <w:adjustRightInd/>
        <w:snapToGrid/>
        <w:ind w:firstLine="480" w:firstLineChars="200"/>
        <w:textAlignment w:val="auto"/>
        <w:outlineLvl w:val="9"/>
        <w:rPr>
          <w:rFonts w:hint="eastAsia" w:ascii="Times New Roman" w:hAnsi="Times New Roman" w:eastAsia="宋体" w:cs="Times New Roman"/>
        </w:rPr>
      </w:pPr>
      <w:r>
        <w:rPr>
          <w:rFonts w:hint="eastAsia" w:ascii="Times New Roman" w:hAnsi="Times New Roman" w:eastAsia="宋体" w:cs="Times New Roman"/>
        </w:rPr>
        <w:t>（2）监测分析方法</w:t>
      </w:r>
    </w:p>
    <w:p>
      <w:pPr>
        <w:ind w:firstLine="480" w:firstLineChars="200"/>
        <w:rPr>
          <w:color w:val="FF0000"/>
        </w:rPr>
      </w:pPr>
      <w:r>
        <w:t>废气监测分析方法及其检出限如表8.</w:t>
      </w:r>
      <w:r>
        <w:rPr>
          <w:rFonts w:hint="eastAsia"/>
        </w:rPr>
        <w:t>1</w:t>
      </w:r>
      <w:r>
        <w:t>-1所示。</w:t>
      </w:r>
    </w:p>
    <w:p>
      <w:pPr>
        <w:jc w:val="center"/>
        <w:rPr>
          <w:rFonts w:hint="eastAsia" w:ascii="Times New Roman" w:hAnsi="Times New Roman" w:eastAsia="黑体" w:cs="Times New Roman"/>
          <w:b w:val="0"/>
          <w:bCs w:val="0"/>
          <w:sz w:val="21"/>
          <w:szCs w:val="21"/>
          <w:lang w:val="en-US" w:eastAsia="zh-CN"/>
        </w:rPr>
      </w:pPr>
      <w:r>
        <w:rPr>
          <w:rFonts w:hint="eastAsia" w:ascii="Times New Roman" w:hAnsi="Times New Roman" w:eastAsia="黑体" w:cs="Times New Roman"/>
          <w:b w:val="0"/>
          <w:bCs w:val="0"/>
          <w:sz w:val="21"/>
          <w:szCs w:val="21"/>
          <w:lang w:val="en-US" w:eastAsia="zh-CN"/>
        </w:rPr>
        <w:t>表8.1-1 废气监测分析方法</w:t>
      </w:r>
    </w:p>
    <w:tbl>
      <w:tblPr>
        <w:tblStyle w:val="1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8"/>
        <w:gridCol w:w="1476"/>
        <w:gridCol w:w="2936"/>
        <w:gridCol w:w="1886"/>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7" w:type="pct"/>
            <w:vAlign w:val="center"/>
          </w:tcPr>
          <w:p>
            <w:pPr>
              <w:spacing w:line="240" w:lineRule="auto"/>
              <w:jc w:val="center"/>
              <w:rPr>
                <w:color w:val="000000"/>
                <w:sz w:val="21"/>
                <w:szCs w:val="21"/>
                <w:shd w:val="clear" w:color="auto" w:fill="FFFFFF"/>
              </w:rPr>
            </w:pPr>
            <w:r>
              <w:rPr>
                <w:color w:val="000000"/>
                <w:sz w:val="21"/>
                <w:szCs w:val="21"/>
                <w:shd w:val="clear" w:color="auto" w:fill="FFFFFF"/>
              </w:rPr>
              <w:t>序号</w:t>
            </w:r>
          </w:p>
        </w:tc>
        <w:tc>
          <w:tcPr>
            <w:tcW w:w="866" w:type="pct"/>
            <w:vAlign w:val="center"/>
          </w:tcPr>
          <w:p>
            <w:pPr>
              <w:spacing w:line="240" w:lineRule="auto"/>
              <w:jc w:val="center"/>
              <w:rPr>
                <w:color w:val="000000"/>
                <w:sz w:val="21"/>
                <w:szCs w:val="21"/>
                <w:shd w:val="clear" w:color="auto" w:fill="FFFFFF"/>
              </w:rPr>
            </w:pPr>
            <w:r>
              <w:rPr>
                <w:color w:val="000000"/>
                <w:sz w:val="21"/>
                <w:szCs w:val="21"/>
                <w:shd w:val="clear" w:color="auto" w:fill="FFFFFF"/>
              </w:rPr>
              <w:t>检测项目</w:t>
            </w:r>
          </w:p>
        </w:tc>
        <w:tc>
          <w:tcPr>
            <w:tcW w:w="1722" w:type="pct"/>
            <w:vAlign w:val="center"/>
          </w:tcPr>
          <w:p>
            <w:pPr>
              <w:spacing w:line="240" w:lineRule="auto"/>
              <w:jc w:val="center"/>
              <w:rPr>
                <w:color w:val="000000"/>
                <w:sz w:val="21"/>
                <w:szCs w:val="21"/>
                <w:shd w:val="clear" w:color="auto" w:fill="FFFFFF"/>
              </w:rPr>
            </w:pPr>
            <w:r>
              <w:rPr>
                <w:color w:val="000000"/>
                <w:sz w:val="21"/>
                <w:szCs w:val="21"/>
                <w:shd w:val="clear" w:color="auto" w:fill="FFFFFF"/>
              </w:rPr>
              <w:t>依据的标准（方法）名称</w:t>
            </w:r>
          </w:p>
        </w:tc>
        <w:tc>
          <w:tcPr>
            <w:tcW w:w="1106" w:type="pct"/>
            <w:vAlign w:val="center"/>
          </w:tcPr>
          <w:p>
            <w:pPr>
              <w:spacing w:line="240" w:lineRule="auto"/>
              <w:jc w:val="center"/>
              <w:rPr>
                <w:color w:val="000000"/>
                <w:sz w:val="21"/>
                <w:szCs w:val="21"/>
                <w:shd w:val="clear" w:color="auto" w:fill="FFFFFF"/>
              </w:rPr>
            </w:pPr>
            <w:r>
              <w:rPr>
                <w:color w:val="000000"/>
                <w:sz w:val="21"/>
                <w:szCs w:val="21"/>
                <w:shd w:val="clear" w:color="auto" w:fill="FFFFFF"/>
              </w:rPr>
              <w:t>标准编号</w:t>
            </w:r>
          </w:p>
        </w:tc>
        <w:tc>
          <w:tcPr>
            <w:tcW w:w="876" w:type="pct"/>
            <w:vAlign w:val="center"/>
          </w:tcPr>
          <w:p>
            <w:pPr>
              <w:spacing w:line="240" w:lineRule="auto"/>
              <w:jc w:val="center"/>
              <w:rPr>
                <w:color w:val="000000"/>
                <w:sz w:val="21"/>
                <w:szCs w:val="21"/>
                <w:shd w:val="clear" w:color="auto" w:fill="FFFFFF"/>
              </w:rPr>
            </w:pPr>
            <w:r>
              <w:rPr>
                <w:color w:val="000000"/>
                <w:sz w:val="21"/>
                <w:szCs w:val="21"/>
                <w:shd w:val="clear" w:color="auto" w:fill="FFFFFF"/>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7" w:type="pct"/>
            <w:vAlign w:val="center"/>
          </w:tcPr>
          <w:p>
            <w:pPr>
              <w:spacing w:line="240" w:lineRule="auto"/>
              <w:jc w:val="center"/>
              <w:rPr>
                <w:color w:val="000000"/>
                <w:sz w:val="21"/>
                <w:szCs w:val="21"/>
                <w:shd w:val="clear" w:color="auto" w:fill="FFFFFF"/>
              </w:rPr>
            </w:pPr>
            <w:r>
              <w:rPr>
                <w:color w:val="000000"/>
                <w:sz w:val="21"/>
                <w:szCs w:val="21"/>
                <w:shd w:val="clear" w:color="auto" w:fill="FFFFFF"/>
              </w:rPr>
              <w:t>1</w:t>
            </w:r>
          </w:p>
        </w:tc>
        <w:tc>
          <w:tcPr>
            <w:tcW w:w="866" w:type="pct"/>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eastAsia="zh-CN"/>
              </w:rPr>
              <w:t>颗粒物</w:t>
            </w:r>
          </w:p>
        </w:tc>
        <w:tc>
          <w:tcPr>
            <w:tcW w:w="1722" w:type="pct"/>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eastAsia="zh-CN"/>
              </w:rPr>
              <w:t>《环境空气 总悬浮颗粒物的测定 重量法》</w:t>
            </w:r>
          </w:p>
        </w:tc>
        <w:tc>
          <w:tcPr>
            <w:tcW w:w="1106" w:type="pct"/>
            <w:vAlign w:val="center"/>
          </w:tcPr>
          <w:p>
            <w:pPr>
              <w:spacing w:line="240" w:lineRule="auto"/>
              <w:jc w:val="center"/>
              <w:rPr>
                <w:color w:val="000000"/>
                <w:sz w:val="21"/>
                <w:szCs w:val="21"/>
                <w:shd w:val="clear" w:color="auto" w:fill="FFFFFF"/>
              </w:rPr>
            </w:pPr>
            <w:r>
              <w:rPr>
                <w:color w:val="000000"/>
                <w:sz w:val="21"/>
                <w:szCs w:val="21"/>
                <w:shd w:val="clear" w:color="auto" w:fill="FFFFFF"/>
              </w:rPr>
              <w:t>GB/T 15432-1995</w:t>
            </w:r>
          </w:p>
        </w:tc>
        <w:tc>
          <w:tcPr>
            <w:tcW w:w="876" w:type="pct"/>
            <w:vAlign w:val="center"/>
          </w:tcPr>
          <w:p>
            <w:pPr>
              <w:spacing w:line="240" w:lineRule="auto"/>
              <w:jc w:val="center"/>
              <w:rPr>
                <w:color w:val="000000"/>
                <w:sz w:val="21"/>
                <w:szCs w:val="21"/>
                <w:shd w:val="clear" w:color="auto" w:fill="FFFFFF"/>
              </w:rPr>
            </w:pPr>
            <w:r>
              <w:rPr>
                <w:color w:val="000000"/>
                <w:sz w:val="21"/>
                <w:szCs w:val="21"/>
                <w:shd w:val="clear" w:color="auto" w:fill="FFFFFF"/>
              </w:rPr>
              <w:t>0.001mg/m</w:t>
            </w:r>
            <w:r>
              <w:rPr>
                <w:color w:val="000000"/>
                <w:sz w:val="21"/>
                <w:szCs w:val="21"/>
                <w:shd w:val="clear" w:color="auto" w:fill="FFFFFF"/>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427" w:type="pct"/>
            <w:vAlign w:val="center"/>
          </w:tcPr>
          <w:p>
            <w:pPr>
              <w:spacing w:line="240" w:lineRule="auto"/>
              <w:jc w:val="center"/>
              <w:rPr>
                <w:color w:val="000000"/>
                <w:sz w:val="21"/>
                <w:szCs w:val="21"/>
                <w:shd w:val="clear" w:color="auto" w:fill="FFFFFF"/>
              </w:rPr>
            </w:pPr>
            <w:r>
              <w:rPr>
                <w:color w:val="000000"/>
                <w:sz w:val="21"/>
                <w:szCs w:val="21"/>
                <w:shd w:val="clear" w:color="auto" w:fill="FFFFFF"/>
              </w:rPr>
              <w:t>2</w:t>
            </w:r>
          </w:p>
        </w:tc>
        <w:tc>
          <w:tcPr>
            <w:tcW w:w="866" w:type="pct"/>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eastAsia="zh-CN"/>
              </w:rPr>
              <w:t>非甲烷总烃</w:t>
            </w:r>
          </w:p>
        </w:tc>
        <w:tc>
          <w:tcPr>
            <w:tcW w:w="2936" w:type="dxa"/>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eastAsia="zh-CN"/>
              </w:rPr>
              <w:t>《</w:t>
            </w:r>
            <w:r>
              <w:rPr>
                <w:rFonts w:hint="default"/>
                <w:color w:val="000000"/>
                <w:sz w:val="21"/>
                <w:szCs w:val="21"/>
                <w:shd w:val="clear" w:color="auto" w:fill="FFFFFF"/>
                <w:lang w:eastAsia="zh-CN"/>
              </w:rPr>
              <w:t>固定污染源废气 总烃、甲烷和非甲烷总烃的测定 气相色谱法</w:t>
            </w:r>
            <w:r>
              <w:rPr>
                <w:rFonts w:hint="eastAsia"/>
                <w:color w:val="000000"/>
                <w:sz w:val="21"/>
                <w:szCs w:val="21"/>
                <w:shd w:val="clear" w:color="auto" w:fill="FFFFFF"/>
                <w:lang w:eastAsia="zh-CN"/>
              </w:rPr>
              <w:t>》</w:t>
            </w:r>
          </w:p>
        </w:tc>
        <w:tc>
          <w:tcPr>
            <w:tcW w:w="1106" w:type="pct"/>
            <w:vAlign w:val="center"/>
          </w:tcPr>
          <w:p>
            <w:pPr>
              <w:spacing w:line="240" w:lineRule="auto"/>
              <w:jc w:val="center"/>
              <w:rPr>
                <w:color w:val="000000"/>
                <w:sz w:val="21"/>
                <w:szCs w:val="21"/>
                <w:shd w:val="clear" w:color="auto" w:fill="FFFFFF"/>
              </w:rPr>
            </w:pPr>
            <w:r>
              <w:rPr>
                <w:rFonts w:hint="default" w:ascii="Times New Roman" w:hAnsi="Times New Roman" w:cs="Times New Roman" w:eastAsiaTheme="minorEastAsia"/>
                <w:color w:val="000000"/>
                <w:sz w:val="21"/>
                <w:szCs w:val="21"/>
                <w:shd w:val="clear" w:color="auto" w:fill="FFFFFF"/>
              </w:rPr>
              <w:t>HJ 38-2017</w:t>
            </w:r>
          </w:p>
        </w:tc>
        <w:tc>
          <w:tcPr>
            <w:tcW w:w="1493" w:type="dxa"/>
            <w:vAlign w:val="center"/>
          </w:tcPr>
          <w:p>
            <w:pPr>
              <w:keepNext w:val="0"/>
              <w:keepLines w:val="0"/>
              <w:pageBreakBefore w:val="0"/>
              <w:kinsoku/>
              <w:wordWrap/>
              <w:overflowPunct/>
              <w:topLinePunct w:val="0"/>
              <w:autoSpaceDE/>
              <w:autoSpaceDN/>
              <w:bidi w:val="0"/>
              <w:adjustRightInd/>
              <w:jc w:val="center"/>
              <w:rPr>
                <w:color w:val="000000"/>
                <w:sz w:val="21"/>
                <w:szCs w:val="21"/>
                <w:shd w:val="clear" w:color="auto" w:fill="FFFFFF"/>
              </w:rPr>
            </w:pPr>
            <w:r>
              <w:rPr>
                <w:rFonts w:hint="eastAsia" w:ascii="Times New Roman" w:hAnsi="Times New Roman" w:cs="Times New Roman"/>
                <w:color w:val="auto"/>
                <w:sz w:val="21"/>
                <w:szCs w:val="21"/>
                <w:lang w:val="en-US" w:eastAsia="zh-CN"/>
              </w:rPr>
              <w:t>0.07mg/m</w:t>
            </w:r>
            <w:r>
              <w:rPr>
                <w:rFonts w:hint="eastAsia" w:ascii="Times New Roman" w:hAnsi="Times New Roman" w:cs="Times New Roman"/>
                <w:color w:val="auto"/>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427" w:type="pct"/>
            <w:vAlign w:val="center"/>
          </w:tcPr>
          <w:p>
            <w:pPr>
              <w:spacing w:line="240" w:lineRule="auto"/>
              <w:jc w:val="center"/>
              <w:rPr>
                <w:rFonts w:hint="eastAsia" w:eastAsia="宋体"/>
                <w:color w:val="000000"/>
                <w:sz w:val="21"/>
                <w:szCs w:val="21"/>
                <w:shd w:val="clear" w:color="auto" w:fill="FFFFFF"/>
                <w:lang w:val="en-US" w:eastAsia="zh-CN"/>
              </w:rPr>
            </w:pPr>
            <w:r>
              <w:rPr>
                <w:rFonts w:hint="eastAsia"/>
                <w:color w:val="000000"/>
                <w:sz w:val="21"/>
                <w:szCs w:val="21"/>
                <w:shd w:val="clear" w:color="auto" w:fill="FFFFFF"/>
                <w:lang w:val="en-US" w:eastAsia="zh-CN"/>
              </w:rPr>
              <w:t>3</w:t>
            </w:r>
          </w:p>
        </w:tc>
        <w:tc>
          <w:tcPr>
            <w:tcW w:w="866" w:type="pct"/>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eastAsia="zh-CN"/>
              </w:rPr>
              <w:t>非甲烷总烃</w:t>
            </w:r>
          </w:p>
        </w:tc>
        <w:tc>
          <w:tcPr>
            <w:tcW w:w="2936" w:type="dxa"/>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eastAsia="zh-CN"/>
              </w:rPr>
              <w:t>《</w:t>
            </w:r>
            <w:r>
              <w:rPr>
                <w:rFonts w:hint="default"/>
                <w:color w:val="000000"/>
                <w:sz w:val="21"/>
                <w:szCs w:val="21"/>
                <w:shd w:val="clear" w:color="auto" w:fill="FFFFFF"/>
                <w:lang w:eastAsia="zh-CN"/>
              </w:rPr>
              <w:t>环境空气 总烃、甲烷和非甲烷总烃的测定 直接进样-气相色谱法</w:t>
            </w:r>
            <w:r>
              <w:rPr>
                <w:rFonts w:hint="eastAsia"/>
                <w:color w:val="000000"/>
                <w:sz w:val="21"/>
                <w:szCs w:val="21"/>
                <w:shd w:val="clear" w:color="auto" w:fill="FFFFFF"/>
                <w:lang w:eastAsia="zh-CN"/>
              </w:rPr>
              <w:t>》</w:t>
            </w:r>
          </w:p>
        </w:tc>
        <w:tc>
          <w:tcPr>
            <w:tcW w:w="1106" w:type="pct"/>
            <w:vAlign w:val="center"/>
          </w:tcPr>
          <w:p>
            <w:pPr>
              <w:spacing w:line="240" w:lineRule="auto"/>
              <w:jc w:val="center"/>
              <w:rPr>
                <w:color w:val="000000"/>
                <w:sz w:val="21"/>
                <w:szCs w:val="21"/>
                <w:shd w:val="clear" w:color="auto" w:fill="FFFFFF"/>
              </w:rPr>
            </w:pPr>
            <w:r>
              <w:rPr>
                <w:rFonts w:hint="default" w:ascii="Times New Roman" w:hAnsi="Times New Roman" w:cs="Times New Roman" w:eastAsiaTheme="minorEastAsia"/>
                <w:color w:val="000000"/>
                <w:sz w:val="21"/>
                <w:szCs w:val="21"/>
                <w:shd w:val="clear" w:color="auto" w:fill="FFFFFF"/>
              </w:rPr>
              <w:t>HJ 604-2017</w:t>
            </w:r>
          </w:p>
        </w:tc>
        <w:tc>
          <w:tcPr>
            <w:tcW w:w="1493" w:type="dxa"/>
            <w:vAlign w:val="center"/>
          </w:tcPr>
          <w:p>
            <w:pPr>
              <w:keepNext w:val="0"/>
              <w:keepLines w:val="0"/>
              <w:pageBreakBefore w:val="0"/>
              <w:kinsoku/>
              <w:wordWrap/>
              <w:overflowPunct/>
              <w:topLinePunct w:val="0"/>
              <w:autoSpaceDE/>
              <w:autoSpaceDN/>
              <w:bidi w:val="0"/>
              <w:adjustRightInd/>
              <w:jc w:val="center"/>
              <w:rPr>
                <w:color w:val="000000"/>
                <w:sz w:val="21"/>
                <w:szCs w:val="21"/>
                <w:shd w:val="clear" w:color="auto" w:fill="FFFFFF"/>
              </w:rPr>
            </w:pPr>
            <w:r>
              <w:rPr>
                <w:rFonts w:hint="default" w:ascii="Times New Roman" w:hAnsi="Times New Roman" w:eastAsia="宋体" w:cs="Times New Roman"/>
                <w:sz w:val="21"/>
                <w:szCs w:val="21"/>
                <w:vertAlign w:val="baseline"/>
                <w:lang w:val="en-US" w:eastAsia="zh-CN"/>
              </w:rPr>
              <w:t>0.07mg/m</w:t>
            </w:r>
            <w:r>
              <w:rPr>
                <w:rFonts w:hint="default" w:ascii="Times New Roman" w:hAnsi="Times New Roman" w:eastAsia="宋体" w:cs="Times New Roman"/>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427" w:type="pct"/>
            <w:vAlign w:val="center"/>
          </w:tcPr>
          <w:p>
            <w:pPr>
              <w:spacing w:line="240" w:lineRule="auto"/>
              <w:jc w:val="center"/>
              <w:rPr>
                <w:color w:val="000000"/>
                <w:sz w:val="21"/>
                <w:szCs w:val="21"/>
                <w:shd w:val="clear" w:color="auto" w:fill="FFFFFF"/>
              </w:rPr>
            </w:pPr>
            <w:r>
              <w:rPr>
                <w:color w:val="000000"/>
                <w:sz w:val="21"/>
                <w:szCs w:val="21"/>
                <w:shd w:val="clear" w:color="auto" w:fill="FFFFFF"/>
              </w:rPr>
              <w:t>3</w:t>
            </w:r>
          </w:p>
        </w:tc>
        <w:tc>
          <w:tcPr>
            <w:tcW w:w="866" w:type="pct"/>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eastAsia="zh-CN"/>
              </w:rPr>
              <w:t>甲苯</w:t>
            </w:r>
          </w:p>
        </w:tc>
        <w:tc>
          <w:tcPr>
            <w:tcW w:w="1722" w:type="pct"/>
            <w:vAlign w:val="center"/>
          </w:tcPr>
          <w:p>
            <w:pPr>
              <w:spacing w:line="240" w:lineRule="auto"/>
              <w:jc w:val="center"/>
              <w:rPr>
                <w:rFonts w:hint="eastAsia"/>
                <w:color w:val="000000"/>
                <w:sz w:val="21"/>
                <w:szCs w:val="21"/>
                <w:shd w:val="clear" w:color="auto" w:fill="FFFFFF"/>
                <w:lang w:eastAsia="zh-CN"/>
              </w:rPr>
            </w:pPr>
            <w:r>
              <w:rPr>
                <w:rFonts w:hint="default"/>
                <w:color w:val="000000"/>
                <w:sz w:val="21"/>
                <w:szCs w:val="21"/>
                <w:shd w:val="clear" w:color="auto" w:fill="FFFFFF"/>
                <w:lang w:eastAsia="zh-CN"/>
              </w:rPr>
              <w:t>苯系物 活性炭吸附二硫化碳解吸气相色谱法《空气和废气监测分析方法》（第四版）国家环境保护总局 （2003年）</w:t>
            </w:r>
          </w:p>
        </w:tc>
        <w:tc>
          <w:tcPr>
            <w:tcW w:w="1106" w:type="pct"/>
            <w:vAlign w:val="center"/>
          </w:tcPr>
          <w:p>
            <w:pPr>
              <w:spacing w:line="240" w:lineRule="auto"/>
              <w:jc w:val="center"/>
              <w:rPr>
                <w:rFonts w:hint="eastAsia" w:eastAsia="宋体"/>
                <w:color w:val="000000"/>
                <w:sz w:val="21"/>
                <w:szCs w:val="21"/>
                <w:shd w:val="clear" w:color="auto" w:fill="FFFFFF"/>
                <w:lang w:val="en-US" w:eastAsia="zh-CN"/>
              </w:rPr>
            </w:pPr>
            <w:r>
              <w:rPr>
                <w:rFonts w:hint="eastAsia"/>
                <w:color w:val="000000"/>
                <w:sz w:val="21"/>
                <w:szCs w:val="21"/>
                <w:shd w:val="clear" w:color="auto" w:fill="FFFFFF"/>
                <w:lang w:val="en-US" w:eastAsia="zh-CN"/>
              </w:rPr>
              <w:t>/</w:t>
            </w:r>
          </w:p>
        </w:tc>
        <w:tc>
          <w:tcPr>
            <w:tcW w:w="876" w:type="pct"/>
            <w:vAlign w:val="center"/>
          </w:tcPr>
          <w:p>
            <w:pPr>
              <w:spacing w:line="240" w:lineRule="auto"/>
              <w:jc w:val="center"/>
              <w:rPr>
                <w:color w:val="000000"/>
                <w:sz w:val="21"/>
                <w:szCs w:val="21"/>
                <w:shd w:val="clear" w:color="auto" w:fill="FFFFFF"/>
              </w:rPr>
            </w:pPr>
            <w:r>
              <w:rPr>
                <w:rFonts w:hint="eastAsia" w:ascii="Times New Roman" w:hAnsi="Times New Roman" w:eastAsia="宋体" w:cs="Times New Roman"/>
                <w:sz w:val="21"/>
                <w:szCs w:val="21"/>
                <w:vertAlign w:val="baseline"/>
                <w:lang w:val="en-US" w:eastAsia="zh-CN"/>
              </w:rPr>
              <w:t>0.01</w:t>
            </w:r>
            <w:r>
              <w:rPr>
                <w:rFonts w:hint="default" w:ascii="Times New Roman" w:hAnsi="Times New Roman" w:eastAsia="宋体" w:cs="Times New Roman"/>
                <w:sz w:val="21"/>
                <w:szCs w:val="21"/>
                <w:vertAlign w:val="baseline"/>
                <w:lang w:val="en-US" w:eastAsia="zh-CN"/>
              </w:rPr>
              <w:t>mg/m</w:t>
            </w:r>
            <w:r>
              <w:rPr>
                <w:rFonts w:hint="default" w:ascii="Times New Roman" w:hAnsi="Times New Roman" w:eastAsia="宋体" w:cs="Times New Roman"/>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7" w:type="pct"/>
            <w:vAlign w:val="center"/>
          </w:tcPr>
          <w:p>
            <w:pPr>
              <w:spacing w:line="240" w:lineRule="auto"/>
              <w:jc w:val="center"/>
              <w:rPr>
                <w:rFonts w:hint="eastAsia" w:eastAsia="宋体"/>
                <w:color w:val="000000"/>
                <w:sz w:val="21"/>
                <w:szCs w:val="21"/>
                <w:shd w:val="clear" w:color="auto" w:fill="FFFFFF"/>
                <w:lang w:eastAsia="zh-CN"/>
              </w:rPr>
            </w:pPr>
            <w:r>
              <w:rPr>
                <w:rFonts w:hint="eastAsia"/>
                <w:color w:val="000000"/>
                <w:sz w:val="21"/>
                <w:szCs w:val="21"/>
                <w:shd w:val="clear" w:color="auto" w:fill="FFFFFF"/>
                <w:lang w:val="en-US" w:eastAsia="zh-CN"/>
              </w:rPr>
              <w:t>5</w:t>
            </w:r>
          </w:p>
        </w:tc>
        <w:tc>
          <w:tcPr>
            <w:tcW w:w="866" w:type="pct"/>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eastAsia="zh-CN"/>
              </w:rPr>
              <w:t>乙酸乙酯</w:t>
            </w:r>
          </w:p>
        </w:tc>
        <w:tc>
          <w:tcPr>
            <w:tcW w:w="1722" w:type="pct"/>
            <w:vAlign w:val="center"/>
          </w:tcPr>
          <w:p>
            <w:pPr>
              <w:spacing w:line="240" w:lineRule="auto"/>
              <w:jc w:val="center"/>
              <w:rPr>
                <w:rFonts w:hint="eastAsia"/>
                <w:color w:val="000000"/>
                <w:sz w:val="21"/>
                <w:szCs w:val="21"/>
                <w:shd w:val="clear" w:color="auto" w:fill="FFFFFF"/>
                <w:lang w:eastAsia="zh-CN"/>
              </w:rPr>
            </w:pPr>
            <w:r>
              <w:rPr>
                <w:rFonts w:hint="default"/>
                <w:color w:val="000000"/>
                <w:sz w:val="21"/>
                <w:szCs w:val="21"/>
                <w:shd w:val="clear" w:color="auto" w:fill="FFFFFF"/>
                <w:lang w:eastAsia="zh-CN"/>
              </w:rPr>
              <w:t>《固定污染源废气 挥发性有机物的测定 固相吸附-热脱附/气相色谱-质谱法》</w:t>
            </w:r>
          </w:p>
        </w:tc>
        <w:tc>
          <w:tcPr>
            <w:tcW w:w="1106" w:type="pct"/>
            <w:vAlign w:val="center"/>
          </w:tcPr>
          <w:p>
            <w:pPr>
              <w:spacing w:line="240" w:lineRule="auto"/>
              <w:jc w:val="center"/>
              <w:rPr>
                <w:color w:val="000000"/>
                <w:sz w:val="21"/>
                <w:szCs w:val="21"/>
                <w:shd w:val="clear" w:color="auto" w:fill="FFFFFF"/>
              </w:rPr>
            </w:pPr>
            <w:r>
              <w:rPr>
                <w:rFonts w:hint="default" w:ascii="Times New Roman" w:hAnsi="Times New Roman" w:cs="Times New Roman" w:eastAsiaTheme="minorEastAsia"/>
                <w:color w:val="000000"/>
                <w:sz w:val="21"/>
                <w:szCs w:val="21"/>
                <w:shd w:val="clear" w:color="auto" w:fill="FFFFFF"/>
              </w:rPr>
              <w:t>HJ</w:t>
            </w:r>
            <w:r>
              <w:rPr>
                <w:rFonts w:hint="default" w:ascii="Times New Roman" w:hAnsi="Times New Roman" w:cs="Times New Roman"/>
                <w:color w:val="000000"/>
                <w:sz w:val="21"/>
                <w:szCs w:val="21"/>
                <w:shd w:val="clear" w:color="auto" w:fill="FFFFFF"/>
                <w:lang w:val="en-US" w:eastAsia="zh-CN"/>
              </w:rPr>
              <w:t xml:space="preserve"> </w:t>
            </w:r>
            <w:r>
              <w:rPr>
                <w:rFonts w:hint="default" w:ascii="Times New Roman" w:hAnsi="Times New Roman" w:cs="Times New Roman" w:eastAsiaTheme="minorEastAsia"/>
                <w:color w:val="000000"/>
                <w:sz w:val="21"/>
                <w:szCs w:val="21"/>
                <w:shd w:val="clear" w:color="auto" w:fill="FFFFFF"/>
              </w:rPr>
              <w:t>734-2014</w:t>
            </w:r>
          </w:p>
        </w:tc>
        <w:tc>
          <w:tcPr>
            <w:tcW w:w="876" w:type="pct"/>
            <w:vAlign w:val="center"/>
          </w:tcPr>
          <w:p>
            <w:pPr>
              <w:spacing w:line="240" w:lineRule="auto"/>
              <w:jc w:val="center"/>
              <w:rPr>
                <w:color w:val="000000"/>
                <w:sz w:val="21"/>
                <w:szCs w:val="21"/>
                <w:shd w:val="clear" w:color="auto" w:fill="FFFFFF"/>
              </w:rPr>
            </w:pPr>
            <w:r>
              <w:rPr>
                <w:rFonts w:hint="default" w:ascii="Times New Roman" w:hAnsi="Times New Roman" w:eastAsia="宋体" w:cs="Times New Roman"/>
                <w:sz w:val="21"/>
                <w:szCs w:val="21"/>
                <w:vertAlign w:val="baseline"/>
                <w:lang w:eastAsia="zh-CN"/>
              </w:rPr>
              <w:t>0.0</w:t>
            </w:r>
            <w:r>
              <w:rPr>
                <w:rFonts w:hint="eastAsia" w:ascii="Times New Roman" w:hAnsi="Times New Roman" w:cs="Times New Roman"/>
                <w:sz w:val="21"/>
                <w:szCs w:val="21"/>
                <w:vertAlign w:val="baseline"/>
                <w:lang w:val="en-US" w:eastAsia="zh-CN"/>
              </w:rPr>
              <w:t>06</w:t>
            </w:r>
            <w:r>
              <w:rPr>
                <w:rFonts w:hint="default" w:ascii="Times New Roman" w:hAnsi="Times New Roman" w:eastAsia="宋体" w:cs="Times New Roman"/>
                <w:sz w:val="21"/>
                <w:szCs w:val="21"/>
                <w:vertAlign w:val="baseline"/>
                <w:lang w:eastAsia="zh-CN"/>
              </w:rPr>
              <w:t>mg/m</w:t>
            </w:r>
            <w:r>
              <w:rPr>
                <w:rFonts w:hint="default" w:ascii="Times New Roman" w:hAnsi="Times New Roman" w:eastAsia="宋体" w:cs="Times New Roman"/>
                <w:sz w:val="21"/>
                <w:szCs w:val="21"/>
                <w:vertAlign w:val="superscript"/>
                <w:lang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exact"/>
          <w:jc w:val="center"/>
        </w:trPr>
        <w:tc>
          <w:tcPr>
            <w:tcW w:w="427" w:type="pct"/>
            <w:vMerge w:val="restart"/>
            <w:vAlign w:val="center"/>
          </w:tcPr>
          <w:p>
            <w:pPr>
              <w:spacing w:line="240" w:lineRule="auto"/>
              <w:jc w:val="center"/>
              <w:rPr>
                <w:rFonts w:hint="eastAsia" w:eastAsia="宋体"/>
                <w:color w:val="000000"/>
                <w:sz w:val="21"/>
                <w:szCs w:val="21"/>
                <w:shd w:val="clear" w:color="auto" w:fill="FFFFFF"/>
                <w:lang w:eastAsia="zh-CN"/>
              </w:rPr>
            </w:pPr>
            <w:r>
              <w:rPr>
                <w:rFonts w:hint="eastAsia"/>
                <w:color w:val="000000"/>
                <w:sz w:val="21"/>
                <w:szCs w:val="21"/>
                <w:shd w:val="clear" w:color="auto" w:fill="FFFFFF"/>
                <w:lang w:val="en-US" w:eastAsia="zh-CN"/>
              </w:rPr>
              <w:t>6</w:t>
            </w:r>
          </w:p>
        </w:tc>
        <w:tc>
          <w:tcPr>
            <w:tcW w:w="866" w:type="pct"/>
            <w:vMerge w:val="restart"/>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eastAsia="zh-CN"/>
              </w:rPr>
              <w:t>低浓度颗粒物</w:t>
            </w:r>
          </w:p>
        </w:tc>
        <w:tc>
          <w:tcPr>
            <w:tcW w:w="1722" w:type="pct"/>
            <w:vMerge w:val="restart"/>
            <w:vAlign w:val="center"/>
          </w:tcPr>
          <w:p>
            <w:pPr>
              <w:spacing w:line="240" w:lineRule="auto"/>
              <w:jc w:val="center"/>
              <w:rPr>
                <w:rFonts w:hint="eastAsia"/>
                <w:color w:val="000000"/>
                <w:sz w:val="21"/>
                <w:szCs w:val="21"/>
                <w:shd w:val="clear" w:color="auto" w:fill="FFFFFF"/>
                <w:lang w:eastAsia="zh-CN"/>
              </w:rPr>
            </w:pPr>
            <w:r>
              <w:rPr>
                <w:rFonts w:hint="default"/>
                <w:color w:val="000000"/>
                <w:sz w:val="21"/>
                <w:szCs w:val="21"/>
                <w:shd w:val="clear" w:color="auto" w:fill="FFFFFF"/>
                <w:lang w:eastAsia="zh-CN"/>
              </w:rPr>
              <w:t>《</w:t>
            </w:r>
            <w:r>
              <w:rPr>
                <w:rFonts w:hint="eastAsia"/>
                <w:color w:val="000000"/>
                <w:sz w:val="21"/>
                <w:szCs w:val="21"/>
                <w:shd w:val="clear" w:color="auto" w:fill="FFFFFF"/>
                <w:lang w:eastAsia="zh-CN"/>
              </w:rPr>
              <w:t>固定污染源废气 低浓度颗粒物的测定 重量法</w:t>
            </w:r>
            <w:r>
              <w:rPr>
                <w:rFonts w:hint="default"/>
                <w:color w:val="000000"/>
                <w:sz w:val="21"/>
                <w:szCs w:val="21"/>
                <w:shd w:val="clear" w:color="auto" w:fill="FFFFFF"/>
                <w:lang w:eastAsia="zh-CN"/>
              </w:rPr>
              <w:t>》</w:t>
            </w:r>
          </w:p>
        </w:tc>
        <w:tc>
          <w:tcPr>
            <w:tcW w:w="1106" w:type="pct"/>
            <w:vMerge w:val="restart"/>
            <w:vAlign w:val="center"/>
          </w:tcPr>
          <w:p>
            <w:pPr>
              <w:spacing w:line="240" w:lineRule="auto"/>
              <w:jc w:val="center"/>
              <w:rPr>
                <w:color w:val="000000"/>
                <w:sz w:val="21"/>
                <w:szCs w:val="21"/>
                <w:shd w:val="clear" w:color="auto" w:fill="FFFFFF"/>
              </w:rPr>
            </w:pPr>
            <w:r>
              <w:rPr>
                <w:color w:val="000000"/>
                <w:sz w:val="21"/>
                <w:szCs w:val="21"/>
                <w:shd w:val="clear" w:color="auto" w:fill="FFFFFF"/>
              </w:rPr>
              <w:t>HJ 836-2017</w:t>
            </w:r>
          </w:p>
        </w:tc>
        <w:tc>
          <w:tcPr>
            <w:tcW w:w="876" w:type="pct"/>
            <w:vMerge w:val="restart"/>
            <w:vAlign w:val="center"/>
          </w:tcPr>
          <w:p>
            <w:pPr>
              <w:spacing w:line="240" w:lineRule="auto"/>
              <w:jc w:val="center"/>
              <w:rPr>
                <w:color w:val="000000"/>
                <w:sz w:val="21"/>
                <w:szCs w:val="21"/>
                <w:shd w:val="clear" w:color="auto" w:fill="FFFFFF"/>
              </w:rPr>
            </w:pPr>
            <w:r>
              <w:rPr>
                <w:color w:val="000000"/>
                <w:sz w:val="21"/>
                <w:szCs w:val="21"/>
                <w:shd w:val="clear" w:color="auto" w:fill="FFFFFF"/>
              </w:rPr>
              <w:t>1.0mg/m</w:t>
            </w:r>
            <w:r>
              <w:rPr>
                <w:color w:val="000000"/>
                <w:sz w:val="21"/>
                <w:szCs w:val="21"/>
                <w:shd w:val="clear" w:color="auto" w:fill="FFFFFF"/>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427" w:type="pct"/>
            <w:vMerge w:val="continue"/>
            <w:vAlign w:val="center"/>
          </w:tcPr>
          <w:p>
            <w:pPr>
              <w:spacing w:line="240" w:lineRule="auto"/>
              <w:jc w:val="center"/>
              <w:rPr>
                <w:sz w:val="21"/>
                <w:szCs w:val="21"/>
              </w:rPr>
            </w:pPr>
          </w:p>
        </w:tc>
        <w:tc>
          <w:tcPr>
            <w:tcW w:w="866" w:type="pct"/>
            <w:vMerge w:val="continue"/>
            <w:vAlign w:val="center"/>
          </w:tcPr>
          <w:p>
            <w:pPr>
              <w:spacing w:line="240" w:lineRule="auto"/>
              <w:jc w:val="center"/>
              <w:rPr>
                <w:sz w:val="21"/>
                <w:szCs w:val="21"/>
              </w:rPr>
            </w:pPr>
          </w:p>
        </w:tc>
        <w:tc>
          <w:tcPr>
            <w:tcW w:w="1722" w:type="pct"/>
            <w:vMerge w:val="continue"/>
            <w:vAlign w:val="center"/>
          </w:tcPr>
          <w:p>
            <w:pPr>
              <w:spacing w:line="240" w:lineRule="auto"/>
              <w:jc w:val="center"/>
              <w:rPr>
                <w:sz w:val="21"/>
                <w:szCs w:val="21"/>
              </w:rPr>
            </w:pPr>
          </w:p>
        </w:tc>
        <w:tc>
          <w:tcPr>
            <w:tcW w:w="1106" w:type="pct"/>
            <w:vMerge w:val="continue"/>
            <w:vAlign w:val="center"/>
          </w:tcPr>
          <w:p>
            <w:pPr>
              <w:spacing w:line="240" w:lineRule="auto"/>
              <w:jc w:val="center"/>
              <w:rPr>
                <w:sz w:val="21"/>
                <w:szCs w:val="21"/>
              </w:rPr>
            </w:pPr>
          </w:p>
        </w:tc>
        <w:tc>
          <w:tcPr>
            <w:tcW w:w="876" w:type="pct"/>
            <w:vMerge w:val="continue"/>
            <w:vAlign w:val="center"/>
          </w:tcPr>
          <w:p>
            <w:pPr>
              <w:spacing w:line="240" w:lineRule="auto"/>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27" w:type="pct"/>
            <w:vMerge w:val="continue"/>
            <w:vAlign w:val="center"/>
          </w:tcPr>
          <w:p>
            <w:pPr>
              <w:spacing w:line="240" w:lineRule="auto"/>
              <w:jc w:val="center"/>
              <w:rPr>
                <w:color w:val="000000"/>
                <w:sz w:val="21"/>
                <w:szCs w:val="21"/>
                <w:shd w:val="clear" w:color="auto" w:fill="FFFFFF"/>
              </w:rPr>
            </w:pPr>
          </w:p>
        </w:tc>
        <w:tc>
          <w:tcPr>
            <w:tcW w:w="866" w:type="pct"/>
            <w:vMerge w:val="continue"/>
            <w:vAlign w:val="center"/>
          </w:tcPr>
          <w:p>
            <w:pPr>
              <w:spacing w:line="240" w:lineRule="auto"/>
              <w:jc w:val="center"/>
              <w:rPr>
                <w:color w:val="000000"/>
                <w:sz w:val="21"/>
                <w:szCs w:val="21"/>
                <w:shd w:val="clear" w:color="auto" w:fill="FFFFFF"/>
              </w:rPr>
            </w:pPr>
          </w:p>
        </w:tc>
        <w:tc>
          <w:tcPr>
            <w:tcW w:w="1722" w:type="pct"/>
            <w:vMerge w:val="continue"/>
            <w:vAlign w:val="center"/>
          </w:tcPr>
          <w:p>
            <w:pPr>
              <w:spacing w:line="240" w:lineRule="auto"/>
              <w:jc w:val="center"/>
              <w:rPr>
                <w:color w:val="000000"/>
                <w:sz w:val="21"/>
                <w:szCs w:val="21"/>
                <w:shd w:val="clear" w:color="auto" w:fill="FFFFFF"/>
              </w:rPr>
            </w:pPr>
          </w:p>
        </w:tc>
        <w:tc>
          <w:tcPr>
            <w:tcW w:w="1106" w:type="pct"/>
            <w:vMerge w:val="continue"/>
            <w:vAlign w:val="center"/>
          </w:tcPr>
          <w:p>
            <w:pPr>
              <w:spacing w:line="240" w:lineRule="auto"/>
              <w:jc w:val="center"/>
              <w:rPr>
                <w:color w:val="000000"/>
                <w:sz w:val="21"/>
                <w:szCs w:val="21"/>
                <w:shd w:val="clear" w:color="auto" w:fill="FFFFFF"/>
              </w:rPr>
            </w:pPr>
          </w:p>
        </w:tc>
        <w:tc>
          <w:tcPr>
            <w:tcW w:w="876" w:type="pct"/>
            <w:vMerge w:val="continue"/>
            <w:vAlign w:val="center"/>
          </w:tcPr>
          <w:p>
            <w:pPr>
              <w:spacing w:line="240" w:lineRule="auto"/>
              <w:jc w:val="center"/>
              <w:rPr>
                <w:color w:val="000000"/>
                <w:sz w:val="21"/>
                <w:szCs w:val="21"/>
                <w:shd w:val="clear" w:color="auto" w:fill="FFFFFF"/>
              </w:rPr>
            </w:pPr>
          </w:p>
        </w:tc>
      </w:tr>
    </w:tbl>
    <w:p>
      <w:pPr>
        <w:spacing w:beforeLines="50"/>
        <w:jc w:val="left"/>
      </w:pPr>
      <w:r>
        <w:t>噪声监测分析方法及其检出限如表8.</w:t>
      </w:r>
      <w:r>
        <w:rPr>
          <w:rFonts w:hint="eastAsia"/>
        </w:rPr>
        <w:t>1</w:t>
      </w:r>
      <w:r>
        <w:t>-2所示。</w:t>
      </w:r>
    </w:p>
    <w:p>
      <w:pPr>
        <w:jc w:val="center"/>
        <w:rPr>
          <w:rFonts w:hint="eastAsia" w:ascii="Times New Roman" w:hAnsi="Times New Roman" w:eastAsia="黑体" w:cs="Times New Roman"/>
          <w:b w:val="0"/>
          <w:bCs w:val="0"/>
          <w:sz w:val="21"/>
          <w:szCs w:val="21"/>
          <w:lang w:val="en-US" w:eastAsia="zh-CN"/>
        </w:rPr>
      </w:pPr>
      <w:r>
        <w:rPr>
          <w:rFonts w:hint="eastAsia" w:ascii="Times New Roman" w:hAnsi="Times New Roman" w:eastAsia="黑体" w:cs="Times New Roman"/>
          <w:b w:val="0"/>
          <w:bCs w:val="0"/>
          <w:sz w:val="21"/>
          <w:szCs w:val="21"/>
          <w:lang w:val="en-US" w:eastAsia="zh-CN"/>
        </w:rPr>
        <w:t>表8.1-2 噪声监测分析方法</w:t>
      </w:r>
    </w:p>
    <w:tbl>
      <w:tblPr>
        <w:tblStyle w:val="18"/>
        <w:tblW w:w="8667" w:type="dxa"/>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108" w:type="dxa"/>
          <w:bottom w:w="0" w:type="dxa"/>
          <w:right w:w="108" w:type="dxa"/>
        </w:tblCellMar>
      </w:tblPr>
      <w:tblGrid>
        <w:gridCol w:w="1741"/>
        <w:gridCol w:w="3563"/>
        <w:gridCol w:w="1883"/>
        <w:gridCol w:w="1480"/>
      </w:tblGrid>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741" w:type="dxa"/>
            <w:vAlign w:val="center"/>
          </w:tcPr>
          <w:p>
            <w:pPr>
              <w:spacing w:line="240" w:lineRule="auto"/>
              <w:jc w:val="center"/>
              <w:rPr>
                <w:rFonts w:hint="eastAsia"/>
                <w:b/>
                <w:bCs/>
                <w:color w:val="000000"/>
                <w:sz w:val="21"/>
                <w:szCs w:val="21"/>
                <w:shd w:val="clear" w:color="auto" w:fill="FFFFFF"/>
                <w:lang w:eastAsia="zh-CN"/>
              </w:rPr>
            </w:pPr>
            <w:r>
              <w:rPr>
                <w:rFonts w:hint="eastAsia"/>
                <w:b/>
                <w:bCs/>
                <w:color w:val="000000"/>
                <w:sz w:val="21"/>
                <w:szCs w:val="21"/>
                <w:shd w:val="clear" w:color="auto" w:fill="FFFFFF"/>
                <w:lang w:eastAsia="zh-CN"/>
              </w:rPr>
              <w:t>监测项目</w:t>
            </w:r>
          </w:p>
        </w:tc>
        <w:tc>
          <w:tcPr>
            <w:tcW w:w="3563" w:type="dxa"/>
            <w:vAlign w:val="center"/>
          </w:tcPr>
          <w:p>
            <w:pPr>
              <w:spacing w:line="240" w:lineRule="auto"/>
              <w:jc w:val="center"/>
              <w:rPr>
                <w:rFonts w:hint="eastAsia"/>
                <w:b/>
                <w:bCs/>
                <w:color w:val="000000"/>
                <w:sz w:val="21"/>
                <w:szCs w:val="21"/>
                <w:shd w:val="clear" w:color="auto" w:fill="FFFFFF"/>
                <w:lang w:eastAsia="zh-CN"/>
              </w:rPr>
            </w:pPr>
            <w:r>
              <w:rPr>
                <w:rFonts w:hint="eastAsia"/>
                <w:b/>
                <w:bCs/>
                <w:color w:val="000000"/>
                <w:sz w:val="21"/>
                <w:szCs w:val="21"/>
                <w:shd w:val="clear" w:color="auto" w:fill="FFFFFF"/>
                <w:lang w:eastAsia="zh-CN"/>
              </w:rPr>
              <w:t>分析方法</w:t>
            </w:r>
          </w:p>
        </w:tc>
        <w:tc>
          <w:tcPr>
            <w:tcW w:w="1883" w:type="dxa"/>
            <w:vAlign w:val="center"/>
          </w:tcPr>
          <w:p>
            <w:pPr>
              <w:spacing w:line="240" w:lineRule="auto"/>
              <w:jc w:val="center"/>
              <w:rPr>
                <w:rFonts w:hint="eastAsia"/>
                <w:b/>
                <w:bCs/>
                <w:color w:val="000000"/>
                <w:sz w:val="21"/>
                <w:szCs w:val="21"/>
                <w:shd w:val="clear" w:color="auto" w:fill="FFFFFF"/>
                <w:lang w:eastAsia="zh-CN"/>
              </w:rPr>
            </w:pPr>
            <w:r>
              <w:rPr>
                <w:rFonts w:hint="eastAsia"/>
                <w:b/>
                <w:bCs/>
                <w:color w:val="000000"/>
                <w:sz w:val="21"/>
                <w:szCs w:val="21"/>
                <w:shd w:val="clear" w:color="auto" w:fill="FFFFFF"/>
                <w:lang w:eastAsia="zh-CN"/>
              </w:rPr>
              <w:t>标准来源</w:t>
            </w:r>
          </w:p>
        </w:tc>
        <w:tc>
          <w:tcPr>
            <w:tcW w:w="1480" w:type="dxa"/>
            <w:vAlign w:val="center"/>
          </w:tcPr>
          <w:p>
            <w:pPr>
              <w:spacing w:line="240" w:lineRule="auto"/>
              <w:jc w:val="center"/>
              <w:rPr>
                <w:rFonts w:hint="eastAsia"/>
                <w:b/>
                <w:bCs/>
                <w:color w:val="000000"/>
                <w:sz w:val="21"/>
                <w:szCs w:val="21"/>
                <w:shd w:val="clear" w:color="auto" w:fill="FFFFFF"/>
                <w:lang w:eastAsia="zh-CN"/>
              </w:rPr>
            </w:pPr>
            <w:r>
              <w:rPr>
                <w:rFonts w:hint="eastAsia"/>
                <w:b/>
                <w:bCs/>
                <w:color w:val="000000"/>
                <w:sz w:val="21"/>
                <w:szCs w:val="21"/>
                <w:shd w:val="clear" w:color="auto" w:fill="FFFFFF"/>
                <w:lang w:eastAsia="zh-CN"/>
              </w:rPr>
              <w:t>检出限</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741" w:type="dxa"/>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eastAsia="zh-CN"/>
              </w:rPr>
              <w:t>工业企业厂界环境噪声</w:t>
            </w:r>
          </w:p>
        </w:tc>
        <w:tc>
          <w:tcPr>
            <w:tcW w:w="3563" w:type="dxa"/>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eastAsia="zh-CN"/>
              </w:rPr>
              <w:t>工业企业厂界环境噪声排放标准</w:t>
            </w:r>
          </w:p>
        </w:tc>
        <w:tc>
          <w:tcPr>
            <w:tcW w:w="1883" w:type="dxa"/>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eastAsia="zh-CN"/>
              </w:rPr>
              <w:t>GB 12348-2008</w:t>
            </w:r>
          </w:p>
        </w:tc>
        <w:tc>
          <w:tcPr>
            <w:tcW w:w="1480" w:type="dxa"/>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val="en-US" w:eastAsia="zh-CN"/>
              </w:rPr>
              <w:t>/</w:t>
            </w:r>
          </w:p>
        </w:tc>
      </w:tr>
    </w:tbl>
    <w:p>
      <w:pPr>
        <w:spacing w:beforeLines="50"/>
        <w:jc w:val="left"/>
      </w:pPr>
      <w:bookmarkStart w:id="105" w:name="_Toc21588"/>
      <w:bookmarkStart w:id="106" w:name="_Toc7794"/>
      <w:r>
        <w:rPr>
          <w:rFonts w:hint="eastAsia"/>
          <w:lang w:eastAsia="zh-CN"/>
        </w:rPr>
        <w:t>废水</w:t>
      </w:r>
      <w:r>
        <w:t>监测分析方法及其检出限如表8.</w:t>
      </w:r>
      <w:r>
        <w:rPr>
          <w:rFonts w:hint="eastAsia"/>
        </w:rPr>
        <w:t>1</w:t>
      </w:r>
      <w:r>
        <w:t>-</w:t>
      </w:r>
      <w:r>
        <w:rPr>
          <w:rFonts w:hint="eastAsia"/>
          <w:lang w:val="en-US" w:eastAsia="zh-CN"/>
        </w:rPr>
        <w:t>3</w:t>
      </w:r>
      <w:r>
        <w:t>所示。</w:t>
      </w:r>
    </w:p>
    <w:p>
      <w:pPr>
        <w:jc w:val="center"/>
        <w:rPr>
          <w:rFonts w:hint="eastAsia" w:ascii="Times New Roman" w:hAnsi="Times New Roman" w:eastAsia="黑体" w:cs="Times New Roman"/>
          <w:b w:val="0"/>
          <w:bCs w:val="0"/>
          <w:sz w:val="21"/>
          <w:szCs w:val="21"/>
          <w:lang w:val="en-US" w:eastAsia="zh-CN"/>
        </w:rPr>
      </w:pPr>
      <w:r>
        <w:rPr>
          <w:rFonts w:hint="eastAsia" w:ascii="Times New Roman" w:hAnsi="Times New Roman" w:eastAsia="黑体" w:cs="Times New Roman"/>
          <w:b w:val="0"/>
          <w:bCs w:val="0"/>
          <w:sz w:val="21"/>
          <w:szCs w:val="21"/>
          <w:lang w:val="en-US" w:eastAsia="zh-CN"/>
        </w:rPr>
        <w:t>表8.1-</w:t>
      </w:r>
      <w:r>
        <w:rPr>
          <w:rFonts w:hint="eastAsia" w:eastAsia="黑体" w:cs="Times New Roman"/>
          <w:b w:val="0"/>
          <w:bCs w:val="0"/>
          <w:sz w:val="21"/>
          <w:szCs w:val="21"/>
          <w:lang w:val="en-US" w:eastAsia="zh-CN"/>
        </w:rPr>
        <w:t>3</w:t>
      </w:r>
      <w:r>
        <w:rPr>
          <w:rFonts w:hint="eastAsia" w:ascii="Times New Roman" w:hAnsi="Times New Roman" w:eastAsia="黑体" w:cs="Times New Roman"/>
          <w:b w:val="0"/>
          <w:bCs w:val="0"/>
          <w:sz w:val="21"/>
          <w:szCs w:val="21"/>
          <w:lang w:val="en-US" w:eastAsia="zh-CN"/>
        </w:rPr>
        <w:t xml:space="preserve"> </w:t>
      </w:r>
      <w:r>
        <w:rPr>
          <w:rFonts w:hint="eastAsia" w:eastAsia="黑体" w:cs="Times New Roman"/>
          <w:b w:val="0"/>
          <w:bCs w:val="0"/>
          <w:sz w:val="21"/>
          <w:szCs w:val="21"/>
          <w:lang w:val="en-US" w:eastAsia="zh-CN"/>
        </w:rPr>
        <w:t>废水</w:t>
      </w:r>
      <w:r>
        <w:rPr>
          <w:rFonts w:hint="eastAsia" w:ascii="Times New Roman" w:hAnsi="Times New Roman" w:eastAsia="黑体" w:cs="Times New Roman"/>
          <w:b w:val="0"/>
          <w:bCs w:val="0"/>
          <w:sz w:val="21"/>
          <w:szCs w:val="21"/>
          <w:lang w:val="en-US" w:eastAsia="zh-CN"/>
        </w:rPr>
        <w:t>监测分析方法</w:t>
      </w:r>
    </w:p>
    <w:tbl>
      <w:tblPr>
        <w:tblStyle w:val="18"/>
        <w:tblW w:w="8667" w:type="dxa"/>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108" w:type="dxa"/>
          <w:bottom w:w="0" w:type="dxa"/>
          <w:right w:w="108" w:type="dxa"/>
        </w:tblCellMar>
      </w:tblPr>
      <w:tblGrid>
        <w:gridCol w:w="1741"/>
        <w:gridCol w:w="3563"/>
        <w:gridCol w:w="1883"/>
        <w:gridCol w:w="1480"/>
      </w:tblGrid>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741" w:type="dxa"/>
            <w:vAlign w:val="center"/>
          </w:tcPr>
          <w:p>
            <w:pPr>
              <w:spacing w:line="240" w:lineRule="auto"/>
              <w:jc w:val="center"/>
              <w:rPr>
                <w:b/>
                <w:bCs/>
                <w:sz w:val="21"/>
                <w:szCs w:val="21"/>
              </w:rPr>
            </w:pPr>
            <w:r>
              <w:rPr>
                <w:b/>
                <w:bCs/>
                <w:sz w:val="21"/>
                <w:szCs w:val="21"/>
              </w:rPr>
              <w:t>监测项目</w:t>
            </w:r>
          </w:p>
        </w:tc>
        <w:tc>
          <w:tcPr>
            <w:tcW w:w="3563" w:type="dxa"/>
            <w:vAlign w:val="center"/>
          </w:tcPr>
          <w:p>
            <w:pPr>
              <w:spacing w:line="240" w:lineRule="auto"/>
              <w:jc w:val="center"/>
              <w:rPr>
                <w:b/>
                <w:bCs/>
                <w:sz w:val="21"/>
                <w:szCs w:val="21"/>
              </w:rPr>
            </w:pPr>
            <w:r>
              <w:rPr>
                <w:b/>
                <w:bCs/>
                <w:sz w:val="21"/>
                <w:szCs w:val="21"/>
              </w:rPr>
              <w:t>分析方法</w:t>
            </w:r>
          </w:p>
        </w:tc>
        <w:tc>
          <w:tcPr>
            <w:tcW w:w="1883" w:type="dxa"/>
            <w:vAlign w:val="center"/>
          </w:tcPr>
          <w:p>
            <w:pPr>
              <w:spacing w:line="240" w:lineRule="auto"/>
              <w:jc w:val="center"/>
              <w:rPr>
                <w:b/>
                <w:bCs/>
                <w:sz w:val="21"/>
                <w:szCs w:val="21"/>
              </w:rPr>
            </w:pPr>
            <w:r>
              <w:rPr>
                <w:b/>
                <w:bCs/>
                <w:sz w:val="21"/>
                <w:szCs w:val="21"/>
              </w:rPr>
              <w:t>标准来源</w:t>
            </w:r>
          </w:p>
        </w:tc>
        <w:tc>
          <w:tcPr>
            <w:tcW w:w="1480" w:type="dxa"/>
            <w:vAlign w:val="center"/>
          </w:tcPr>
          <w:p>
            <w:pPr>
              <w:spacing w:line="240" w:lineRule="auto"/>
              <w:jc w:val="center"/>
              <w:rPr>
                <w:b/>
                <w:bCs/>
                <w:sz w:val="21"/>
                <w:szCs w:val="21"/>
              </w:rPr>
            </w:pPr>
            <w:r>
              <w:rPr>
                <w:b/>
                <w:bCs/>
                <w:sz w:val="21"/>
                <w:szCs w:val="21"/>
              </w:rPr>
              <w:t>检出限</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741" w:type="dxa"/>
            <w:vAlign w:val="center"/>
          </w:tcPr>
          <w:p>
            <w:pPr>
              <w:spacing w:line="240" w:lineRule="auto"/>
              <w:jc w:val="center"/>
              <w:rPr>
                <w:rFonts w:hint="eastAsia"/>
                <w:color w:val="000000"/>
                <w:sz w:val="21"/>
                <w:szCs w:val="21"/>
                <w:shd w:val="clear" w:color="auto" w:fill="FFFFFF"/>
                <w:lang w:eastAsia="zh-CN"/>
              </w:rPr>
            </w:pPr>
            <w:r>
              <w:rPr>
                <w:rFonts w:hint="default"/>
                <w:color w:val="000000"/>
                <w:sz w:val="21"/>
                <w:szCs w:val="21"/>
                <w:shd w:val="clear" w:color="auto" w:fill="FFFFFF"/>
                <w:lang w:val="en-US" w:eastAsia="zh-CN"/>
              </w:rPr>
              <w:t>pH</w:t>
            </w:r>
          </w:p>
        </w:tc>
        <w:tc>
          <w:tcPr>
            <w:tcW w:w="3563" w:type="dxa"/>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eastAsia="zh-CN"/>
              </w:rPr>
              <w:t>《水质</w:t>
            </w:r>
            <w:r>
              <w:rPr>
                <w:rFonts w:hint="default"/>
                <w:color w:val="000000"/>
                <w:sz w:val="21"/>
                <w:szCs w:val="21"/>
                <w:shd w:val="clear" w:color="auto" w:fill="FFFFFF"/>
                <w:lang w:val="en-US" w:eastAsia="zh-CN"/>
              </w:rPr>
              <w:t xml:space="preserve"> pH值的测定 电极法》</w:t>
            </w:r>
          </w:p>
        </w:tc>
        <w:tc>
          <w:tcPr>
            <w:tcW w:w="1883" w:type="dxa"/>
            <w:vAlign w:val="center"/>
          </w:tcPr>
          <w:p>
            <w:pPr>
              <w:spacing w:line="240" w:lineRule="auto"/>
              <w:jc w:val="center"/>
              <w:rPr>
                <w:sz w:val="21"/>
                <w:szCs w:val="21"/>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HJ 1147-2020</w:t>
            </w:r>
          </w:p>
        </w:tc>
        <w:tc>
          <w:tcPr>
            <w:tcW w:w="14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sz w:val="21"/>
                <w:szCs w:val="21"/>
                <w:lang w:eastAsia="zh-CN"/>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741" w:type="dxa"/>
            <w:vAlign w:val="center"/>
          </w:tcPr>
          <w:p>
            <w:pPr>
              <w:spacing w:line="240" w:lineRule="auto"/>
              <w:jc w:val="center"/>
              <w:rPr>
                <w:rFonts w:hint="eastAsia"/>
                <w:color w:val="000000"/>
                <w:sz w:val="21"/>
                <w:szCs w:val="21"/>
                <w:shd w:val="clear" w:color="auto" w:fill="FFFFFF"/>
                <w:lang w:eastAsia="zh-CN"/>
              </w:rPr>
            </w:pPr>
            <w:r>
              <w:rPr>
                <w:rFonts w:hint="default"/>
                <w:color w:val="000000"/>
                <w:sz w:val="21"/>
                <w:szCs w:val="21"/>
                <w:shd w:val="clear" w:color="auto" w:fill="FFFFFF"/>
                <w:lang w:val="en-US" w:eastAsia="zh-CN"/>
              </w:rPr>
              <w:t>化学需氧量</w:t>
            </w:r>
          </w:p>
        </w:tc>
        <w:tc>
          <w:tcPr>
            <w:tcW w:w="3563" w:type="dxa"/>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eastAsia="zh-CN"/>
              </w:rPr>
              <w:t>《水质 化学需氧量的测定 重铬酸盐法</w:t>
            </w:r>
            <w:r>
              <w:rPr>
                <w:rFonts w:hint="default"/>
                <w:color w:val="000000"/>
                <w:sz w:val="21"/>
                <w:szCs w:val="21"/>
                <w:shd w:val="clear" w:color="auto" w:fill="FFFFFF"/>
                <w:lang w:val="en-US" w:eastAsia="zh-CN"/>
              </w:rPr>
              <w:t>》</w:t>
            </w:r>
          </w:p>
        </w:tc>
        <w:tc>
          <w:tcPr>
            <w:tcW w:w="1883" w:type="dxa"/>
            <w:vAlign w:val="center"/>
          </w:tcPr>
          <w:p>
            <w:pPr>
              <w:spacing w:line="240" w:lineRule="auto"/>
              <w:jc w:val="center"/>
              <w:rPr>
                <w:sz w:val="21"/>
                <w:szCs w:val="21"/>
              </w:rPr>
            </w:pPr>
            <w:r>
              <w:rPr>
                <w:rFonts w:hint="default" w:ascii="Times New Roman" w:hAnsi="Times New Roman" w:eastAsia="宋体" w:cs="Times New Roman"/>
                <w:color w:val="000000" w:themeColor="text1"/>
                <w:sz w:val="21"/>
                <w:szCs w:val="21"/>
                <w:shd w:val="clear" w:color="auto" w:fill="FFFFFF"/>
                <w14:textFill>
                  <w14:solidFill>
                    <w14:schemeClr w14:val="tx1"/>
                  </w14:solidFill>
                </w14:textFill>
              </w:rPr>
              <w:t>HJ 828-2017</w:t>
            </w:r>
          </w:p>
        </w:tc>
        <w:tc>
          <w:tcPr>
            <w:tcW w:w="1480" w:type="dxa"/>
            <w:vAlign w:val="center"/>
          </w:tcPr>
          <w:p>
            <w:pPr>
              <w:keepNext w:val="0"/>
              <w:keepLines w:val="0"/>
              <w:pageBreakBefore w:val="0"/>
              <w:kinsoku/>
              <w:wordWrap/>
              <w:overflowPunct/>
              <w:topLinePunct w:val="0"/>
              <w:autoSpaceDE/>
              <w:autoSpaceDN/>
              <w:bidi w:val="0"/>
              <w:adjustRightInd/>
              <w:jc w:val="center"/>
              <w:rPr>
                <w:rFonts w:hint="eastAsia"/>
                <w:sz w:val="21"/>
                <w:szCs w:val="21"/>
                <w:lang w:val="en-US" w:eastAsia="zh-CN"/>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4mg/L</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741" w:type="dxa"/>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val="en-US" w:eastAsia="zh-CN"/>
              </w:rPr>
              <w:t>氨氮</w:t>
            </w:r>
          </w:p>
        </w:tc>
        <w:tc>
          <w:tcPr>
            <w:tcW w:w="3563" w:type="dxa"/>
            <w:vAlign w:val="center"/>
          </w:tcPr>
          <w:p>
            <w:pPr>
              <w:spacing w:line="240" w:lineRule="auto"/>
              <w:jc w:val="center"/>
              <w:rPr>
                <w:rFonts w:hint="default"/>
                <w:color w:val="000000"/>
                <w:sz w:val="21"/>
                <w:szCs w:val="21"/>
                <w:shd w:val="clear" w:color="auto" w:fill="FFFFFF"/>
                <w:lang w:eastAsia="zh-CN"/>
              </w:rPr>
            </w:pPr>
            <w:r>
              <w:rPr>
                <w:rFonts w:hint="eastAsia"/>
                <w:color w:val="000000"/>
                <w:sz w:val="21"/>
                <w:szCs w:val="21"/>
                <w:shd w:val="clear" w:color="auto" w:fill="FFFFFF"/>
                <w:lang w:eastAsia="zh-CN"/>
              </w:rPr>
              <w:t>《水质</w:t>
            </w:r>
            <w:r>
              <w:rPr>
                <w:rFonts w:hint="eastAsia"/>
                <w:color w:val="000000"/>
                <w:sz w:val="21"/>
                <w:szCs w:val="21"/>
                <w:shd w:val="clear" w:color="auto" w:fill="FFFFFF"/>
                <w:lang w:val="en-US" w:eastAsia="zh-CN"/>
              </w:rPr>
              <w:t xml:space="preserve"> </w:t>
            </w:r>
            <w:r>
              <w:rPr>
                <w:rFonts w:hint="eastAsia"/>
                <w:color w:val="000000"/>
                <w:sz w:val="21"/>
                <w:szCs w:val="21"/>
                <w:shd w:val="clear" w:color="auto" w:fill="FFFFFF"/>
                <w:lang w:eastAsia="zh-CN"/>
              </w:rPr>
              <w:t>氨氮的测定</w:t>
            </w:r>
            <w:r>
              <w:rPr>
                <w:rFonts w:hint="eastAsia"/>
                <w:color w:val="000000"/>
                <w:sz w:val="21"/>
                <w:szCs w:val="21"/>
                <w:shd w:val="clear" w:color="auto" w:fill="FFFFFF"/>
                <w:lang w:val="en-US" w:eastAsia="zh-CN"/>
              </w:rPr>
              <w:t xml:space="preserve"> </w:t>
            </w:r>
            <w:r>
              <w:rPr>
                <w:rFonts w:hint="eastAsia"/>
                <w:color w:val="000000"/>
                <w:sz w:val="21"/>
                <w:szCs w:val="21"/>
                <w:shd w:val="clear" w:color="auto" w:fill="FFFFFF"/>
                <w:lang w:eastAsia="zh-CN"/>
              </w:rPr>
              <w:t>纳氏试剂分光光度法》</w:t>
            </w:r>
          </w:p>
        </w:tc>
        <w:tc>
          <w:tcPr>
            <w:tcW w:w="1883" w:type="dxa"/>
            <w:vAlign w:val="center"/>
          </w:tcPr>
          <w:p>
            <w:pPr>
              <w:spacing w:line="240" w:lineRule="auto"/>
              <w:jc w:val="center"/>
              <w:rPr>
                <w:sz w:val="21"/>
                <w:szCs w:val="21"/>
              </w:rPr>
            </w:pPr>
            <w:r>
              <w:rPr>
                <w:rFonts w:hint="default" w:ascii="Times New Roman" w:hAnsi="Times New Roman" w:cs="Times New Roman"/>
                <w:sz w:val="21"/>
                <w:szCs w:val="21"/>
              </w:rPr>
              <w:t>HJ 535-2009</w:t>
            </w:r>
          </w:p>
        </w:tc>
        <w:tc>
          <w:tcPr>
            <w:tcW w:w="14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default" w:ascii="Times New Roman" w:hAnsi="Times New Roman" w:cs="Times New Roman"/>
                <w:sz w:val="21"/>
                <w:szCs w:val="21"/>
              </w:rPr>
              <w:t>0.025mg/L</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741" w:type="dxa"/>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val="en-US" w:eastAsia="zh-CN"/>
              </w:rPr>
              <w:t>五日生化需氧量</w:t>
            </w:r>
          </w:p>
        </w:tc>
        <w:tc>
          <w:tcPr>
            <w:tcW w:w="3563" w:type="dxa"/>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eastAsia="zh-CN"/>
              </w:rPr>
              <w:t>《水质 五日生化需氧量（BOD</w:t>
            </w:r>
            <w:r>
              <w:rPr>
                <w:rFonts w:hint="default"/>
                <w:color w:val="000000"/>
                <w:sz w:val="21"/>
                <w:szCs w:val="21"/>
                <w:shd w:val="clear" w:color="auto" w:fill="FFFFFF"/>
                <w:vertAlign w:val="subscript"/>
                <w:lang w:eastAsia="zh-CN"/>
              </w:rPr>
              <w:t>5</w:t>
            </w:r>
            <w:r>
              <w:rPr>
                <w:rFonts w:hint="default"/>
                <w:color w:val="000000"/>
                <w:sz w:val="21"/>
                <w:szCs w:val="21"/>
                <w:shd w:val="clear" w:color="auto" w:fill="FFFFFF"/>
                <w:lang w:eastAsia="zh-CN"/>
              </w:rPr>
              <w:t>）的测定</w:t>
            </w:r>
            <w:r>
              <w:rPr>
                <w:rFonts w:hint="default"/>
                <w:color w:val="000000"/>
                <w:sz w:val="21"/>
                <w:szCs w:val="21"/>
                <w:shd w:val="clear" w:color="auto" w:fill="FFFFFF"/>
                <w:lang w:val="en-US" w:eastAsia="zh-CN"/>
              </w:rPr>
              <w:t xml:space="preserve"> </w:t>
            </w:r>
            <w:r>
              <w:rPr>
                <w:rFonts w:hint="default"/>
                <w:color w:val="000000"/>
                <w:sz w:val="21"/>
                <w:szCs w:val="21"/>
                <w:shd w:val="clear" w:color="auto" w:fill="FFFFFF"/>
                <w:lang w:eastAsia="zh-CN"/>
              </w:rPr>
              <w:t>稀释与接种法</w:t>
            </w:r>
            <w:r>
              <w:rPr>
                <w:rFonts w:hint="default"/>
                <w:color w:val="000000"/>
                <w:sz w:val="21"/>
                <w:szCs w:val="21"/>
                <w:shd w:val="clear" w:color="auto" w:fill="FFFFFF"/>
                <w:lang w:val="en-US" w:eastAsia="zh-CN"/>
              </w:rPr>
              <w:t>》</w:t>
            </w:r>
          </w:p>
        </w:tc>
        <w:tc>
          <w:tcPr>
            <w:tcW w:w="1883" w:type="dxa"/>
            <w:vAlign w:val="center"/>
          </w:tcPr>
          <w:p>
            <w:pPr>
              <w:spacing w:line="240" w:lineRule="auto"/>
              <w:jc w:val="center"/>
              <w:rPr>
                <w:sz w:val="21"/>
                <w:szCs w:val="21"/>
              </w:rPr>
            </w:pPr>
            <w:r>
              <w:rPr>
                <w:rFonts w:hint="default" w:ascii="Times New Roman" w:hAnsi="Times New Roman" w:eastAsia="宋体" w:cs="Times New Roman"/>
                <w:color w:val="000000"/>
                <w:sz w:val="21"/>
                <w:szCs w:val="21"/>
                <w:shd w:val="clear" w:color="auto" w:fill="FFFFFF"/>
              </w:rPr>
              <w:t>HJ 505-2009</w:t>
            </w:r>
          </w:p>
        </w:tc>
        <w:tc>
          <w:tcPr>
            <w:tcW w:w="1480" w:type="dxa"/>
            <w:vAlign w:val="center"/>
          </w:tcPr>
          <w:p>
            <w:pPr>
              <w:keepNext w:val="0"/>
              <w:keepLines w:val="0"/>
              <w:pageBreakBefore w:val="0"/>
              <w:kinsoku/>
              <w:wordWrap/>
              <w:overflowPunct/>
              <w:topLinePunct w:val="0"/>
              <w:autoSpaceDE/>
              <w:autoSpaceDN/>
              <w:bidi w:val="0"/>
              <w:adjustRightInd/>
              <w:jc w:val="center"/>
              <w:rPr>
                <w:rFonts w:hint="eastAsia"/>
                <w:sz w:val="21"/>
                <w:szCs w:val="21"/>
                <w:lang w:val="en-US" w:eastAsia="zh-CN"/>
              </w:rPr>
            </w:pPr>
            <w:r>
              <w:rPr>
                <w:rFonts w:hint="default" w:ascii="Times New Roman" w:hAnsi="Times New Roman" w:eastAsia="宋体" w:cs="Times New Roman"/>
                <w:sz w:val="21"/>
                <w:szCs w:val="21"/>
                <w:vertAlign w:val="baseline"/>
                <w:lang w:val="en-US" w:eastAsia="zh-CN"/>
              </w:rPr>
              <w:t>0.5mg/L</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741" w:type="dxa"/>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val="en-US" w:eastAsia="zh-CN"/>
              </w:rPr>
              <w:t>总磷</w:t>
            </w:r>
          </w:p>
        </w:tc>
        <w:tc>
          <w:tcPr>
            <w:tcW w:w="3563" w:type="dxa"/>
            <w:vAlign w:val="center"/>
          </w:tcPr>
          <w:p>
            <w:pPr>
              <w:spacing w:line="240" w:lineRule="auto"/>
              <w:jc w:val="center"/>
              <w:rPr>
                <w:rFonts w:hint="default"/>
                <w:color w:val="000000"/>
                <w:sz w:val="21"/>
                <w:szCs w:val="21"/>
                <w:shd w:val="clear" w:color="auto" w:fill="FFFFFF"/>
                <w:lang w:eastAsia="zh-CN"/>
              </w:rPr>
            </w:pPr>
            <w:r>
              <w:rPr>
                <w:rFonts w:hint="eastAsia"/>
                <w:color w:val="000000"/>
                <w:sz w:val="21"/>
                <w:szCs w:val="21"/>
                <w:shd w:val="clear" w:color="auto" w:fill="FFFFFF"/>
                <w:lang w:eastAsia="zh-CN"/>
              </w:rPr>
              <w:t>《</w:t>
            </w:r>
            <w:r>
              <w:rPr>
                <w:rFonts w:hint="default"/>
                <w:color w:val="000000"/>
                <w:sz w:val="21"/>
                <w:szCs w:val="21"/>
                <w:shd w:val="clear" w:color="auto" w:fill="FFFFFF"/>
                <w:lang w:eastAsia="zh-CN"/>
              </w:rPr>
              <w:t>水质 总磷的测定 钼酸铵分光光度法</w:t>
            </w:r>
            <w:r>
              <w:rPr>
                <w:rFonts w:hint="eastAsia"/>
                <w:color w:val="000000"/>
                <w:sz w:val="21"/>
                <w:szCs w:val="21"/>
                <w:shd w:val="clear" w:color="auto" w:fill="FFFFFF"/>
                <w:lang w:eastAsia="zh-CN"/>
              </w:rPr>
              <w:t>》</w:t>
            </w:r>
          </w:p>
        </w:tc>
        <w:tc>
          <w:tcPr>
            <w:tcW w:w="1883" w:type="dxa"/>
            <w:vAlign w:val="center"/>
          </w:tcPr>
          <w:p>
            <w:pPr>
              <w:spacing w:line="240" w:lineRule="auto"/>
              <w:jc w:val="center"/>
              <w:rPr>
                <w:sz w:val="21"/>
                <w:szCs w:val="21"/>
              </w:rPr>
            </w:pPr>
            <w:r>
              <w:rPr>
                <w:rFonts w:hint="default" w:ascii="Times New Roman" w:hAnsi="Times New Roman" w:eastAsia="宋体" w:cs="Times New Roman"/>
                <w:color w:val="000000"/>
                <w:sz w:val="21"/>
                <w:szCs w:val="21"/>
                <w:shd w:val="clear" w:color="auto" w:fill="FFFFFF"/>
              </w:rPr>
              <w:t>GB/T 11893-1989</w:t>
            </w:r>
          </w:p>
        </w:tc>
        <w:tc>
          <w:tcPr>
            <w:tcW w:w="1480" w:type="dxa"/>
            <w:vAlign w:val="center"/>
          </w:tcPr>
          <w:p>
            <w:pPr>
              <w:keepNext w:val="0"/>
              <w:keepLines w:val="0"/>
              <w:pageBreakBefore w:val="0"/>
              <w:kinsoku/>
              <w:wordWrap/>
              <w:overflowPunct/>
              <w:topLinePunct w:val="0"/>
              <w:autoSpaceDE/>
              <w:autoSpaceDN/>
              <w:bidi w:val="0"/>
              <w:adjustRightInd/>
              <w:jc w:val="center"/>
              <w:rPr>
                <w:rFonts w:hint="eastAsia"/>
                <w:sz w:val="21"/>
                <w:szCs w:val="21"/>
                <w:lang w:val="en-US" w:eastAsia="zh-CN"/>
              </w:rPr>
            </w:pPr>
            <w:r>
              <w:rPr>
                <w:rFonts w:hint="eastAsia" w:ascii="Times New Roman" w:hAnsi="Times New Roman" w:eastAsia="宋体" w:cs="Times New Roman"/>
                <w:sz w:val="21"/>
                <w:szCs w:val="21"/>
                <w:vertAlign w:val="baseline"/>
                <w:lang w:val="en-US" w:eastAsia="zh-CN"/>
              </w:rPr>
              <w:t>0.01mg/L</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741" w:type="dxa"/>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val="en-US" w:eastAsia="zh-CN"/>
              </w:rPr>
              <w:t>石油类</w:t>
            </w:r>
          </w:p>
        </w:tc>
        <w:tc>
          <w:tcPr>
            <w:tcW w:w="3563" w:type="dxa"/>
            <w:vAlign w:val="center"/>
          </w:tcPr>
          <w:p>
            <w:pPr>
              <w:spacing w:line="240" w:lineRule="auto"/>
              <w:jc w:val="center"/>
              <w:rPr>
                <w:rFonts w:hint="default"/>
                <w:color w:val="000000"/>
                <w:sz w:val="21"/>
                <w:szCs w:val="21"/>
                <w:shd w:val="clear" w:color="auto" w:fill="FFFFFF"/>
                <w:lang w:eastAsia="zh-CN"/>
              </w:rPr>
            </w:pPr>
            <w:r>
              <w:rPr>
                <w:rFonts w:hint="eastAsia"/>
                <w:color w:val="000000"/>
                <w:sz w:val="21"/>
                <w:szCs w:val="21"/>
                <w:shd w:val="clear" w:color="auto" w:fill="FFFFFF"/>
                <w:lang w:eastAsia="zh-CN"/>
              </w:rPr>
              <w:t>《</w:t>
            </w:r>
            <w:r>
              <w:rPr>
                <w:rFonts w:hint="default"/>
                <w:color w:val="000000"/>
                <w:sz w:val="21"/>
                <w:szCs w:val="21"/>
                <w:shd w:val="clear" w:color="auto" w:fill="FFFFFF"/>
                <w:lang w:eastAsia="zh-CN"/>
              </w:rPr>
              <w:t>水质 石油类和动植物油类的测定</w:t>
            </w:r>
            <w:r>
              <w:rPr>
                <w:rFonts w:hint="eastAsia"/>
                <w:color w:val="000000"/>
                <w:sz w:val="21"/>
                <w:szCs w:val="21"/>
                <w:shd w:val="clear" w:color="auto" w:fill="FFFFFF"/>
                <w:lang w:val="en-US" w:eastAsia="zh-CN"/>
              </w:rPr>
              <w:t xml:space="preserve"> </w:t>
            </w:r>
            <w:r>
              <w:rPr>
                <w:rFonts w:hint="default"/>
                <w:color w:val="000000"/>
                <w:sz w:val="21"/>
                <w:szCs w:val="21"/>
                <w:shd w:val="clear" w:color="auto" w:fill="FFFFFF"/>
                <w:lang w:eastAsia="zh-CN"/>
              </w:rPr>
              <w:t>红外分光光度法</w:t>
            </w:r>
            <w:r>
              <w:rPr>
                <w:rFonts w:hint="eastAsia"/>
                <w:color w:val="000000"/>
                <w:sz w:val="21"/>
                <w:szCs w:val="21"/>
                <w:shd w:val="clear" w:color="auto" w:fill="FFFFFF"/>
                <w:lang w:eastAsia="zh-CN"/>
              </w:rPr>
              <w:t>》</w:t>
            </w:r>
          </w:p>
        </w:tc>
        <w:tc>
          <w:tcPr>
            <w:tcW w:w="1883" w:type="dxa"/>
            <w:vAlign w:val="center"/>
          </w:tcPr>
          <w:p>
            <w:pPr>
              <w:spacing w:line="240" w:lineRule="auto"/>
              <w:jc w:val="center"/>
              <w:rPr>
                <w:sz w:val="21"/>
                <w:szCs w:val="21"/>
              </w:rPr>
            </w:pPr>
            <w:r>
              <w:rPr>
                <w:rFonts w:hint="default" w:ascii="Times New Roman" w:hAnsi="Times New Roman" w:eastAsia="宋体" w:cs="Times New Roman"/>
                <w:color w:val="000000"/>
                <w:sz w:val="21"/>
                <w:szCs w:val="21"/>
                <w:shd w:val="clear" w:color="auto" w:fill="FFFFFF"/>
              </w:rPr>
              <w:t>HJ 637-2018</w:t>
            </w:r>
          </w:p>
        </w:tc>
        <w:tc>
          <w:tcPr>
            <w:tcW w:w="1480" w:type="dxa"/>
            <w:vAlign w:val="center"/>
          </w:tcPr>
          <w:p>
            <w:pPr>
              <w:keepNext w:val="0"/>
              <w:keepLines w:val="0"/>
              <w:pageBreakBefore w:val="0"/>
              <w:kinsoku/>
              <w:wordWrap/>
              <w:overflowPunct/>
              <w:topLinePunct w:val="0"/>
              <w:autoSpaceDE/>
              <w:autoSpaceDN/>
              <w:bidi w:val="0"/>
              <w:adjustRightInd/>
              <w:jc w:val="center"/>
              <w:rPr>
                <w:rFonts w:hint="eastAsia"/>
                <w:sz w:val="21"/>
                <w:szCs w:val="21"/>
                <w:lang w:val="en-US" w:eastAsia="zh-CN"/>
              </w:rPr>
            </w:pPr>
            <w:r>
              <w:rPr>
                <w:rFonts w:hint="eastAsia" w:ascii="Times New Roman" w:hAnsi="Times New Roman" w:eastAsia="宋体" w:cs="Times New Roman"/>
                <w:sz w:val="21"/>
                <w:szCs w:val="21"/>
                <w:vertAlign w:val="baseline"/>
                <w:lang w:val="en-US" w:eastAsia="zh-CN"/>
              </w:rPr>
              <w:t>0.06mg/L</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741" w:type="dxa"/>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eastAsia="zh-CN"/>
              </w:rPr>
              <w:t>悬浮物</w:t>
            </w:r>
          </w:p>
        </w:tc>
        <w:tc>
          <w:tcPr>
            <w:tcW w:w="3563" w:type="dxa"/>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eastAsia="zh-CN"/>
              </w:rPr>
              <w:t>《水质 悬浮物的测定 重量法》</w:t>
            </w:r>
          </w:p>
        </w:tc>
        <w:tc>
          <w:tcPr>
            <w:tcW w:w="1883" w:type="dxa"/>
            <w:vAlign w:val="center"/>
          </w:tcPr>
          <w:p>
            <w:pPr>
              <w:spacing w:line="240" w:lineRule="auto"/>
              <w:jc w:val="center"/>
              <w:rPr>
                <w:sz w:val="21"/>
                <w:szCs w:val="21"/>
              </w:rPr>
            </w:pPr>
            <w:r>
              <w:rPr>
                <w:rFonts w:hint="default" w:ascii="Times New Roman" w:hAnsi="Times New Roman" w:eastAsia="宋体" w:cs="Times New Roman"/>
                <w:color w:val="000000" w:themeColor="text1"/>
                <w:sz w:val="21"/>
                <w:szCs w:val="21"/>
                <w:shd w:val="clear" w:color="auto" w:fill="FFFFFF"/>
                <w14:textFill>
                  <w14:solidFill>
                    <w14:schemeClr w14:val="tx1"/>
                  </w14:solidFill>
                </w14:textFill>
              </w:rPr>
              <w:t>GB/T 11901-1989</w:t>
            </w:r>
          </w:p>
        </w:tc>
        <w:tc>
          <w:tcPr>
            <w:tcW w:w="1480" w:type="dxa"/>
            <w:vAlign w:val="center"/>
          </w:tcPr>
          <w:p>
            <w:pPr>
              <w:jc w:val="center"/>
              <w:rPr>
                <w:rFonts w:hint="eastAsia"/>
                <w:sz w:val="21"/>
                <w:szCs w:val="21"/>
                <w:lang w:val="en-US" w:eastAsia="zh-CN"/>
              </w:rPr>
            </w:pPr>
            <w:r>
              <w:rPr>
                <w:rFonts w:hint="eastAsia" w:ascii="Times New Roman" w:hAnsi="Times New Roman"/>
                <w:szCs w:val="21"/>
                <w:shd w:val="clear" w:color="auto" w:fill="FFFFFF"/>
                <w:lang w:val="en-US" w:eastAsia="zh-CN"/>
              </w:rPr>
              <w:t>/</w:t>
            </w:r>
            <w:r>
              <w:rPr>
                <w:rFonts w:ascii="Times New Roman" w:hAnsi="Times New Roman"/>
                <w:szCs w:val="21"/>
                <w:shd w:val="clear" w:color="auto" w:fill="FFFFFF"/>
              </w:rPr>
              <w:t xml:space="preserve"> </w:t>
            </w:r>
          </w:p>
        </w:tc>
      </w:tr>
    </w:tbl>
    <w:p>
      <w:pPr>
        <w:pStyle w:val="6"/>
        <w:spacing w:beforeLines="0" w:afterLines="0"/>
        <w:rPr>
          <w:color w:val="auto"/>
          <w:sz w:val="32"/>
          <w:szCs w:val="32"/>
        </w:rPr>
      </w:pPr>
      <w:bookmarkStart w:id="107" w:name="_Toc22814"/>
      <w:r>
        <w:rPr>
          <w:rFonts w:hint="eastAsia"/>
          <w:color w:val="auto"/>
          <w:sz w:val="32"/>
          <w:szCs w:val="32"/>
        </w:rPr>
        <w:t>8.2监测仪器</w:t>
      </w:r>
      <w:bookmarkEnd w:id="105"/>
      <w:bookmarkEnd w:id="106"/>
      <w:bookmarkEnd w:id="107"/>
    </w:p>
    <w:p>
      <w:pPr>
        <w:ind w:firstLine="480" w:firstLineChars="200"/>
        <w:jc w:val="left"/>
      </w:pPr>
      <w:r>
        <w:t>监测分析使用仪器如表8.2-</w:t>
      </w:r>
      <w:r>
        <w:rPr>
          <w:rFonts w:hint="eastAsia"/>
        </w:rPr>
        <w:t>1</w:t>
      </w:r>
      <w:r>
        <w:t>所示。</w:t>
      </w:r>
    </w:p>
    <w:p>
      <w:pPr>
        <w:jc w:val="center"/>
        <w:rPr>
          <w:rFonts w:hint="eastAsia" w:ascii="Times New Roman" w:hAnsi="Times New Roman" w:eastAsia="黑体" w:cs="Times New Roman"/>
          <w:b w:val="0"/>
          <w:bCs w:val="0"/>
          <w:sz w:val="21"/>
          <w:szCs w:val="21"/>
          <w:lang w:val="en-US" w:eastAsia="zh-CN"/>
        </w:rPr>
      </w:pPr>
      <w:r>
        <w:rPr>
          <w:rFonts w:hint="eastAsia" w:ascii="Times New Roman" w:hAnsi="Times New Roman" w:eastAsia="黑体" w:cs="Times New Roman"/>
          <w:b w:val="0"/>
          <w:bCs w:val="0"/>
          <w:sz w:val="21"/>
          <w:szCs w:val="21"/>
          <w:lang w:val="en-US" w:eastAsia="zh-CN"/>
        </w:rPr>
        <w:t>表8.2-1 监测分析仪器</w:t>
      </w:r>
    </w:p>
    <w:tbl>
      <w:tblPr>
        <w:tblStyle w:val="19"/>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497"/>
        <w:gridCol w:w="2490"/>
        <w:gridCol w:w="1335"/>
        <w:gridCol w:w="1500"/>
        <w:gridCol w:w="1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blHeader/>
          <w:jc w:val="center"/>
        </w:trPr>
        <w:tc>
          <w:tcPr>
            <w:tcW w:w="690" w:type="dxa"/>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eastAsia="zh-CN"/>
              </w:rPr>
              <w:t>序号</w:t>
            </w:r>
          </w:p>
        </w:tc>
        <w:tc>
          <w:tcPr>
            <w:tcW w:w="1497" w:type="dxa"/>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eastAsia="zh-CN"/>
              </w:rPr>
              <w:t>检测项目</w:t>
            </w:r>
          </w:p>
        </w:tc>
        <w:tc>
          <w:tcPr>
            <w:tcW w:w="2490" w:type="dxa"/>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eastAsia="zh-CN"/>
              </w:rPr>
              <w:t>依据的标准（方法）名称</w:t>
            </w:r>
          </w:p>
        </w:tc>
        <w:tc>
          <w:tcPr>
            <w:tcW w:w="1335" w:type="dxa"/>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eastAsia="zh-CN"/>
              </w:rPr>
              <w:t>设备名称</w:t>
            </w:r>
          </w:p>
        </w:tc>
        <w:tc>
          <w:tcPr>
            <w:tcW w:w="1500" w:type="dxa"/>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eastAsia="zh-CN"/>
              </w:rPr>
              <w:t>设备编号</w:t>
            </w:r>
          </w:p>
        </w:tc>
        <w:tc>
          <w:tcPr>
            <w:tcW w:w="1332" w:type="dxa"/>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eastAsia="zh-CN"/>
              </w:rPr>
              <w:t>校准有效期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44" w:type="dxa"/>
            <w:gridSpan w:val="6"/>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eastAsia="zh-CN"/>
              </w:rPr>
              <w:t>样品类别：无组织废气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0" w:type="dxa"/>
            <w:vMerge w:val="restart"/>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eastAsia="zh-CN"/>
              </w:rPr>
              <w:t>1</w:t>
            </w:r>
          </w:p>
        </w:tc>
        <w:tc>
          <w:tcPr>
            <w:tcW w:w="1497" w:type="dxa"/>
            <w:vMerge w:val="restart"/>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eastAsia="zh-CN"/>
              </w:rPr>
              <w:t>颗粒物</w:t>
            </w:r>
          </w:p>
        </w:tc>
        <w:tc>
          <w:tcPr>
            <w:tcW w:w="2490" w:type="dxa"/>
            <w:vMerge w:val="restart"/>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eastAsia="zh-CN"/>
              </w:rPr>
              <w:t>环境空气 总悬浮颗粒物的测定 重量法</w:t>
            </w:r>
          </w:p>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eastAsia="zh-CN"/>
              </w:rPr>
              <w:t>GB/T 15432-1995</w:t>
            </w:r>
          </w:p>
        </w:tc>
        <w:tc>
          <w:tcPr>
            <w:tcW w:w="1335" w:type="dxa"/>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eastAsia="zh-CN"/>
              </w:rPr>
              <w:t>电子天平</w:t>
            </w:r>
          </w:p>
        </w:tc>
        <w:tc>
          <w:tcPr>
            <w:tcW w:w="1500" w:type="dxa"/>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eastAsia="zh-CN"/>
              </w:rPr>
              <w:t>GH-YQ-N55</w:t>
            </w:r>
          </w:p>
        </w:tc>
        <w:tc>
          <w:tcPr>
            <w:tcW w:w="1332" w:type="dxa"/>
            <w:vAlign w:val="center"/>
          </w:tcPr>
          <w:p>
            <w:pPr>
              <w:spacing w:line="240" w:lineRule="auto"/>
              <w:jc w:val="center"/>
              <w:rPr>
                <w:rFonts w:hint="default"/>
                <w:color w:val="000000"/>
                <w:sz w:val="21"/>
                <w:szCs w:val="21"/>
                <w:shd w:val="clear" w:color="auto" w:fill="FFFFFF"/>
                <w:lang w:val="en-US" w:eastAsia="zh-CN"/>
              </w:rPr>
            </w:pPr>
            <w:r>
              <w:rPr>
                <w:rFonts w:hint="eastAsia"/>
                <w:color w:val="000000"/>
                <w:sz w:val="21"/>
                <w:szCs w:val="21"/>
                <w:shd w:val="clear" w:color="auto" w:fill="FFFFFF"/>
                <w:lang w:eastAsia="zh-CN"/>
              </w:rPr>
              <w:t>202</w:t>
            </w:r>
            <w:r>
              <w:rPr>
                <w:rFonts w:hint="eastAsia"/>
                <w:color w:val="000000"/>
                <w:sz w:val="21"/>
                <w:szCs w:val="21"/>
                <w:shd w:val="clear" w:color="auto" w:fill="FFFFFF"/>
                <w:lang w:val="en-US" w:eastAsia="zh-CN"/>
              </w:rPr>
              <w:t>3</w:t>
            </w:r>
            <w:r>
              <w:rPr>
                <w:rFonts w:hint="eastAsia"/>
                <w:color w:val="000000"/>
                <w:sz w:val="21"/>
                <w:szCs w:val="21"/>
                <w:shd w:val="clear" w:color="auto" w:fill="FFFFFF"/>
                <w:lang w:eastAsia="zh-CN"/>
              </w:rPr>
              <w:t>.05.</w:t>
            </w:r>
            <w:r>
              <w:rPr>
                <w:rFonts w:hint="eastAsia"/>
                <w:color w:val="000000"/>
                <w:sz w:val="21"/>
                <w:szCs w:val="21"/>
                <w:shd w:val="clear" w:color="auto" w:fill="FFFFFF"/>
                <w:lang w:val="en-US" w:eastAsia="zh-CN"/>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0" w:type="dxa"/>
            <w:vMerge w:val="continue"/>
            <w:vAlign w:val="center"/>
          </w:tcPr>
          <w:p>
            <w:pPr>
              <w:spacing w:line="240" w:lineRule="auto"/>
              <w:jc w:val="center"/>
              <w:rPr>
                <w:rFonts w:hint="eastAsia"/>
                <w:color w:val="000000"/>
                <w:sz w:val="21"/>
                <w:szCs w:val="21"/>
                <w:shd w:val="clear" w:color="auto" w:fill="FFFFFF"/>
                <w:lang w:eastAsia="zh-CN"/>
              </w:rPr>
            </w:pPr>
          </w:p>
        </w:tc>
        <w:tc>
          <w:tcPr>
            <w:tcW w:w="1497" w:type="dxa"/>
            <w:vMerge w:val="continue"/>
            <w:vAlign w:val="center"/>
          </w:tcPr>
          <w:p>
            <w:pPr>
              <w:spacing w:line="240" w:lineRule="auto"/>
              <w:jc w:val="center"/>
              <w:rPr>
                <w:rFonts w:hint="eastAsia"/>
                <w:color w:val="000000"/>
                <w:sz w:val="21"/>
                <w:szCs w:val="21"/>
                <w:shd w:val="clear" w:color="auto" w:fill="FFFFFF"/>
                <w:lang w:eastAsia="zh-CN"/>
              </w:rPr>
            </w:pPr>
          </w:p>
        </w:tc>
        <w:tc>
          <w:tcPr>
            <w:tcW w:w="2490" w:type="dxa"/>
            <w:vMerge w:val="continue"/>
            <w:vAlign w:val="center"/>
          </w:tcPr>
          <w:p>
            <w:pPr>
              <w:spacing w:line="240" w:lineRule="auto"/>
              <w:jc w:val="center"/>
              <w:rPr>
                <w:rFonts w:hint="eastAsia"/>
                <w:color w:val="000000"/>
                <w:sz w:val="21"/>
                <w:szCs w:val="21"/>
                <w:shd w:val="clear" w:color="auto" w:fill="FFFFFF"/>
                <w:lang w:eastAsia="zh-CN"/>
              </w:rPr>
            </w:pPr>
          </w:p>
        </w:tc>
        <w:tc>
          <w:tcPr>
            <w:tcW w:w="1335" w:type="dxa"/>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eastAsia="zh-CN"/>
              </w:rPr>
              <w:t>恒温恒湿称重系统</w:t>
            </w:r>
          </w:p>
        </w:tc>
        <w:tc>
          <w:tcPr>
            <w:tcW w:w="1500" w:type="dxa"/>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eastAsia="zh-CN"/>
              </w:rPr>
              <w:t>GH-YQ-N64</w:t>
            </w:r>
          </w:p>
        </w:tc>
        <w:tc>
          <w:tcPr>
            <w:tcW w:w="1332" w:type="dxa"/>
            <w:vAlign w:val="center"/>
          </w:tcPr>
          <w:p>
            <w:pPr>
              <w:spacing w:line="240" w:lineRule="auto"/>
              <w:jc w:val="center"/>
              <w:rPr>
                <w:rFonts w:hint="default"/>
                <w:color w:val="000000"/>
                <w:sz w:val="21"/>
                <w:szCs w:val="21"/>
                <w:shd w:val="clear" w:color="auto" w:fill="FFFFFF"/>
                <w:lang w:val="en-US" w:eastAsia="zh-CN"/>
              </w:rPr>
            </w:pPr>
            <w:r>
              <w:rPr>
                <w:rFonts w:hint="eastAsia"/>
                <w:color w:val="000000"/>
                <w:sz w:val="21"/>
                <w:szCs w:val="21"/>
                <w:shd w:val="clear" w:color="auto" w:fill="FFFFFF"/>
                <w:lang w:eastAsia="zh-CN"/>
              </w:rPr>
              <w:t>202</w:t>
            </w:r>
            <w:r>
              <w:rPr>
                <w:rFonts w:hint="eastAsia"/>
                <w:color w:val="000000"/>
                <w:sz w:val="21"/>
                <w:szCs w:val="21"/>
                <w:shd w:val="clear" w:color="auto" w:fill="FFFFFF"/>
                <w:lang w:val="en-US" w:eastAsia="zh-CN"/>
              </w:rPr>
              <w:t>3</w:t>
            </w:r>
            <w:r>
              <w:rPr>
                <w:rFonts w:hint="eastAsia"/>
                <w:color w:val="000000"/>
                <w:sz w:val="21"/>
                <w:szCs w:val="21"/>
                <w:shd w:val="clear" w:color="auto" w:fill="FFFFFF"/>
                <w:lang w:eastAsia="zh-CN"/>
              </w:rPr>
              <w:t>.</w:t>
            </w:r>
            <w:r>
              <w:rPr>
                <w:rFonts w:hint="eastAsia"/>
                <w:color w:val="000000"/>
                <w:sz w:val="21"/>
                <w:szCs w:val="21"/>
                <w:shd w:val="clear" w:color="auto" w:fill="FFFFFF"/>
                <w:lang w:val="en-US" w:eastAsia="zh-CN"/>
              </w:rPr>
              <w:t>03.30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0" w:type="dxa"/>
            <w:vMerge w:val="continue"/>
            <w:vAlign w:val="center"/>
          </w:tcPr>
          <w:p>
            <w:pPr>
              <w:spacing w:line="240" w:lineRule="auto"/>
              <w:jc w:val="center"/>
              <w:rPr>
                <w:rFonts w:hint="eastAsia"/>
                <w:color w:val="000000"/>
                <w:sz w:val="21"/>
                <w:szCs w:val="21"/>
                <w:shd w:val="clear" w:color="auto" w:fill="FFFFFF"/>
                <w:lang w:eastAsia="zh-CN"/>
              </w:rPr>
            </w:pPr>
          </w:p>
        </w:tc>
        <w:tc>
          <w:tcPr>
            <w:tcW w:w="1497" w:type="dxa"/>
            <w:vMerge w:val="continue"/>
            <w:vAlign w:val="center"/>
          </w:tcPr>
          <w:p>
            <w:pPr>
              <w:spacing w:line="240" w:lineRule="auto"/>
              <w:jc w:val="center"/>
              <w:rPr>
                <w:rFonts w:hint="eastAsia"/>
                <w:color w:val="000000"/>
                <w:sz w:val="21"/>
                <w:szCs w:val="21"/>
                <w:shd w:val="clear" w:color="auto" w:fill="FFFFFF"/>
                <w:lang w:eastAsia="zh-CN"/>
              </w:rPr>
            </w:pPr>
          </w:p>
        </w:tc>
        <w:tc>
          <w:tcPr>
            <w:tcW w:w="2490" w:type="dxa"/>
            <w:vMerge w:val="continue"/>
            <w:vAlign w:val="center"/>
          </w:tcPr>
          <w:p>
            <w:pPr>
              <w:spacing w:line="240" w:lineRule="auto"/>
              <w:jc w:val="center"/>
              <w:rPr>
                <w:rFonts w:hint="eastAsia"/>
                <w:color w:val="000000"/>
                <w:sz w:val="21"/>
                <w:szCs w:val="21"/>
                <w:shd w:val="clear" w:color="auto" w:fill="FFFFFF"/>
                <w:lang w:eastAsia="zh-CN"/>
              </w:rPr>
            </w:pPr>
          </w:p>
        </w:tc>
        <w:tc>
          <w:tcPr>
            <w:tcW w:w="1335" w:type="dxa"/>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eastAsia="zh-CN"/>
              </w:rPr>
              <w:t>电热鼓风干燥箱</w:t>
            </w:r>
          </w:p>
        </w:tc>
        <w:tc>
          <w:tcPr>
            <w:tcW w:w="1500" w:type="dxa"/>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eastAsia="zh-CN"/>
              </w:rPr>
              <w:t>GH-YQ-N21</w:t>
            </w:r>
          </w:p>
        </w:tc>
        <w:tc>
          <w:tcPr>
            <w:tcW w:w="1332" w:type="dxa"/>
            <w:vAlign w:val="center"/>
          </w:tcPr>
          <w:p>
            <w:pPr>
              <w:spacing w:line="240" w:lineRule="auto"/>
              <w:jc w:val="center"/>
              <w:rPr>
                <w:rFonts w:hint="default"/>
                <w:color w:val="000000"/>
                <w:sz w:val="21"/>
                <w:szCs w:val="21"/>
                <w:shd w:val="clear" w:color="auto" w:fill="FFFFFF"/>
                <w:lang w:val="en-US" w:eastAsia="zh-CN"/>
              </w:rPr>
            </w:pPr>
            <w:r>
              <w:rPr>
                <w:rFonts w:hint="eastAsia"/>
                <w:color w:val="000000"/>
                <w:sz w:val="21"/>
                <w:szCs w:val="21"/>
                <w:shd w:val="clear" w:color="auto" w:fill="FFFFFF"/>
                <w:lang w:eastAsia="zh-CN"/>
              </w:rPr>
              <w:t>202</w:t>
            </w:r>
            <w:r>
              <w:rPr>
                <w:rFonts w:hint="eastAsia"/>
                <w:color w:val="000000"/>
                <w:sz w:val="21"/>
                <w:szCs w:val="21"/>
                <w:shd w:val="clear" w:color="auto" w:fill="FFFFFF"/>
                <w:lang w:val="en-US" w:eastAsia="zh-CN"/>
              </w:rPr>
              <w:t>3.05.06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0" w:type="dxa"/>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eastAsia="zh-CN"/>
              </w:rPr>
              <w:t>2</w:t>
            </w:r>
          </w:p>
        </w:tc>
        <w:tc>
          <w:tcPr>
            <w:tcW w:w="1497" w:type="dxa"/>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eastAsia="zh-CN"/>
              </w:rPr>
              <w:t>非甲烷总烃</w:t>
            </w:r>
          </w:p>
        </w:tc>
        <w:tc>
          <w:tcPr>
            <w:tcW w:w="2490" w:type="dxa"/>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eastAsia="zh-CN"/>
              </w:rPr>
              <w:t>《</w:t>
            </w:r>
            <w:r>
              <w:rPr>
                <w:rFonts w:hint="default"/>
                <w:color w:val="000000"/>
                <w:sz w:val="21"/>
                <w:szCs w:val="21"/>
                <w:shd w:val="clear" w:color="auto" w:fill="FFFFFF"/>
                <w:lang w:eastAsia="zh-CN"/>
              </w:rPr>
              <w:t>环境空气 总烃、甲烷和非甲烷总烃的测定 直接进样-气相色谱法</w:t>
            </w:r>
            <w:r>
              <w:rPr>
                <w:rFonts w:hint="eastAsia"/>
                <w:color w:val="000000"/>
                <w:sz w:val="21"/>
                <w:szCs w:val="21"/>
                <w:shd w:val="clear" w:color="auto" w:fill="FFFFFF"/>
                <w:lang w:eastAsia="zh-CN"/>
              </w:rPr>
              <w:t>》</w:t>
            </w:r>
            <w:r>
              <w:rPr>
                <w:rFonts w:hint="default"/>
                <w:color w:val="000000"/>
                <w:sz w:val="21"/>
                <w:szCs w:val="21"/>
                <w:shd w:val="clear" w:color="auto" w:fill="FFFFFF"/>
                <w:lang w:eastAsia="zh-CN"/>
              </w:rPr>
              <w:t>HJ 604-2017</w:t>
            </w:r>
          </w:p>
        </w:tc>
        <w:tc>
          <w:tcPr>
            <w:tcW w:w="1335" w:type="dxa"/>
            <w:vAlign w:val="center"/>
          </w:tcPr>
          <w:p>
            <w:pPr>
              <w:spacing w:line="240" w:lineRule="auto"/>
              <w:jc w:val="center"/>
              <w:rPr>
                <w:rFonts w:hint="eastAsia"/>
                <w:color w:val="000000"/>
                <w:sz w:val="21"/>
                <w:szCs w:val="21"/>
                <w:shd w:val="clear" w:color="auto" w:fill="FFFFFF"/>
                <w:lang w:eastAsia="zh-CN"/>
              </w:rPr>
            </w:pPr>
            <w:r>
              <w:rPr>
                <w:rFonts w:hint="default"/>
                <w:color w:val="000000"/>
                <w:sz w:val="21"/>
                <w:szCs w:val="21"/>
                <w:shd w:val="clear" w:color="auto" w:fill="FFFFFF"/>
                <w:lang w:val="en-US" w:eastAsia="zh-CN"/>
              </w:rPr>
              <w:t>气相色谱仪</w:t>
            </w:r>
          </w:p>
        </w:tc>
        <w:tc>
          <w:tcPr>
            <w:tcW w:w="1500" w:type="dxa"/>
            <w:vAlign w:val="center"/>
          </w:tcPr>
          <w:p>
            <w:pPr>
              <w:spacing w:line="240" w:lineRule="auto"/>
              <w:jc w:val="center"/>
              <w:rPr>
                <w:rFonts w:hint="eastAsia"/>
                <w:color w:val="000000"/>
                <w:sz w:val="21"/>
                <w:szCs w:val="21"/>
                <w:shd w:val="clear" w:color="auto" w:fill="FFFFFF"/>
                <w:lang w:eastAsia="zh-CN"/>
              </w:rPr>
            </w:pPr>
            <w:r>
              <w:rPr>
                <w:rFonts w:hint="default"/>
                <w:color w:val="000000"/>
                <w:sz w:val="21"/>
                <w:szCs w:val="21"/>
                <w:shd w:val="clear" w:color="auto" w:fill="FFFFFF"/>
                <w:lang w:val="en-US" w:eastAsia="zh-CN"/>
              </w:rPr>
              <w:t>GH-YQ-N62</w:t>
            </w:r>
          </w:p>
        </w:tc>
        <w:tc>
          <w:tcPr>
            <w:tcW w:w="1332" w:type="dxa"/>
            <w:vAlign w:val="center"/>
          </w:tcPr>
          <w:p>
            <w:pPr>
              <w:spacing w:line="240" w:lineRule="auto"/>
              <w:jc w:val="center"/>
              <w:rPr>
                <w:rFonts w:hint="eastAsia"/>
                <w:color w:val="000000"/>
                <w:sz w:val="21"/>
                <w:szCs w:val="21"/>
                <w:shd w:val="clear" w:color="auto" w:fill="FFFFFF"/>
                <w:lang w:eastAsia="zh-CN"/>
              </w:rPr>
            </w:pPr>
            <w:r>
              <w:rPr>
                <w:rFonts w:hint="default"/>
                <w:color w:val="000000"/>
                <w:sz w:val="21"/>
                <w:szCs w:val="21"/>
                <w:shd w:val="clear" w:color="auto" w:fill="FFFFFF"/>
                <w:lang w:val="en-US" w:eastAsia="zh-CN"/>
              </w:rPr>
              <w:t>202</w:t>
            </w:r>
            <w:r>
              <w:rPr>
                <w:rFonts w:hint="eastAsia"/>
                <w:color w:val="000000"/>
                <w:sz w:val="21"/>
                <w:szCs w:val="21"/>
                <w:shd w:val="clear" w:color="auto" w:fill="FFFFFF"/>
                <w:lang w:val="en-US" w:eastAsia="zh-CN"/>
              </w:rPr>
              <w:t>3.03.30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0" w:type="dxa"/>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val="en-US" w:eastAsia="zh-CN"/>
              </w:rPr>
              <w:t>3</w:t>
            </w:r>
          </w:p>
        </w:tc>
        <w:tc>
          <w:tcPr>
            <w:tcW w:w="1497" w:type="dxa"/>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eastAsia="zh-CN"/>
              </w:rPr>
              <w:t>甲苯</w:t>
            </w:r>
          </w:p>
        </w:tc>
        <w:tc>
          <w:tcPr>
            <w:tcW w:w="2490" w:type="dxa"/>
            <w:vAlign w:val="center"/>
          </w:tcPr>
          <w:p>
            <w:pPr>
              <w:spacing w:line="240" w:lineRule="auto"/>
              <w:jc w:val="center"/>
              <w:rPr>
                <w:rFonts w:hint="eastAsia"/>
                <w:color w:val="000000"/>
                <w:sz w:val="21"/>
                <w:szCs w:val="21"/>
                <w:shd w:val="clear" w:color="auto" w:fill="FFFFFF"/>
                <w:lang w:eastAsia="zh-CN"/>
              </w:rPr>
            </w:pPr>
            <w:r>
              <w:rPr>
                <w:rFonts w:hint="default"/>
                <w:color w:val="000000"/>
                <w:sz w:val="21"/>
                <w:szCs w:val="21"/>
                <w:shd w:val="clear" w:color="auto" w:fill="FFFFFF"/>
                <w:lang w:eastAsia="zh-CN"/>
              </w:rPr>
              <w:t>苯系物 活性炭吸附二硫化碳解吸气相色谱法《空气和废气监测分析方法》（第四版）国家环境保护总局 （2003年）</w:t>
            </w:r>
          </w:p>
        </w:tc>
        <w:tc>
          <w:tcPr>
            <w:tcW w:w="1335" w:type="dxa"/>
            <w:vAlign w:val="center"/>
          </w:tcPr>
          <w:p>
            <w:pPr>
              <w:spacing w:line="240" w:lineRule="auto"/>
              <w:jc w:val="center"/>
              <w:rPr>
                <w:rFonts w:hint="eastAsia"/>
                <w:color w:val="000000"/>
                <w:sz w:val="21"/>
                <w:szCs w:val="21"/>
                <w:shd w:val="clear" w:color="auto" w:fill="FFFFFF"/>
                <w:lang w:eastAsia="zh-CN"/>
              </w:rPr>
            </w:pPr>
            <w:r>
              <w:rPr>
                <w:rFonts w:hint="default"/>
                <w:color w:val="000000"/>
                <w:sz w:val="21"/>
                <w:szCs w:val="21"/>
                <w:shd w:val="clear" w:color="auto" w:fill="FFFFFF"/>
                <w:lang w:val="en-US" w:eastAsia="zh-CN"/>
              </w:rPr>
              <w:t>气相色谱仪</w:t>
            </w:r>
          </w:p>
        </w:tc>
        <w:tc>
          <w:tcPr>
            <w:tcW w:w="1500" w:type="dxa"/>
            <w:vAlign w:val="center"/>
          </w:tcPr>
          <w:p>
            <w:pPr>
              <w:spacing w:line="240" w:lineRule="auto"/>
              <w:jc w:val="center"/>
              <w:rPr>
                <w:rFonts w:hint="eastAsia"/>
                <w:color w:val="000000"/>
                <w:sz w:val="21"/>
                <w:szCs w:val="21"/>
                <w:shd w:val="clear" w:color="auto" w:fill="FFFFFF"/>
                <w:lang w:eastAsia="zh-CN"/>
              </w:rPr>
            </w:pPr>
            <w:r>
              <w:rPr>
                <w:rFonts w:hint="default"/>
                <w:color w:val="000000"/>
                <w:sz w:val="21"/>
                <w:szCs w:val="21"/>
                <w:shd w:val="clear" w:color="auto" w:fill="FFFFFF"/>
                <w:lang w:val="en-US" w:eastAsia="zh-CN"/>
              </w:rPr>
              <w:t>GH-YQ-N171</w:t>
            </w:r>
          </w:p>
        </w:tc>
        <w:tc>
          <w:tcPr>
            <w:tcW w:w="1332" w:type="dxa"/>
            <w:vAlign w:val="center"/>
          </w:tcPr>
          <w:p>
            <w:pPr>
              <w:spacing w:line="240" w:lineRule="auto"/>
              <w:jc w:val="center"/>
              <w:rPr>
                <w:rFonts w:hint="eastAsia"/>
                <w:color w:val="000000"/>
                <w:sz w:val="21"/>
                <w:szCs w:val="21"/>
                <w:shd w:val="clear" w:color="auto" w:fill="FFFFFF"/>
                <w:lang w:eastAsia="zh-CN"/>
              </w:rPr>
            </w:pPr>
            <w:r>
              <w:rPr>
                <w:rFonts w:hint="default"/>
                <w:color w:val="000000"/>
                <w:sz w:val="21"/>
                <w:szCs w:val="21"/>
                <w:shd w:val="clear" w:color="auto" w:fill="FFFFFF"/>
                <w:lang w:val="en-US" w:eastAsia="zh-CN"/>
              </w:rPr>
              <w:t>202</w:t>
            </w:r>
            <w:r>
              <w:rPr>
                <w:rFonts w:hint="eastAsia"/>
                <w:color w:val="000000"/>
                <w:sz w:val="21"/>
                <w:szCs w:val="21"/>
                <w:shd w:val="clear" w:color="auto" w:fill="FFFFFF"/>
                <w:lang w:val="en-US" w:eastAsia="zh-CN"/>
              </w:rPr>
              <w:t>3.02.22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44" w:type="dxa"/>
            <w:gridSpan w:val="6"/>
            <w:vAlign w:val="center"/>
          </w:tcPr>
          <w:p>
            <w:pPr>
              <w:spacing w:line="240" w:lineRule="auto"/>
              <w:jc w:val="center"/>
              <w:rPr>
                <w:color w:val="000000"/>
                <w:sz w:val="21"/>
                <w:szCs w:val="21"/>
                <w:shd w:val="clear" w:color="auto" w:fill="FFFFFF"/>
              </w:rPr>
            </w:pPr>
            <w:r>
              <w:rPr>
                <w:color w:val="000000"/>
                <w:sz w:val="21"/>
                <w:szCs w:val="21"/>
                <w:shd w:val="clear" w:color="auto" w:fill="FFFFFF"/>
              </w:rPr>
              <w:t>样品类别：有组织废气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0" w:type="dxa"/>
            <w:vMerge w:val="restart"/>
            <w:vAlign w:val="center"/>
          </w:tcPr>
          <w:p>
            <w:pPr>
              <w:spacing w:line="240" w:lineRule="auto"/>
              <w:jc w:val="center"/>
              <w:rPr>
                <w:rFonts w:hint="eastAsia" w:eastAsia="宋体"/>
                <w:color w:val="000000"/>
                <w:sz w:val="21"/>
                <w:szCs w:val="21"/>
                <w:shd w:val="clear" w:color="auto" w:fill="FFFFFF"/>
                <w:lang w:eastAsia="zh-CN"/>
              </w:rPr>
            </w:pPr>
            <w:r>
              <w:rPr>
                <w:rFonts w:hint="eastAsia"/>
                <w:color w:val="000000"/>
                <w:sz w:val="21"/>
                <w:szCs w:val="21"/>
                <w:shd w:val="clear" w:color="auto" w:fill="FFFFFF"/>
                <w:lang w:val="en-US" w:eastAsia="zh-CN"/>
              </w:rPr>
              <w:t>4</w:t>
            </w:r>
          </w:p>
        </w:tc>
        <w:tc>
          <w:tcPr>
            <w:tcW w:w="1497" w:type="dxa"/>
            <w:vMerge w:val="restart"/>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eastAsia="zh-CN"/>
              </w:rPr>
              <w:t>低浓度颗粒物</w:t>
            </w:r>
          </w:p>
        </w:tc>
        <w:tc>
          <w:tcPr>
            <w:tcW w:w="2490" w:type="dxa"/>
            <w:vMerge w:val="restart"/>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eastAsia="zh-CN"/>
              </w:rPr>
              <w:t>固定污染源废气 低浓度颗粒物的测定 重量法HJ 836-2017</w:t>
            </w:r>
          </w:p>
        </w:tc>
        <w:tc>
          <w:tcPr>
            <w:tcW w:w="1335" w:type="dxa"/>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eastAsia="zh-CN"/>
              </w:rPr>
              <w:t>电子天平</w:t>
            </w:r>
          </w:p>
        </w:tc>
        <w:tc>
          <w:tcPr>
            <w:tcW w:w="1500" w:type="dxa"/>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eastAsia="zh-CN"/>
              </w:rPr>
              <w:t>GH-YQ-N55</w:t>
            </w:r>
          </w:p>
        </w:tc>
        <w:tc>
          <w:tcPr>
            <w:tcW w:w="1332" w:type="dxa"/>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val="en-US" w:eastAsia="zh-CN"/>
              </w:rPr>
              <w:t>202</w:t>
            </w:r>
            <w:r>
              <w:rPr>
                <w:rFonts w:hint="eastAsia"/>
                <w:color w:val="000000"/>
                <w:sz w:val="21"/>
                <w:szCs w:val="21"/>
                <w:shd w:val="clear" w:color="auto" w:fill="FFFFFF"/>
                <w:lang w:val="en-US" w:eastAsia="zh-CN"/>
              </w:rPr>
              <w:t>3</w:t>
            </w:r>
            <w:r>
              <w:rPr>
                <w:rFonts w:hint="default"/>
                <w:color w:val="000000"/>
                <w:sz w:val="21"/>
                <w:szCs w:val="21"/>
                <w:shd w:val="clear" w:color="auto" w:fill="FFFFFF"/>
                <w:lang w:val="en-US" w:eastAsia="zh-CN"/>
              </w:rPr>
              <w:t>.05.</w:t>
            </w:r>
            <w:r>
              <w:rPr>
                <w:rFonts w:hint="eastAsia"/>
                <w:color w:val="000000"/>
                <w:sz w:val="21"/>
                <w:szCs w:val="21"/>
                <w:shd w:val="clear" w:color="auto" w:fill="FFFFFF"/>
                <w:lang w:val="en-US" w:eastAsia="zh-CN"/>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0" w:type="dxa"/>
            <w:vMerge w:val="continue"/>
            <w:vAlign w:val="center"/>
          </w:tcPr>
          <w:p>
            <w:pPr>
              <w:spacing w:line="240" w:lineRule="auto"/>
              <w:jc w:val="center"/>
              <w:rPr>
                <w:sz w:val="21"/>
                <w:szCs w:val="21"/>
              </w:rPr>
            </w:pPr>
          </w:p>
        </w:tc>
        <w:tc>
          <w:tcPr>
            <w:tcW w:w="1497" w:type="dxa"/>
            <w:vMerge w:val="continue"/>
            <w:vAlign w:val="center"/>
          </w:tcPr>
          <w:p>
            <w:pPr>
              <w:spacing w:line="240" w:lineRule="auto"/>
              <w:jc w:val="center"/>
              <w:rPr>
                <w:rFonts w:hint="default"/>
                <w:color w:val="000000"/>
                <w:sz w:val="21"/>
                <w:szCs w:val="21"/>
                <w:shd w:val="clear" w:color="auto" w:fill="FFFFFF"/>
                <w:lang w:eastAsia="zh-CN"/>
              </w:rPr>
            </w:pPr>
          </w:p>
        </w:tc>
        <w:tc>
          <w:tcPr>
            <w:tcW w:w="2490" w:type="dxa"/>
            <w:vMerge w:val="continue"/>
            <w:vAlign w:val="center"/>
          </w:tcPr>
          <w:p>
            <w:pPr>
              <w:spacing w:line="240" w:lineRule="auto"/>
              <w:jc w:val="center"/>
              <w:rPr>
                <w:rFonts w:hint="default"/>
                <w:color w:val="000000"/>
                <w:sz w:val="21"/>
                <w:szCs w:val="21"/>
                <w:shd w:val="clear" w:color="auto" w:fill="FFFFFF"/>
                <w:lang w:eastAsia="zh-CN"/>
              </w:rPr>
            </w:pPr>
          </w:p>
        </w:tc>
        <w:tc>
          <w:tcPr>
            <w:tcW w:w="1335" w:type="dxa"/>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eastAsia="zh-CN"/>
              </w:rPr>
              <w:t>恒温恒湿称重系统</w:t>
            </w:r>
          </w:p>
        </w:tc>
        <w:tc>
          <w:tcPr>
            <w:tcW w:w="1500" w:type="dxa"/>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eastAsia="zh-CN"/>
              </w:rPr>
              <w:t>GH-YQ-N64</w:t>
            </w:r>
          </w:p>
        </w:tc>
        <w:tc>
          <w:tcPr>
            <w:tcW w:w="1332" w:type="dxa"/>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val="en-US" w:eastAsia="zh-CN"/>
              </w:rPr>
              <w:t>202</w:t>
            </w:r>
            <w:r>
              <w:rPr>
                <w:rFonts w:hint="eastAsia"/>
                <w:color w:val="000000"/>
                <w:sz w:val="21"/>
                <w:szCs w:val="21"/>
                <w:shd w:val="clear" w:color="auto" w:fill="FFFFFF"/>
                <w:lang w:val="en-US" w:eastAsia="zh-CN"/>
              </w:rPr>
              <w:t>3</w:t>
            </w:r>
            <w:r>
              <w:rPr>
                <w:rFonts w:hint="default"/>
                <w:color w:val="000000"/>
                <w:sz w:val="21"/>
                <w:szCs w:val="21"/>
                <w:shd w:val="clear" w:color="auto" w:fill="FFFFFF"/>
                <w:lang w:val="en-US" w:eastAsia="zh-CN"/>
              </w:rPr>
              <w:t>.0</w:t>
            </w:r>
            <w:r>
              <w:rPr>
                <w:rFonts w:hint="eastAsia"/>
                <w:color w:val="000000"/>
                <w:sz w:val="21"/>
                <w:szCs w:val="21"/>
                <w:shd w:val="clear" w:color="auto" w:fill="FFFFFF"/>
                <w:lang w:val="en-US" w:eastAsia="zh-CN"/>
              </w:rPr>
              <w:t>3</w:t>
            </w:r>
            <w:r>
              <w:rPr>
                <w:rFonts w:hint="default"/>
                <w:color w:val="000000"/>
                <w:sz w:val="21"/>
                <w:szCs w:val="21"/>
                <w:shd w:val="clear" w:color="auto" w:fill="FFFFFF"/>
                <w:lang w:val="en-US" w:eastAsia="zh-CN"/>
              </w:rPr>
              <w:t>.</w:t>
            </w:r>
            <w:r>
              <w:rPr>
                <w:rFonts w:hint="eastAsia"/>
                <w:color w:val="000000"/>
                <w:sz w:val="21"/>
                <w:szCs w:val="21"/>
                <w:shd w:val="clear" w:color="auto" w:fill="FFFFFF"/>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690" w:type="dxa"/>
            <w:vMerge w:val="continue"/>
            <w:vAlign w:val="center"/>
          </w:tcPr>
          <w:p>
            <w:pPr>
              <w:spacing w:line="240" w:lineRule="auto"/>
              <w:jc w:val="center"/>
              <w:rPr>
                <w:color w:val="000000"/>
                <w:sz w:val="21"/>
                <w:szCs w:val="21"/>
                <w:shd w:val="clear" w:color="auto" w:fill="FFFFFF"/>
              </w:rPr>
            </w:pPr>
          </w:p>
        </w:tc>
        <w:tc>
          <w:tcPr>
            <w:tcW w:w="1497" w:type="dxa"/>
            <w:vMerge w:val="continue"/>
            <w:vAlign w:val="center"/>
          </w:tcPr>
          <w:p>
            <w:pPr>
              <w:spacing w:line="240" w:lineRule="auto"/>
              <w:jc w:val="center"/>
              <w:rPr>
                <w:rFonts w:hint="default"/>
                <w:color w:val="000000"/>
                <w:sz w:val="21"/>
                <w:szCs w:val="21"/>
                <w:shd w:val="clear" w:color="auto" w:fill="FFFFFF"/>
                <w:lang w:eastAsia="zh-CN"/>
              </w:rPr>
            </w:pPr>
          </w:p>
        </w:tc>
        <w:tc>
          <w:tcPr>
            <w:tcW w:w="2490" w:type="dxa"/>
            <w:vMerge w:val="continue"/>
            <w:vAlign w:val="center"/>
          </w:tcPr>
          <w:p>
            <w:pPr>
              <w:spacing w:line="240" w:lineRule="auto"/>
              <w:jc w:val="center"/>
              <w:rPr>
                <w:rFonts w:hint="default"/>
                <w:color w:val="000000"/>
                <w:sz w:val="21"/>
                <w:szCs w:val="21"/>
                <w:shd w:val="clear" w:color="auto" w:fill="FFFFFF"/>
                <w:lang w:eastAsia="zh-CN"/>
              </w:rPr>
            </w:pPr>
          </w:p>
        </w:tc>
        <w:tc>
          <w:tcPr>
            <w:tcW w:w="1335" w:type="dxa"/>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eastAsia="zh-CN"/>
              </w:rPr>
              <w:t>电热鼓风干燥箱</w:t>
            </w:r>
          </w:p>
        </w:tc>
        <w:tc>
          <w:tcPr>
            <w:tcW w:w="1500" w:type="dxa"/>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eastAsia="zh-CN"/>
              </w:rPr>
              <w:t>GH-YQ-N21</w:t>
            </w:r>
          </w:p>
        </w:tc>
        <w:tc>
          <w:tcPr>
            <w:tcW w:w="1332" w:type="dxa"/>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val="en-US" w:eastAsia="zh-CN"/>
              </w:rPr>
              <w:t>202</w:t>
            </w:r>
            <w:r>
              <w:rPr>
                <w:rFonts w:hint="eastAsia"/>
                <w:color w:val="000000"/>
                <w:sz w:val="21"/>
                <w:szCs w:val="21"/>
                <w:shd w:val="clear" w:color="auto" w:fill="FFFFFF"/>
                <w:lang w:val="en-US" w:eastAsia="zh-CN"/>
              </w:rPr>
              <w:t>3</w:t>
            </w:r>
            <w:r>
              <w:rPr>
                <w:rFonts w:hint="default"/>
                <w:color w:val="000000"/>
                <w:sz w:val="21"/>
                <w:szCs w:val="21"/>
                <w:shd w:val="clear" w:color="auto" w:fill="FFFFFF"/>
                <w:lang w:val="en-US" w:eastAsia="zh-CN"/>
              </w:rPr>
              <w:t>.05.</w:t>
            </w:r>
            <w:r>
              <w:rPr>
                <w:rFonts w:hint="eastAsia"/>
                <w:color w:val="000000"/>
                <w:sz w:val="21"/>
                <w:szCs w:val="21"/>
                <w:shd w:val="clear" w:color="auto" w:fill="FFFFFF"/>
                <w:lang w:val="en-US" w:eastAsia="zh-CN"/>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0" w:type="dxa"/>
            <w:vMerge w:val="continue"/>
            <w:vAlign w:val="center"/>
          </w:tcPr>
          <w:p>
            <w:pPr>
              <w:spacing w:line="240" w:lineRule="auto"/>
              <w:jc w:val="center"/>
              <w:rPr>
                <w:color w:val="000000"/>
                <w:sz w:val="21"/>
                <w:szCs w:val="21"/>
                <w:shd w:val="clear" w:color="auto" w:fill="FFFFFF"/>
              </w:rPr>
            </w:pPr>
          </w:p>
        </w:tc>
        <w:tc>
          <w:tcPr>
            <w:tcW w:w="1497" w:type="dxa"/>
            <w:vMerge w:val="restart"/>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eastAsia="zh-CN"/>
              </w:rPr>
              <w:t>颗粒物</w:t>
            </w:r>
          </w:p>
        </w:tc>
        <w:tc>
          <w:tcPr>
            <w:tcW w:w="2490" w:type="dxa"/>
            <w:vMerge w:val="restart"/>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eastAsia="zh-CN"/>
              </w:rPr>
              <w:t>固定污染源排气中颗粒物测定与气态污染物采样方法</w:t>
            </w:r>
            <w:r>
              <w:rPr>
                <w:rFonts w:hint="eastAsia"/>
                <w:color w:val="000000"/>
                <w:sz w:val="21"/>
                <w:szCs w:val="21"/>
                <w:shd w:val="clear" w:color="auto" w:fill="FFFFFF"/>
                <w:lang w:eastAsia="zh-CN"/>
              </w:rPr>
              <w:t xml:space="preserve"> </w:t>
            </w:r>
            <w:r>
              <w:rPr>
                <w:rFonts w:hint="default"/>
                <w:color w:val="000000"/>
                <w:sz w:val="21"/>
                <w:szCs w:val="21"/>
                <w:shd w:val="clear" w:color="auto" w:fill="FFFFFF"/>
                <w:lang w:eastAsia="zh-CN"/>
              </w:rPr>
              <w:t>GB/T 16157-1996及其修改单</w:t>
            </w:r>
          </w:p>
        </w:tc>
        <w:tc>
          <w:tcPr>
            <w:tcW w:w="1335" w:type="dxa"/>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eastAsia="zh-CN"/>
              </w:rPr>
              <w:t>恒温恒湿称重系统</w:t>
            </w:r>
          </w:p>
        </w:tc>
        <w:tc>
          <w:tcPr>
            <w:tcW w:w="1500" w:type="dxa"/>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eastAsia="zh-CN"/>
              </w:rPr>
              <w:t>GH-YQ-N64</w:t>
            </w:r>
          </w:p>
        </w:tc>
        <w:tc>
          <w:tcPr>
            <w:tcW w:w="1332" w:type="dxa"/>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val="en-US" w:eastAsia="zh-CN"/>
              </w:rPr>
              <w:t>202</w:t>
            </w:r>
            <w:r>
              <w:rPr>
                <w:rFonts w:hint="eastAsia"/>
                <w:color w:val="000000"/>
                <w:sz w:val="21"/>
                <w:szCs w:val="21"/>
                <w:shd w:val="clear" w:color="auto" w:fill="FFFFFF"/>
                <w:lang w:val="en-US" w:eastAsia="zh-CN"/>
              </w:rPr>
              <w:t>3</w:t>
            </w:r>
            <w:r>
              <w:rPr>
                <w:rFonts w:hint="default"/>
                <w:color w:val="000000"/>
                <w:sz w:val="21"/>
                <w:szCs w:val="21"/>
                <w:shd w:val="clear" w:color="auto" w:fill="FFFFFF"/>
                <w:lang w:val="en-US" w:eastAsia="zh-CN"/>
              </w:rPr>
              <w:t>.0</w:t>
            </w:r>
            <w:r>
              <w:rPr>
                <w:rFonts w:hint="eastAsia"/>
                <w:color w:val="000000"/>
                <w:sz w:val="21"/>
                <w:szCs w:val="21"/>
                <w:shd w:val="clear" w:color="auto" w:fill="FFFFFF"/>
                <w:lang w:val="en-US" w:eastAsia="zh-CN"/>
              </w:rPr>
              <w:t>3</w:t>
            </w:r>
            <w:r>
              <w:rPr>
                <w:rFonts w:hint="default"/>
                <w:color w:val="000000"/>
                <w:sz w:val="21"/>
                <w:szCs w:val="21"/>
                <w:shd w:val="clear" w:color="auto" w:fill="FFFFFF"/>
                <w:lang w:val="en-US" w:eastAsia="zh-CN"/>
              </w:rPr>
              <w:t>.</w:t>
            </w:r>
            <w:r>
              <w:rPr>
                <w:rFonts w:hint="eastAsia"/>
                <w:color w:val="000000"/>
                <w:sz w:val="21"/>
                <w:szCs w:val="21"/>
                <w:shd w:val="clear" w:color="auto" w:fill="FFFFFF"/>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0" w:type="dxa"/>
            <w:vMerge w:val="continue"/>
            <w:vAlign w:val="center"/>
          </w:tcPr>
          <w:p>
            <w:pPr>
              <w:widowControl/>
              <w:spacing w:line="240" w:lineRule="auto"/>
              <w:jc w:val="center"/>
              <w:textAlignment w:val="center"/>
              <w:rPr>
                <w:sz w:val="21"/>
                <w:szCs w:val="21"/>
              </w:rPr>
            </w:pPr>
          </w:p>
        </w:tc>
        <w:tc>
          <w:tcPr>
            <w:tcW w:w="1497" w:type="dxa"/>
            <w:vMerge w:val="continue"/>
            <w:vAlign w:val="center"/>
          </w:tcPr>
          <w:p>
            <w:pPr>
              <w:spacing w:line="240" w:lineRule="auto"/>
              <w:jc w:val="center"/>
              <w:rPr>
                <w:rFonts w:hint="default"/>
                <w:color w:val="000000"/>
                <w:sz w:val="21"/>
                <w:szCs w:val="21"/>
                <w:shd w:val="clear" w:color="auto" w:fill="FFFFFF"/>
                <w:lang w:eastAsia="zh-CN"/>
              </w:rPr>
            </w:pPr>
          </w:p>
        </w:tc>
        <w:tc>
          <w:tcPr>
            <w:tcW w:w="2490" w:type="dxa"/>
            <w:vMerge w:val="continue"/>
            <w:vAlign w:val="center"/>
          </w:tcPr>
          <w:p>
            <w:pPr>
              <w:spacing w:line="240" w:lineRule="auto"/>
              <w:jc w:val="center"/>
              <w:rPr>
                <w:rFonts w:hint="default"/>
                <w:color w:val="000000"/>
                <w:sz w:val="21"/>
                <w:szCs w:val="21"/>
                <w:shd w:val="clear" w:color="auto" w:fill="FFFFFF"/>
                <w:lang w:eastAsia="zh-CN"/>
              </w:rPr>
            </w:pPr>
          </w:p>
        </w:tc>
        <w:tc>
          <w:tcPr>
            <w:tcW w:w="1335" w:type="dxa"/>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eastAsia="zh-CN"/>
              </w:rPr>
              <w:t>电热鼓风干燥箱</w:t>
            </w:r>
          </w:p>
        </w:tc>
        <w:tc>
          <w:tcPr>
            <w:tcW w:w="1500" w:type="dxa"/>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eastAsia="zh-CN"/>
              </w:rPr>
              <w:t>GH-YQ-N21</w:t>
            </w:r>
          </w:p>
        </w:tc>
        <w:tc>
          <w:tcPr>
            <w:tcW w:w="1332" w:type="dxa"/>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val="en-US" w:eastAsia="zh-CN"/>
              </w:rPr>
              <w:t>202</w:t>
            </w:r>
            <w:r>
              <w:rPr>
                <w:rFonts w:hint="eastAsia"/>
                <w:color w:val="000000"/>
                <w:sz w:val="21"/>
                <w:szCs w:val="21"/>
                <w:shd w:val="clear" w:color="auto" w:fill="FFFFFF"/>
                <w:lang w:val="en-US" w:eastAsia="zh-CN"/>
              </w:rPr>
              <w:t>3</w:t>
            </w:r>
            <w:r>
              <w:rPr>
                <w:rFonts w:hint="default"/>
                <w:color w:val="000000"/>
                <w:sz w:val="21"/>
                <w:szCs w:val="21"/>
                <w:shd w:val="clear" w:color="auto" w:fill="FFFFFF"/>
                <w:lang w:val="en-US" w:eastAsia="zh-CN"/>
              </w:rPr>
              <w:t>.05.</w:t>
            </w:r>
            <w:r>
              <w:rPr>
                <w:rFonts w:hint="eastAsia"/>
                <w:color w:val="000000"/>
                <w:sz w:val="21"/>
                <w:szCs w:val="21"/>
                <w:shd w:val="clear" w:color="auto" w:fill="FFFFFF"/>
                <w:lang w:val="en-US" w:eastAsia="zh-CN"/>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jc w:val="center"/>
        </w:trPr>
        <w:tc>
          <w:tcPr>
            <w:tcW w:w="690" w:type="dxa"/>
            <w:vAlign w:val="center"/>
          </w:tcPr>
          <w:p>
            <w:pPr>
              <w:spacing w:line="240" w:lineRule="auto"/>
              <w:jc w:val="center"/>
              <w:rPr>
                <w:rFonts w:hint="eastAsia" w:eastAsia="宋体"/>
                <w:color w:val="000000"/>
                <w:sz w:val="21"/>
                <w:szCs w:val="21"/>
                <w:shd w:val="clear" w:color="auto" w:fill="FFFFFF"/>
                <w:lang w:eastAsia="zh-CN"/>
              </w:rPr>
            </w:pPr>
            <w:r>
              <w:rPr>
                <w:rFonts w:hint="eastAsia"/>
                <w:color w:val="000000"/>
                <w:sz w:val="21"/>
                <w:szCs w:val="21"/>
                <w:shd w:val="clear" w:color="auto" w:fill="FFFFFF"/>
                <w:lang w:val="en-US" w:eastAsia="zh-CN"/>
              </w:rPr>
              <w:t>5</w:t>
            </w:r>
          </w:p>
        </w:tc>
        <w:tc>
          <w:tcPr>
            <w:tcW w:w="1497" w:type="dxa"/>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eastAsia="zh-CN"/>
              </w:rPr>
              <w:t>非甲烷总烃</w:t>
            </w:r>
          </w:p>
        </w:tc>
        <w:tc>
          <w:tcPr>
            <w:tcW w:w="2490" w:type="dxa"/>
            <w:vAlign w:val="center"/>
          </w:tcPr>
          <w:p>
            <w:pPr>
              <w:spacing w:line="240" w:lineRule="auto"/>
              <w:jc w:val="center"/>
              <w:rPr>
                <w:rFonts w:hint="default"/>
                <w:color w:val="000000"/>
                <w:sz w:val="21"/>
                <w:szCs w:val="21"/>
                <w:shd w:val="clear" w:color="auto" w:fill="FFFFFF"/>
                <w:lang w:val="en-US" w:eastAsia="zh-CN"/>
              </w:rPr>
            </w:pPr>
            <w:r>
              <w:rPr>
                <w:rFonts w:hint="eastAsia"/>
                <w:color w:val="000000"/>
                <w:sz w:val="21"/>
                <w:szCs w:val="21"/>
                <w:shd w:val="clear" w:color="auto" w:fill="FFFFFF"/>
                <w:lang w:eastAsia="zh-CN"/>
              </w:rPr>
              <w:t>《</w:t>
            </w:r>
            <w:r>
              <w:rPr>
                <w:rFonts w:hint="default"/>
                <w:color w:val="000000"/>
                <w:sz w:val="21"/>
                <w:szCs w:val="21"/>
                <w:shd w:val="clear" w:color="auto" w:fill="FFFFFF"/>
                <w:lang w:eastAsia="zh-CN"/>
              </w:rPr>
              <w:t>固定污染源废气 总烃、甲烷和非甲烷总烃的测定 气相色谱法</w:t>
            </w:r>
            <w:r>
              <w:rPr>
                <w:rFonts w:hint="eastAsia"/>
                <w:color w:val="000000"/>
                <w:sz w:val="21"/>
                <w:szCs w:val="21"/>
                <w:shd w:val="clear" w:color="auto" w:fill="FFFFFF"/>
                <w:lang w:eastAsia="zh-CN"/>
              </w:rPr>
              <w:t>》</w:t>
            </w:r>
            <w:r>
              <w:rPr>
                <w:rFonts w:hint="default"/>
                <w:color w:val="000000"/>
                <w:sz w:val="21"/>
                <w:szCs w:val="21"/>
                <w:shd w:val="clear" w:color="auto" w:fill="FFFFFF"/>
                <w:lang w:eastAsia="zh-CN"/>
              </w:rPr>
              <w:t>HJ 38-2017</w:t>
            </w:r>
          </w:p>
        </w:tc>
        <w:tc>
          <w:tcPr>
            <w:tcW w:w="1335" w:type="dxa"/>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val="en-US" w:eastAsia="zh-CN"/>
              </w:rPr>
              <w:t>气相色谱仪</w:t>
            </w:r>
          </w:p>
        </w:tc>
        <w:tc>
          <w:tcPr>
            <w:tcW w:w="1500" w:type="dxa"/>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val="en-US" w:eastAsia="zh-CN"/>
              </w:rPr>
              <w:t>GH-YQ-N62</w:t>
            </w:r>
          </w:p>
        </w:tc>
        <w:tc>
          <w:tcPr>
            <w:tcW w:w="1332" w:type="dxa"/>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val="en-US" w:eastAsia="zh-CN"/>
              </w:rPr>
              <w:t>202</w:t>
            </w:r>
            <w:r>
              <w:rPr>
                <w:rFonts w:hint="eastAsia"/>
                <w:color w:val="000000"/>
                <w:sz w:val="21"/>
                <w:szCs w:val="21"/>
                <w:shd w:val="clear" w:color="auto" w:fill="FFFFFF"/>
                <w:lang w:val="en-US" w:eastAsia="zh-CN"/>
              </w:rPr>
              <w:t>3.03.30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0" w:type="dxa"/>
            <w:vAlign w:val="center"/>
          </w:tcPr>
          <w:p>
            <w:pPr>
              <w:spacing w:line="240" w:lineRule="auto"/>
              <w:jc w:val="center"/>
              <w:rPr>
                <w:rFonts w:hint="eastAsia" w:eastAsia="宋体"/>
                <w:color w:val="000000"/>
                <w:sz w:val="21"/>
                <w:szCs w:val="21"/>
                <w:shd w:val="clear" w:color="auto" w:fill="FFFFFF"/>
                <w:lang w:eastAsia="zh-CN"/>
              </w:rPr>
            </w:pPr>
            <w:r>
              <w:rPr>
                <w:rFonts w:hint="eastAsia"/>
                <w:color w:val="000000"/>
                <w:sz w:val="21"/>
                <w:szCs w:val="21"/>
                <w:shd w:val="clear" w:color="auto" w:fill="FFFFFF"/>
                <w:lang w:val="en-US" w:eastAsia="zh-CN"/>
              </w:rPr>
              <w:t>6</w:t>
            </w:r>
          </w:p>
        </w:tc>
        <w:tc>
          <w:tcPr>
            <w:tcW w:w="1497" w:type="dxa"/>
            <w:vAlign w:val="center"/>
          </w:tcPr>
          <w:p>
            <w:pPr>
              <w:spacing w:line="240" w:lineRule="auto"/>
              <w:jc w:val="center"/>
              <w:rPr>
                <w:rFonts w:hint="default"/>
                <w:color w:val="000000"/>
                <w:sz w:val="21"/>
                <w:szCs w:val="21"/>
                <w:shd w:val="clear" w:color="auto" w:fill="FFFFFF"/>
                <w:lang w:eastAsia="zh-CN"/>
              </w:rPr>
            </w:pPr>
            <w:r>
              <w:rPr>
                <w:rFonts w:hint="eastAsia"/>
                <w:color w:val="000000"/>
                <w:sz w:val="21"/>
                <w:szCs w:val="21"/>
                <w:shd w:val="clear" w:color="auto" w:fill="FFFFFF"/>
                <w:lang w:eastAsia="zh-CN"/>
              </w:rPr>
              <w:t>乙酸乙酯</w:t>
            </w:r>
          </w:p>
        </w:tc>
        <w:tc>
          <w:tcPr>
            <w:tcW w:w="2490" w:type="dxa"/>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eastAsia="zh-CN"/>
              </w:rPr>
              <w:t>《固定污染源废气 挥发性有机物的测定 固相吸附-热脱附/气相色谱-质谱法》HJ</w:t>
            </w:r>
            <w:r>
              <w:rPr>
                <w:rFonts w:hint="default"/>
                <w:color w:val="000000"/>
                <w:sz w:val="21"/>
                <w:szCs w:val="21"/>
                <w:shd w:val="clear" w:color="auto" w:fill="FFFFFF"/>
                <w:lang w:val="en-US" w:eastAsia="zh-CN"/>
              </w:rPr>
              <w:t xml:space="preserve"> </w:t>
            </w:r>
            <w:r>
              <w:rPr>
                <w:rFonts w:hint="default"/>
                <w:color w:val="000000"/>
                <w:sz w:val="21"/>
                <w:szCs w:val="21"/>
                <w:shd w:val="clear" w:color="auto" w:fill="FFFFFF"/>
                <w:lang w:eastAsia="zh-CN"/>
              </w:rPr>
              <w:t>734-2014</w:t>
            </w:r>
          </w:p>
        </w:tc>
        <w:tc>
          <w:tcPr>
            <w:tcW w:w="1335" w:type="dxa"/>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val="en-US" w:eastAsia="zh-CN"/>
              </w:rPr>
              <w:t>气相色谱-质谱联用仪</w:t>
            </w:r>
          </w:p>
        </w:tc>
        <w:tc>
          <w:tcPr>
            <w:tcW w:w="1500" w:type="dxa"/>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val="en-US" w:eastAsia="zh-CN"/>
              </w:rPr>
              <w:t>GH-YQ-N177</w:t>
            </w:r>
          </w:p>
        </w:tc>
        <w:tc>
          <w:tcPr>
            <w:tcW w:w="1332" w:type="dxa"/>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val="en-US" w:eastAsia="zh-CN"/>
              </w:rPr>
              <w:t>202</w:t>
            </w:r>
            <w:r>
              <w:rPr>
                <w:rFonts w:hint="eastAsia"/>
                <w:color w:val="000000"/>
                <w:sz w:val="21"/>
                <w:szCs w:val="21"/>
                <w:shd w:val="clear" w:color="auto" w:fill="FFFFFF"/>
                <w:lang w:val="en-US" w:eastAsia="zh-CN"/>
              </w:rPr>
              <w:t>3.04.14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0" w:type="dxa"/>
            <w:vAlign w:val="center"/>
          </w:tcPr>
          <w:p>
            <w:pPr>
              <w:spacing w:line="240" w:lineRule="auto"/>
              <w:jc w:val="center"/>
              <w:rPr>
                <w:rFonts w:hint="eastAsia" w:eastAsia="宋体"/>
                <w:color w:val="000000"/>
                <w:sz w:val="21"/>
                <w:szCs w:val="21"/>
                <w:shd w:val="clear" w:color="auto" w:fill="FFFFFF"/>
                <w:lang w:eastAsia="zh-CN"/>
              </w:rPr>
            </w:pPr>
            <w:r>
              <w:rPr>
                <w:rFonts w:hint="eastAsia"/>
                <w:color w:val="000000"/>
                <w:sz w:val="21"/>
                <w:szCs w:val="21"/>
                <w:shd w:val="clear" w:color="auto" w:fill="FFFFFF"/>
                <w:lang w:val="en-US" w:eastAsia="zh-CN"/>
              </w:rPr>
              <w:t>7</w:t>
            </w:r>
          </w:p>
        </w:tc>
        <w:tc>
          <w:tcPr>
            <w:tcW w:w="1497" w:type="dxa"/>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eastAsia="zh-CN"/>
              </w:rPr>
              <w:t>甲苯</w:t>
            </w:r>
          </w:p>
        </w:tc>
        <w:tc>
          <w:tcPr>
            <w:tcW w:w="2490" w:type="dxa"/>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eastAsia="zh-CN"/>
              </w:rPr>
              <w:t>苯系物 活性炭吸附二硫化碳解吸气相色谱法《空气和废气监测分析方法》（第四版）国家环境保护总局 （2003年）</w:t>
            </w:r>
          </w:p>
        </w:tc>
        <w:tc>
          <w:tcPr>
            <w:tcW w:w="1335" w:type="dxa"/>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val="en-US" w:eastAsia="zh-CN"/>
              </w:rPr>
              <w:t>气相色谱仪</w:t>
            </w:r>
          </w:p>
        </w:tc>
        <w:tc>
          <w:tcPr>
            <w:tcW w:w="1500" w:type="dxa"/>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val="en-US" w:eastAsia="zh-CN"/>
              </w:rPr>
              <w:t>GH-YQ-N171</w:t>
            </w:r>
          </w:p>
        </w:tc>
        <w:tc>
          <w:tcPr>
            <w:tcW w:w="1332" w:type="dxa"/>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val="en-US" w:eastAsia="zh-CN"/>
              </w:rPr>
              <w:t>202</w:t>
            </w:r>
            <w:r>
              <w:rPr>
                <w:rFonts w:hint="eastAsia"/>
                <w:color w:val="000000"/>
                <w:sz w:val="21"/>
                <w:szCs w:val="21"/>
                <w:shd w:val="clear" w:color="auto" w:fill="FFFFFF"/>
                <w:lang w:val="en-US" w:eastAsia="zh-CN"/>
              </w:rPr>
              <w:t>3.02.22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44" w:type="dxa"/>
            <w:gridSpan w:val="6"/>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eastAsia="zh-CN"/>
              </w:rPr>
              <w:t>样品类别：噪声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690" w:type="dxa"/>
            <w:vMerge w:val="restart"/>
            <w:vAlign w:val="center"/>
          </w:tcPr>
          <w:p>
            <w:pPr>
              <w:spacing w:line="240" w:lineRule="auto"/>
              <w:jc w:val="center"/>
              <w:rPr>
                <w:rFonts w:hint="eastAsia"/>
                <w:color w:val="000000"/>
                <w:sz w:val="21"/>
                <w:szCs w:val="21"/>
                <w:shd w:val="clear" w:color="auto" w:fill="FFFFFF"/>
                <w:lang w:eastAsia="zh-CN"/>
              </w:rPr>
            </w:pPr>
            <w:r>
              <w:rPr>
                <w:rFonts w:hint="eastAsia"/>
                <w:color w:val="000000"/>
                <w:sz w:val="21"/>
                <w:szCs w:val="21"/>
                <w:shd w:val="clear" w:color="auto" w:fill="FFFFFF"/>
                <w:lang w:val="en-US" w:eastAsia="zh-CN"/>
              </w:rPr>
              <w:t>8</w:t>
            </w:r>
          </w:p>
        </w:tc>
        <w:tc>
          <w:tcPr>
            <w:tcW w:w="1497" w:type="dxa"/>
            <w:vMerge w:val="restart"/>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eastAsia="zh-CN"/>
              </w:rPr>
              <w:t>工业企业厂界环境噪声</w:t>
            </w:r>
          </w:p>
        </w:tc>
        <w:tc>
          <w:tcPr>
            <w:tcW w:w="2490" w:type="dxa"/>
            <w:vMerge w:val="restart"/>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eastAsia="zh-CN"/>
              </w:rPr>
              <w:t>工业企业厂界环境噪声排放标准</w:t>
            </w:r>
            <w:r>
              <w:rPr>
                <w:rFonts w:hint="eastAsia"/>
                <w:color w:val="000000"/>
                <w:sz w:val="21"/>
                <w:szCs w:val="21"/>
                <w:shd w:val="clear" w:color="auto" w:fill="FFFFFF"/>
                <w:lang w:eastAsia="zh-CN"/>
              </w:rPr>
              <w:t xml:space="preserve"> </w:t>
            </w:r>
            <w:r>
              <w:rPr>
                <w:rFonts w:hint="default"/>
                <w:color w:val="000000"/>
                <w:sz w:val="21"/>
                <w:szCs w:val="21"/>
                <w:shd w:val="clear" w:color="auto" w:fill="FFFFFF"/>
                <w:lang w:eastAsia="zh-CN"/>
              </w:rPr>
              <w:t>GB 12348-2008</w:t>
            </w:r>
          </w:p>
        </w:tc>
        <w:tc>
          <w:tcPr>
            <w:tcW w:w="1335" w:type="dxa"/>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val="en-US" w:eastAsia="zh-CN"/>
              </w:rPr>
              <w:t>声级计</w:t>
            </w:r>
          </w:p>
        </w:tc>
        <w:tc>
          <w:tcPr>
            <w:tcW w:w="1500" w:type="dxa"/>
            <w:vAlign w:val="center"/>
          </w:tcPr>
          <w:p>
            <w:pPr>
              <w:spacing w:line="240" w:lineRule="auto"/>
              <w:jc w:val="center"/>
              <w:rPr>
                <w:rFonts w:hint="eastAsia"/>
                <w:color w:val="000000"/>
                <w:sz w:val="21"/>
                <w:szCs w:val="21"/>
                <w:shd w:val="clear" w:color="auto" w:fill="FFFFFF"/>
                <w:lang w:val="en-US" w:eastAsia="zh-CN"/>
              </w:rPr>
            </w:pPr>
            <w:r>
              <w:rPr>
                <w:rFonts w:hint="default"/>
                <w:color w:val="000000"/>
                <w:sz w:val="21"/>
                <w:szCs w:val="21"/>
                <w:shd w:val="clear" w:color="auto" w:fill="FFFFFF"/>
                <w:lang w:val="en-US" w:eastAsia="zh-CN"/>
              </w:rPr>
              <w:t>GH-YQ-W81</w:t>
            </w:r>
          </w:p>
        </w:tc>
        <w:tc>
          <w:tcPr>
            <w:tcW w:w="1332" w:type="dxa"/>
            <w:vAlign w:val="center"/>
          </w:tcPr>
          <w:p>
            <w:pPr>
              <w:spacing w:line="240" w:lineRule="auto"/>
              <w:jc w:val="center"/>
              <w:rPr>
                <w:rFonts w:hint="eastAsia"/>
                <w:color w:val="000000"/>
                <w:sz w:val="21"/>
                <w:szCs w:val="21"/>
                <w:shd w:val="clear" w:color="auto" w:fill="FFFFFF"/>
                <w:lang w:val="en-US" w:eastAsia="zh-CN"/>
              </w:rPr>
            </w:pPr>
            <w:r>
              <w:rPr>
                <w:rFonts w:hint="default"/>
                <w:color w:val="000000"/>
                <w:sz w:val="21"/>
                <w:szCs w:val="21"/>
                <w:shd w:val="clear" w:color="auto" w:fill="FFFFFF"/>
                <w:lang w:val="en-US" w:eastAsia="zh-CN"/>
              </w:rPr>
              <w:t>202</w:t>
            </w:r>
            <w:r>
              <w:rPr>
                <w:rFonts w:hint="eastAsia"/>
                <w:color w:val="000000"/>
                <w:sz w:val="21"/>
                <w:szCs w:val="21"/>
                <w:shd w:val="clear" w:color="auto" w:fill="FFFFFF"/>
                <w:lang w:val="en-US" w:eastAsia="zh-CN"/>
              </w:rPr>
              <w:t>2.12.29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0" w:type="dxa"/>
            <w:vMerge w:val="continue"/>
            <w:vAlign w:val="center"/>
          </w:tcPr>
          <w:p>
            <w:pPr>
              <w:spacing w:line="240" w:lineRule="auto"/>
              <w:jc w:val="center"/>
              <w:rPr>
                <w:rFonts w:hint="default"/>
                <w:color w:val="000000"/>
                <w:sz w:val="21"/>
                <w:szCs w:val="21"/>
                <w:shd w:val="clear" w:color="auto" w:fill="FFFFFF"/>
                <w:lang w:eastAsia="zh-CN"/>
              </w:rPr>
            </w:pPr>
          </w:p>
        </w:tc>
        <w:tc>
          <w:tcPr>
            <w:tcW w:w="1497" w:type="dxa"/>
            <w:vMerge w:val="continue"/>
            <w:vAlign w:val="center"/>
          </w:tcPr>
          <w:p>
            <w:pPr>
              <w:spacing w:line="240" w:lineRule="auto"/>
              <w:jc w:val="center"/>
              <w:rPr>
                <w:rFonts w:hint="default"/>
                <w:color w:val="000000"/>
                <w:sz w:val="21"/>
                <w:szCs w:val="21"/>
                <w:shd w:val="clear" w:color="auto" w:fill="FFFFFF"/>
                <w:lang w:eastAsia="zh-CN"/>
              </w:rPr>
            </w:pPr>
          </w:p>
        </w:tc>
        <w:tc>
          <w:tcPr>
            <w:tcW w:w="2490" w:type="dxa"/>
            <w:vMerge w:val="continue"/>
            <w:vAlign w:val="center"/>
          </w:tcPr>
          <w:p>
            <w:pPr>
              <w:spacing w:line="240" w:lineRule="auto"/>
              <w:jc w:val="center"/>
              <w:rPr>
                <w:rFonts w:hint="default"/>
                <w:color w:val="000000"/>
                <w:sz w:val="21"/>
                <w:szCs w:val="21"/>
                <w:shd w:val="clear" w:color="auto" w:fill="FFFFFF"/>
                <w:lang w:eastAsia="zh-CN"/>
              </w:rPr>
            </w:pPr>
          </w:p>
        </w:tc>
        <w:tc>
          <w:tcPr>
            <w:tcW w:w="1335" w:type="dxa"/>
            <w:vAlign w:val="center"/>
          </w:tcPr>
          <w:p>
            <w:pPr>
              <w:spacing w:line="240" w:lineRule="auto"/>
              <w:jc w:val="center"/>
              <w:rPr>
                <w:rFonts w:hint="default"/>
                <w:color w:val="000000"/>
                <w:sz w:val="21"/>
                <w:szCs w:val="21"/>
                <w:shd w:val="clear" w:color="auto" w:fill="FFFFFF"/>
                <w:lang w:eastAsia="zh-CN"/>
              </w:rPr>
            </w:pPr>
            <w:r>
              <w:rPr>
                <w:rFonts w:hint="default"/>
                <w:color w:val="000000"/>
                <w:sz w:val="21"/>
                <w:szCs w:val="21"/>
                <w:shd w:val="clear" w:color="auto" w:fill="FFFFFF"/>
                <w:lang w:val="en-US" w:eastAsia="zh-CN"/>
              </w:rPr>
              <w:t>声校准器</w:t>
            </w:r>
          </w:p>
        </w:tc>
        <w:tc>
          <w:tcPr>
            <w:tcW w:w="1500" w:type="dxa"/>
            <w:vAlign w:val="center"/>
          </w:tcPr>
          <w:p>
            <w:pPr>
              <w:spacing w:line="240" w:lineRule="auto"/>
              <w:jc w:val="center"/>
              <w:rPr>
                <w:rFonts w:hint="eastAsia"/>
                <w:color w:val="000000"/>
                <w:sz w:val="21"/>
                <w:szCs w:val="21"/>
                <w:shd w:val="clear" w:color="auto" w:fill="FFFFFF"/>
                <w:lang w:val="en-US" w:eastAsia="zh-CN"/>
              </w:rPr>
            </w:pPr>
            <w:r>
              <w:rPr>
                <w:rFonts w:hint="default"/>
                <w:color w:val="000000"/>
                <w:sz w:val="21"/>
                <w:szCs w:val="21"/>
                <w:shd w:val="clear" w:color="auto" w:fill="FFFFFF"/>
                <w:lang w:val="en-US" w:eastAsia="zh-CN"/>
              </w:rPr>
              <w:t>GH-YQ-W</w:t>
            </w:r>
            <w:r>
              <w:rPr>
                <w:rFonts w:hint="eastAsia"/>
                <w:color w:val="000000"/>
                <w:sz w:val="21"/>
                <w:szCs w:val="21"/>
                <w:shd w:val="clear" w:color="auto" w:fill="FFFFFF"/>
                <w:lang w:val="en-US" w:eastAsia="zh-CN"/>
              </w:rPr>
              <w:t>201</w:t>
            </w:r>
          </w:p>
        </w:tc>
        <w:tc>
          <w:tcPr>
            <w:tcW w:w="1332" w:type="dxa"/>
            <w:vAlign w:val="center"/>
          </w:tcPr>
          <w:p>
            <w:pPr>
              <w:spacing w:line="240" w:lineRule="auto"/>
              <w:jc w:val="center"/>
              <w:rPr>
                <w:rFonts w:hint="eastAsia"/>
                <w:color w:val="000000"/>
                <w:sz w:val="21"/>
                <w:szCs w:val="21"/>
                <w:shd w:val="clear" w:color="auto" w:fill="FFFFFF"/>
                <w:lang w:val="en-US" w:eastAsia="zh-CN"/>
              </w:rPr>
            </w:pPr>
            <w:r>
              <w:rPr>
                <w:rFonts w:hint="eastAsia"/>
                <w:color w:val="000000"/>
                <w:sz w:val="21"/>
                <w:szCs w:val="21"/>
                <w:shd w:val="clear" w:color="auto" w:fill="FFFFFF"/>
                <w:lang w:val="en-US" w:eastAsia="zh-CN"/>
              </w:rPr>
              <w:t>2023.04.19</w:t>
            </w:r>
          </w:p>
        </w:tc>
      </w:tr>
    </w:tbl>
    <w:p>
      <w:pPr>
        <w:pStyle w:val="6"/>
        <w:keepNext/>
        <w:keepLines w:val="0"/>
        <w:pageBreakBefore w:val="0"/>
        <w:widowControl w:val="0"/>
        <w:kinsoku/>
        <w:wordWrap/>
        <w:overflowPunct/>
        <w:topLinePunct w:val="0"/>
        <w:autoSpaceDE/>
        <w:autoSpaceDN/>
        <w:bidi w:val="0"/>
        <w:adjustRightInd/>
        <w:snapToGrid/>
        <w:spacing w:beforeLines="0" w:afterLines="0"/>
        <w:textAlignment w:val="auto"/>
        <w:rPr>
          <w:color w:val="auto"/>
          <w:sz w:val="32"/>
          <w:szCs w:val="32"/>
        </w:rPr>
      </w:pPr>
      <w:bookmarkStart w:id="108" w:name="_Toc22140"/>
      <w:bookmarkStart w:id="109" w:name="_Toc1019"/>
      <w:bookmarkStart w:id="110" w:name="_Toc17847"/>
      <w:r>
        <w:rPr>
          <w:rFonts w:hint="eastAsia"/>
          <w:color w:val="auto"/>
          <w:sz w:val="32"/>
          <w:szCs w:val="32"/>
        </w:rPr>
        <w:t>8.3人员资质</w:t>
      </w:r>
      <w:bookmarkEnd w:id="108"/>
      <w:bookmarkEnd w:id="109"/>
      <w:bookmarkEnd w:id="110"/>
    </w:p>
    <w:p>
      <w:pPr>
        <w:ind w:firstLine="480" w:firstLineChars="200"/>
      </w:pPr>
      <w:r>
        <w:t>按照管理手册要求以及验收监测技术</w:t>
      </w:r>
      <w:r>
        <w:rPr>
          <w:rFonts w:hint="eastAsia"/>
        </w:rPr>
        <w:t>规范</w:t>
      </w:r>
      <w:r>
        <w:t>要求，在本次验收监测中</w:t>
      </w:r>
      <w:r>
        <w:rPr>
          <w:rFonts w:hint="eastAsia"/>
          <w:color w:val="auto"/>
          <w:lang w:eastAsia="zh-CN"/>
        </w:rPr>
        <w:t>安徽工和环境监测有限责任公司</w:t>
      </w:r>
      <w:r>
        <w:rPr>
          <w:color w:val="auto"/>
        </w:rPr>
        <w:t>始终将质量保证工作贯穿于验收监测工作的全过</w:t>
      </w:r>
      <w:r>
        <w:t>程，整个过程中全部监测人员持证上岗。整体人员情况</w:t>
      </w:r>
      <w:r>
        <w:rPr>
          <w:rFonts w:hint="eastAsia"/>
        </w:rPr>
        <w:t>如</w:t>
      </w:r>
      <w:r>
        <w:t>表</w:t>
      </w:r>
      <w:r>
        <w:rPr>
          <w:rFonts w:hint="eastAsia"/>
        </w:rPr>
        <w:t>8.3-1所示</w:t>
      </w:r>
      <w:r>
        <w:t>。</w:t>
      </w:r>
    </w:p>
    <w:p>
      <w:pPr>
        <w:jc w:val="center"/>
        <w:rPr>
          <w:rFonts w:hint="eastAsia" w:ascii="Times New Roman" w:hAnsi="Times New Roman" w:eastAsia="黑体" w:cs="Times New Roman"/>
          <w:b w:val="0"/>
          <w:bCs w:val="0"/>
          <w:sz w:val="21"/>
          <w:szCs w:val="21"/>
          <w:lang w:val="en-US" w:eastAsia="zh-CN"/>
        </w:rPr>
      </w:pPr>
      <w:bookmarkStart w:id="111" w:name="_Toc6143"/>
      <w:r>
        <w:rPr>
          <w:rFonts w:hint="eastAsia" w:ascii="Times New Roman" w:hAnsi="Times New Roman" w:eastAsia="黑体" w:cs="Times New Roman"/>
          <w:b w:val="0"/>
          <w:bCs w:val="0"/>
          <w:sz w:val="21"/>
          <w:szCs w:val="21"/>
          <w:lang w:val="en-US" w:eastAsia="zh-CN"/>
        </w:rPr>
        <w:t>表8.3-1 人员能力一览表</w:t>
      </w:r>
      <w:bookmarkEnd w:id="111"/>
    </w:p>
    <w:tbl>
      <w:tblPr>
        <w:tblStyle w:val="18"/>
        <w:tblW w:w="850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62"/>
        <w:gridCol w:w="1033"/>
        <w:gridCol w:w="1287"/>
        <w:gridCol w:w="2289"/>
        <w:gridCol w:w="1302"/>
        <w:gridCol w:w="19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662" w:type="dxa"/>
            <w:tcBorders>
              <w:tl2br w:val="nil"/>
              <w:tr2bl w:val="nil"/>
            </w:tcBorders>
            <w:vAlign w:val="center"/>
          </w:tcPr>
          <w:p>
            <w:pPr>
              <w:snapToGrid w:val="0"/>
              <w:spacing w:line="240" w:lineRule="auto"/>
              <w:jc w:val="center"/>
              <w:rPr>
                <w:bCs/>
                <w:sz w:val="21"/>
                <w:szCs w:val="21"/>
              </w:rPr>
            </w:pPr>
            <w:r>
              <w:rPr>
                <w:bCs/>
                <w:sz w:val="21"/>
                <w:szCs w:val="21"/>
              </w:rPr>
              <w:t>序号</w:t>
            </w:r>
          </w:p>
        </w:tc>
        <w:tc>
          <w:tcPr>
            <w:tcW w:w="1033" w:type="dxa"/>
            <w:tcBorders>
              <w:tl2br w:val="nil"/>
              <w:tr2bl w:val="nil"/>
            </w:tcBorders>
            <w:vAlign w:val="center"/>
          </w:tcPr>
          <w:p>
            <w:pPr>
              <w:snapToGrid w:val="0"/>
              <w:spacing w:line="240" w:lineRule="auto"/>
              <w:jc w:val="center"/>
              <w:rPr>
                <w:bCs/>
                <w:sz w:val="21"/>
                <w:szCs w:val="21"/>
              </w:rPr>
            </w:pPr>
            <w:r>
              <w:rPr>
                <w:bCs/>
                <w:sz w:val="21"/>
                <w:szCs w:val="21"/>
              </w:rPr>
              <w:t>人员</w:t>
            </w:r>
          </w:p>
        </w:tc>
        <w:tc>
          <w:tcPr>
            <w:tcW w:w="1287" w:type="dxa"/>
            <w:tcBorders>
              <w:tl2br w:val="nil"/>
              <w:tr2bl w:val="nil"/>
            </w:tcBorders>
            <w:vAlign w:val="center"/>
          </w:tcPr>
          <w:p>
            <w:pPr>
              <w:snapToGrid w:val="0"/>
              <w:spacing w:line="240" w:lineRule="auto"/>
              <w:jc w:val="center"/>
              <w:rPr>
                <w:bCs/>
                <w:sz w:val="21"/>
                <w:szCs w:val="21"/>
              </w:rPr>
            </w:pPr>
            <w:r>
              <w:rPr>
                <w:bCs/>
                <w:sz w:val="21"/>
                <w:szCs w:val="21"/>
              </w:rPr>
              <w:t>承担任务</w:t>
            </w:r>
          </w:p>
        </w:tc>
        <w:tc>
          <w:tcPr>
            <w:tcW w:w="2289" w:type="dxa"/>
            <w:tcBorders>
              <w:tl2br w:val="nil"/>
              <w:tr2bl w:val="nil"/>
            </w:tcBorders>
            <w:vAlign w:val="center"/>
          </w:tcPr>
          <w:p>
            <w:pPr>
              <w:snapToGrid w:val="0"/>
              <w:spacing w:line="240" w:lineRule="auto"/>
              <w:jc w:val="center"/>
              <w:rPr>
                <w:bCs/>
                <w:sz w:val="21"/>
                <w:szCs w:val="21"/>
              </w:rPr>
            </w:pPr>
            <w:r>
              <w:rPr>
                <w:bCs/>
                <w:sz w:val="21"/>
                <w:szCs w:val="21"/>
              </w:rPr>
              <w:t>证书类别</w:t>
            </w:r>
          </w:p>
        </w:tc>
        <w:tc>
          <w:tcPr>
            <w:tcW w:w="1302" w:type="dxa"/>
            <w:tcBorders>
              <w:tl2br w:val="nil"/>
              <w:tr2bl w:val="nil"/>
            </w:tcBorders>
            <w:vAlign w:val="center"/>
          </w:tcPr>
          <w:p>
            <w:pPr>
              <w:snapToGrid w:val="0"/>
              <w:spacing w:line="240" w:lineRule="auto"/>
              <w:jc w:val="center"/>
              <w:rPr>
                <w:bCs/>
                <w:sz w:val="21"/>
                <w:szCs w:val="21"/>
              </w:rPr>
            </w:pPr>
            <w:r>
              <w:rPr>
                <w:bCs/>
                <w:sz w:val="21"/>
                <w:szCs w:val="21"/>
              </w:rPr>
              <w:t>证书编号</w:t>
            </w:r>
          </w:p>
        </w:tc>
        <w:tc>
          <w:tcPr>
            <w:tcW w:w="1931" w:type="dxa"/>
            <w:tcBorders>
              <w:tl2br w:val="nil"/>
              <w:tr2bl w:val="nil"/>
            </w:tcBorders>
            <w:vAlign w:val="center"/>
          </w:tcPr>
          <w:p>
            <w:pPr>
              <w:snapToGrid w:val="0"/>
              <w:spacing w:line="240" w:lineRule="auto"/>
              <w:jc w:val="center"/>
              <w:rPr>
                <w:bCs/>
                <w:sz w:val="21"/>
                <w:szCs w:val="21"/>
              </w:rPr>
            </w:pPr>
            <w:r>
              <w:rPr>
                <w:bCs/>
                <w:sz w:val="21"/>
                <w:szCs w:val="21"/>
              </w:rPr>
              <w:t>发证单位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pPr>
              <w:snapToGrid w:val="0"/>
              <w:spacing w:line="240" w:lineRule="auto"/>
              <w:jc w:val="center"/>
              <w:rPr>
                <w:sz w:val="21"/>
                <w:szCs w:val="21"/>
              </w:rPr>
            </w:pPr>
            <w:r>
              <w:rPr>
                <w:sz w:val="21"/>
                <w:szCs w:val="21"/>
              </w:rPr>
              <w:t>1</w:t>
            </w:r>
          </w:p>
        </w:tc>
        <w:tc>
          <w:tcPr>
            <w:tcW w:w="1033" w:type="dxa"/>
            <w:tcBorders>
              <w:tl2br w:val="nil"/>
              <w:tr2bl w:val="nil"/>
            </w:tcBorders>
            <w:vAlign w:val="center"/>
          </w:tcPr>
          <w:p>
            <w:pPr>
              <w:snapToGrid w:val="0"/>
              <w:spacing w:line="240" w:lineRule="auto"/>
              <w:jc w:val="center"/>
              <w:rPr>
                <w:sz w:val="21"/>
                <w:szCs w:val="21"/>
              </w:rPr>
            </w:pPr>
            <w:r>
              <w:rPr>
                <w:sz w:val="21"/>
                <w:szCs w:val="21"/>
              </w:rPr>
              <w:t>王柯</w:t>
            </w:r>
          </w:p>
        </w:tc>
        <w:tc>
          <w:tcPr>
            <w:tcW w:w="1287" w:type="dxa"/>
            <w:tcBorders>
              <w:tl2br w:val="nil"/>
              <w:tr2bl w:val="nil"/>
            </w:tcBorders>
            <w:vAlign w:val="center"/>
          </w:tcPr>
          <w:p>
            <w:pPr>
              <w:snapToGrid w:val="0"/>
              <w:spacing w:line="240" w:lineRule="auto"/>
              <w:jc w:val="center"/>
              <w:rPr>
                <w:sz w:val="21"/>
                <w:szCs w:val="21"/>
              </w:rPr>
            </w:pPr>
            <w:r>
              <w:rPr>
                <w:sz w:val="21"/>
                <w:szCs w:val="21"/>
              </w:rPr>
              <w:t>项目负责人</w:t>
            </w:r>
          </w:p>
        </w:tc>
        <w:tc>
          <w:tcPr>
            <w:tcW w:w="2289" w:type="dxa"/>
            <w:tcBorders>
              <w:tl2br w:val="nil"/>
              <w:tr2bl w:val="nil"/>
            </w:tcBorders>
            <w:vAlign w:val="center"/>
          </w:tcPr>
          <w:p>
            <w:pPr>
              <w:snapToGrid w:val="0"/>
              <w:spacing w:line="240" w:lineRule="auto"/>
              <w:jc w:val="center"/>
              <w:rPr>
                <w:sz w:val="21"/>
                <w:szCs w:val="21"/>
              </w:rPr>
            </w:pPr>
            <w:r>
              <w:rPr>
                <w:sz w:val="21"/>
                <w:szCs w:val="21"/>
              </w:rPr>
              <w:t>建设项目竣工环境保护验收监测合格证</w:t>
            </w:r>
          </w:p>
        </w:tc>
        <w:tc>
          <w:tcPr>
            <w:tcW w:w="1302" w:type="dxa"/>
            <w:tcBorders>
              <w:tl2br w:val="nil"/>
              <w:tr2bl w:val="nil"/>
            </w:tcBorders>
            <w:vAlign w:val="center"/>
          </w:tcPr>
          <w:p>
            <w:pPr>
              <w:snapToGrid w:val="0"/>
              <w:spacing w:line="240" w:lineRule="auto"/>
              <w:jc w:val="center"/>
              <w:rPr>
                <w:sz w:val="21"/>
                <w:szCs w:val="21"/>
              </w:rPr>
            </w:pPr>
            <w:r>
              <w:rPr>
                <w:sz w:val="21"/>
                <w:szCs w:val="21"/>
              </w:rPr>
              <w:t>2017-JCJS-6165052</w:t>
            </w:r>
          </w:p>
        </w:tc>
        <w:tc>
          <w:tcPr>
            <w:tcW w:w="1931" w:type="dxa"/>
            <w:tcBorders>
              <w:tl2br w:val="nil"/>
              <w:tr2bl w:val="nil"/>
            </w:tcBorders>
            <w:vAlign w:val="center"/>
          </w:tcPr>
          <w:p>
            <w:pPr>
              <w:snapToGrid w:val="0"/>
              <w:spacing w:line="240" w:lineRule="auto"/>
              <w:jc w:val="center"/>
              <w:rPr>
                <w:sz w:val="21"/>
                <w:szCs w:val="21"/>
              </w:rPr>
            </w:pPr>
            <w:r>
              <w:rPr>
                <w:sz w:val="21"/>
                <w:szCs w:val="21"/>
              </w:rPr>
              <w:t>中国环境监测总站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pPr>
              <w:snapToGrid w:val="0"/>
              <w:spacing w:line="240" w:lineRule="auto"/>
              <w:jc w:val="center"/>
              <w:rPr>
                <w:sz w:val="21"/>
                <w:szCs w:val="21"/>
              </w:rPr>
            </w:pPr>
            <w:r>
              <w:rPr>
                <w:rFonts w:hint="eastAsia"/>
                <w:sz w:val="21"/>
                <w:szCs w:val="21"/>
              </w:rPr>
              <w:t>2</w:t>
            </w:r>
          </w:p>
        </w:tc>
        <w:tc>
          <w:tcPr>
            <w:tcW w:w="1033" w:type="dxa"/>
            <w:tcBorders>
              <w:tl2br w:val="nil"/>
              <w:tr2bl w:val="nil"/>
            </w:tcBorders>
            <w:vAlign w:val="center"/>
          </w:tcPr>
          <w:p>
            <w:pPr>
              <w:snapToGrid w:val="0"/>
              <w:spacing w:line="240" w:lineRule="auto"/>
              <w:jc w:val="center"/>
              <w:rPr>
                <w:rFonts w:hint="eastAsia"/>
                <w:sz w:val="21"/>
                <w:szCs w:val="21"/>
                <w:lang w:eastAsia="zh-CN"/>
              </w:rPr>
            </w:pPr>
            <w:r>
              <w:rPr>
                <w:rFonts w:hint="eastAsia"/>
                <w:sz w:val="21"/>
                <w:szCs w:val="21"/>
                <w:lang w:eastAsia="zh-CN"/>
              </w:rPr>
              <w:t>熊建成</w:t>
            </w:r>
          </w:p>
        </w:tc>
        <w:tc>
          <w:tcPr>
            <w:tcW w:w="1287" w:type="dxa"/>
            <w:vMerge w:val="restart"/>
            <w:tcBorders>
              <w:tl2br w:val="nil"/>
              <w:tr2bl w:val="nil"/>
            </w:tcBorders>
            <w:vAlign w:val="center"/>
          </w:tcPr>
          <w:p>
            <w:pPr>
              <w:snapToGrid w:val="0"/>
              <w:spacing w:line="240" w:lineRule="auto"/>
              <w:jc w:val="center"/>
              <w:rPr>
                <w:sz w:val="21"/>
                <w:szCs w:val="21"/>
              </w:rPr>
            </w:pPr>
            <w:r>
              <w:rPr>
                <w:sz w:val="21"/>
                <w:szCs w:val="21"/>
              </w:rPr>
              <w:t>现场采样</w:t>
            </w:r>
          </w:p>
        </w:tc>
        <w:tc>
          <w:tcPr>
            <w:tcW w:w="2289" w:type="dxa"/>
            <w:tcBorders>
              <w:tl2br w:val="nil"/>
              <w:tr2bl w:val="nil"/>
            </w:tcBorders>
            <w:vAlign w:val="center"/>
          </w:tcPr>
          <w:p>
            <w:pPr>
              <w:snapToGrid w:val="0"/>
              <w:spacing w:line="240" w:lineRule="auto"/>
              <w:jc w:val="center"/>
              <w:rPr>
                <w:sz w:val="21"/>
                <w:szCs w:val="21"/>
              </w:rPr>
            </w:pPr>
            <w:r>
              <w:rPr>
                <w:sz w:val="21"/>
                <w:szCs w:val="21"/>
              </w:rPr>
              <w:t>上岗证</w:t>
            </w:r>
          </w:p>
        </w:tc>
        <w:tc>
          <w:tcPr>
            <w:tcW w:w="1302" w:type="dxa"/>
            <w:tcBorders>
              <w:tl2br w:val="nil"/>
              <w:tr2bl w:val="nil"/>
            </w:tcBorders>
            <w:vAlign w:val="center"/>
          </w:tcPr>
          <w:p>
            <w:pPr>
              <w:snapToGrid w:val="0"/>
              <w:spacing w:line="240" w:lineRule="auto"/>
              <w:jc w:val="center"/>
              <w:rPr>
                <w:sz w:val="21"/>
                <w:szCs w:val="21"/>
              </w:rPr>
            </w:pPr>
            <w:r>
              <w:rPr>
                <w:sz w:val="21"/>
                <w:szCs w:val="21"/>
              </w:rPr>
              <w:t>GH11</w:t>
            </w:r>
          </w:p>
        </w:tc>
        <w:tc>
          <w:tcPr>
            <w:tcW w:w="1931" w:type="dxa"/>
            <w:vMerge w:val="restart"/>
            <w:tcBorders>
              <w:tl2br w:val="nil"/>
              <w:tr2bl w:val="nil"/>
            </w:tcBorders>
            <w:vAlign w:val="center"/>
          </w:tcPr>
          <w:p>
            <w:pPr>
              <w:snapToGrid w:val="0"/>
              <w:spacing w:line="240" w:lineRule="auto"/>
              <w:jc w:val="center"/>
              <w:rPr>
                <w:sz w:val="21"/>
                <w:szCs w:val="21"/>
              </w:rPr>
            </w:pPr>
            <w:r>
              <w:rPr>
                <w:rFonts w:hint="eastAsia"/>
                <w:sz w:val="21"/>
                <w:szCs w:val="21"/>
              </w:rPr>
              <w:t>安徽工和环境监测有限责任公司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pPr>
              <w:snapToGrid w:val="0"/>
              <w:spacing w:line="240" w:lineRule="auto"/>
              <w:jc w:val="center"/>
              <w:rPr>
                <w:sz w:val="21"/>
                <w:szCs w:val="21"/>
              </w:rPr>
            </w:pPr>
            <w:r>
              <w:rPr>
                <w:sz w:val="21"/>
                <w:szCs w:val="21"/>
              </w:rPr>
              <w:t>3</w:t>
            </w:r>
          </w:p>
        </w:tc>
        <w:tc>
          <w:tcPr>
            <w:tcW w:w="1033" w:type="dxa"/>
            <w:tcBorders>
              <w:tl2br w:val="nil"/>
              <w:tr2bl w:val="nil"/>
            </w:tcBorders>
            <w:vAlign w:val="center"/>
          </w:tcPr>
          <w:p>
            <w:pPr>
              <w:snapToGrid w:val="0"/>
              <w:spacing w:line="240" w:lineRule="auto"/>
              <w:jc w:val="center"/>
              <w:rPr>
                <w:rFonts w:hint="eastAsia"/>
                <w:sz w:val="21"/>
                <w:szCs w:val="21"/>
                <w:lang w:eastAsia="zh-CN"/>
              </w:rPr>
            </w:pPr>
            <w:r>
              <w:rPr>
                <w:rFonts w:hint="eastAsia"/>
                <w:sz w:val="21"/>
                <w:szCs w:val="21"/>
                <w:lang w:eastAsia="zh-CN"/>
              </w:rPr>
              <w:t>王海龙</w:t>
            </w:r>
          </w:p>
        </w:tc>
        <w:tc>
          <w:tcPr>
            <w:tcW w:w="1287" w:type="dxa"/>
            <w:vMerge w:val="continue"/>
            <w:tcBorders>
              <w:tl2br w:val="nil"/>
              <w:tr2bl w:val="nil"/>
            </w:tcBorders>
            <w:vAlign w:val="center"/>
          </w:tcPr>
          <w:p>
            <w:pPr>
              <w:snapToGrid w:val="0"/>
              <w:spacing w:line="240" w:lineRule="auto"/>
              <w:jc w:val="center"/>
              <w:rPr>
                <w:sz w:val="21"/>
                <w:szCs w:val="21"/>
              </w:rPr>
            </w:pPr>
          </w:p>
        </w:tc>
        <w:tc>
          <w:tcPr>
            <w:tcW w:w="2289" w:type="dxa"/>
            <w:tcBorders>
              <w:tl2br w:val="nil"/>
              <w:tr2bl w:val="nil"/>
            </w:tcBorders>
            <w:vAlign w:val="center"/>
          </w:tcPr>
          <w:p>
            <w:pPr>
              <w:snapToGrid w:val="0"/>
              <w:spacing w:line="240" w:lineRule="auto"/>
              <w:jc w:val="center"/>
              <w:rPr>
                <w:sz w:val="21"/>
                <w:szCs w:val="21"/>
              </w:rPr>
            </w:pPr>
            <w:r>
              <w:rPr>
                <w:sz w:val="21"/>
                <w:szCs w:val="21"/>
              </w:rPr>
              <w:t>上岗证</w:t>
            </w:r>
          </w:p>
        </w:tc>
        <w:tc>
          <w:tcPr>
            <w:tcW w:w="1302" w:type="dxa"/>
            <w:tcBorders>
              <w:tl2br w:val="nil"/>
              <w:tr2bl w:val="nil"/>
            </w:tcBorders>
            <w:vAlign w:val="center"/>
          </w:tcPr>
          <w:p>
            <w:pPr>
              <w:snapToGrid w:val="0"/>
              <w:spacing w:line="240" w:lineRule="auto"/>
              <w:jc w:val="center"/>
              <w:rPr>
                <w:sz w:val="21"/>
                <w:szCs w:val="21"/>
              </w:rPr>
            </w:pPr>
            <w:r>
              <w:rPr>
                <w:sz w:val="21"/>
                <w:szCs w:val="21"/>
              </w:rPr>
              <w:t>GH24</w:t>
            </w:r>
          </w:p>
        </w:tc>
        <w:tc>
          <w:tcPr>
            <w:tcW w:w="1931" w:type="dxa"/>
            <w:vMerge w:val="continue"/>
            <w:tcBorders>
              <w:tl2br w:val="nil"/>
              <w:tr2bl w:val="nil"/>
            </w:tcBorders>
            <w:vAlign w:val="center"/>
          </w:tcPr>
          <w:p>
            <w:pPr>
              <w:snapToGrid w:val="0"/>
              <w:spacing w:line="240" w:lineRule="auto"/>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pPr>
              <w:snapToGrid w:val="0"/>
              <w:spacing w:line="240" w:lineRule="auto"/>
              <w:jc w:val="center"/>
              <w:rPr>
                <w:sz w:val="21"/>
                <w:szCs w:val="21"/>
              </w:rPr>
            </w:pPr>
            <w:r>
              <w:rPr>
                <w:sz w:val="21"/>
                <w:szCs w:val="21"/>
              </w:rPr>
              <w:t>4</w:t>
            </w:r>
          </w:p>
        </w:tc>
        <w:tc>
          <w:tcPr>
            <w:tcW w:w="1033" w:type="dxa"/>
            <w:tcBorders>
              <w:tl2br w:val="nil"/>
              <w:tr2bl w:val="nil"/>
            </w:tcBorders>
            <w:vAlign w:val="center"/>
          </w:tcPr>
          <w:p>
            <w:pPr>
              <w:snapToGrid w:val="0"/>
              <w:spacing w:line="240" w:lineRule="auto"/>
              <w:jc w:val="center"/>
              <w:rPr>
                <w:rFonts w:hint="eastAsia"/>
                <w:sz w:val="21"/>
                <w:szCs w:val="21"/>
                <w:lang w:eastAsia="zh-CN"/>
              </w:rPr>
            </w:pPr>
            <w:r>
              <w:rPr>
                <w:rFonts w:hint="eastAsia"/>
                <w:sz w:val="21"/>
                <w:szCs w:val="21"/>
                <w:lang w:eastAsia="zh-CN"/>
              </w:rPr>
              <w:t>刘伟</w:t>
            </w:r>
          </w:p>
        </w:tc>
        <w:tc>
          <w:tcPr>
            <w:tcW w:w="1287" w:type="dxa"/>
            <w:vMerge w:val="continue"/>
            <w:tcBorders>
              <w:tl2br w:val="nil"/>
              <w:tr2bl w:val="nil"/>
            </w:tcBorders>
            <w:vAlign w:val="center"/>
          </w:tcPr>
          <w:p>
            <w:pPr>
              <w:snapToGrid w:val="0"/>
              <w:spacing w:line="240" w:lineRule="auto"/>
              <w:jc w:val="center"/>
              <w:rPr>
                <w:sz w:val="21"/>
                <w:szCs w:val="21"/>
              </w:rPr>
            </w:pPr>
          </w:p>
        </w:tc>
        <w:tc>
          <w:tcPr>
            <w:tcW w:w="2289" w:type="dxa"/>
            <w:tcBorders>
              <w:tl2br w:val="nil"/>
              <w:tr2bl w:val="nil"/>
            </w:tcBorders>
            <w:vAlign w:val="center"/>
          </w:tcPr>
          <w:p>
            <w:pPr>
              <w:snapToGrid w:val="0"/>
              <w:spacing w:line="240" w:lineRule="auto"/>
              <w:jc w:val="center"/>
              <w:rPr>
                <w:sz w:val="21"/>
                <w:szCs w:val="21"/>
              </w:rPr>
            </w:pPr>
            <w:r>
              <w:rPr>
                <w:sz w:val="21"/>
                <w:szCs w:val="21"/>
              </w:rPr>
              <w:t>上岗证</w:t>
            </w:r>
          </w:p>
        </w:tc>
        <w:tc>
          <w:tcPr>
            <w:tcW w:w="1302" w:type="dxa"/>
            <w:tcBorders>
              <w:tl2br w:val="nil"/>
              <w:tr2bl w:val="nil"/>
            </w:tcBorders>
            <w:vAlign w:val="center"/>
          </w:tcPr>
          <w:p>
            <w:pPr>
              <w:snapToGrid w:val="0"/>
              <w:spacing w:line="240" w:lineRule="auto"/>
              <w:jc w:val="center"/>
              <w:rPr>
                <w:rFonts w:hint="default"/>
                <w:sz w:val="21"/>
                <w:szCs w:val="21"/>
                <w:lang w:val="en-US" w:eastAsia="zh-CN"/>
              </w:rPr>
            </w:pPr>
            <w:r>
              <w:rPr>
                <w:sz w:val="21"/>
                <w:szCs w:val="21"/>
              </w:rPr>
              <w:t>GH</w:t>
            </w:r>
            <w:r>
              <w:rPr>
                <w:rFonts w:hint="eastAsia"/>
                <w:sz w:val="21"/>
                <w:szCs w:val="21"/>
                <w:lang w:val="en-US" w:eastAsia="zh-CN"/>
              </w:rPr>
              <w:t>23</w:t>
            </w:r>
          </w:p>
        </w:tc>
        <w:tc>
          <w:tcPr>
            <w:tcW w:w="1931" w:type="dxa"/>
            <w:vMerge w:val="continue"/>
            <w:tcBorders>
              <w:tl2br w:val="nil"/>
              <w:tr2bl w:val="nil"/>
            </w:tcBorders>
            <w:vAlign w:val="center"/>
          </w:tcPr>
          <w:p>
            <w:pPr>
              <w:snapToGrid w:val="0"/>
              <w:spacing w:line="240" w:lineRule="auto"/>
              <w:jc w:val="center"/>
              <w:rPr>
                <w:color w:val="FF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pPr>
              <w:snapToGrid w:val="0"/>
              <w:spacing w:line="240" w:lineRule="auto"/>
              <w:jc w:val="center"/>
              <w:rPr>
                <w:sz w:val="21"/>
                <w:szCs w:val="21"/>
              </w:rPr>
            </w:pPr>
            <w:r>
              <w:rPr>
                <w:sz w:val="21"/>
                <w:szCs w:val="21"/>
              </w:rPr>
              <w:t>6</w:t>
            </w:r>
          </w:p>
        </w:tc>
        <w:tc>
          <w:tcPr>
            <w:tcW w:w="1033" w:type="dxa"/>
            <w:tcBorders>
              <w:tl2br w:val="nil"/>
              <w:tr2bl w:val="nil"/>
            </w:tcBorders>
            <w:vAlign w:val="center"/>
          </w:tcPr>
          <w:p>
            <w:pPr>
              <w:snapToGrid w:val="0"/>
              <w:spacing w:line="240" w:lineRule="auto"/>
              <w:jc w:val="center"/>
              <w:rPr>
                <w:sz w:val="21"/>
                <w:szCs w:val="21"/>
              </w:rPr>
            </w:pPr>
            <w:r>
              <w:rPr>
                <w:rFonts w:hint="eastAsia"/>
                <w:sz w:val="21"/>
                <w:szCs w:val="21"/>
              </w:rPr>
              <w:t>周开丽</w:t>
            </w:r>
          </w:p>
        </w:tc>
        <w:tc>
          <w:tcPr>
            <w:tcW w:w="1287" w:type="dxa"/>
            <w:vMerge w:val="restart"/>
            <w:tcBorders>
              <w:tl2br w:val="nil"/>
              <w:tr2bl w:val="nil"/>
            </w:tcBorders>
            <w:vAlign w:val="center"/>
          </w:tcPr>
          <w:p>
            <w:pPr>
              <w:snapToGrid w:val="0"/>
              <w:spacing w:line="240" w:lineRule="auto"/>
              <w:jc w:val="center"/>
              <w:rPr>
                <w:sz w:val="21"/>
                <w:szCs w:val="21"/>
              </w:rPr>
            </w:pPr>
            <w:r>
              <w:rPr>
                <w:sz w:val="21"/>
                <w:szCs w:val="21"/>
              </w:rPr>
              <w:t>实验室内分析工作</w:t>
            </w:r>
          </w:p>
        </w:tc>
        <w:tc>
          <w:tcPr>
            <w:tcW w:w="2289" w:type="dxa"/>
            <w:tcBorders>
              <w:tl2br w:val="nil"/>
              <w:tr2bl w:val="nil"/>
            </w:tcBorders>
            <w:vAlign w:val="center"/>
          </w:tcPr>
          <w:p>
            <w:pPr>
              <w:snapToGrid w:val="0"/>
              <w:spacing w:line="240" w:lineRule="auto"/>
              <w:jc w:val="center"/>
              <w:rPr>
                <w:sz w:val="21"/>
                <w:szCs w:val="21"/>
              </w:rPr>
            </w:pPr>
            <w:r>
              <w:rPr>
                <w:sz w:val="21"/>
                <w:szCs w:val="21"/>
              </w:rPr>
              <w:t>上岗证</w:t>
            </w:r>
          </w:p>
        </w:tc>
        <w:tc>
          <w:tcPr>
            <w:tcW w:w="1302" w:type="dxa"/>
            <w:tcBorders>
              <w:tl2br w:val="nil"/>
              <w:tr2bl w:val="nil"/>
            </w:tcBorders>
            <w:vAlign w:val="center"/>
          </w:tcPr>
          <w:p>
            <w:pPr>
              <w:snapToGrid w:val="0"/>
              <w:spacing w:line="240" w:lineRule="auto"/>
              <w:jc w:val="center"/>
              <w:rPr>
                <w:sz w:val="21"/>
                <w:szCs w:val="21"/>
              </w:rPr>
            </w:pPr>
            <w:r>
              <w:rPr>
                <w:sz w:val="21"/>
                <w:szCs w:val="21"/>
              </w:rPr>
              <w:t>GH10</w:t>
            </w:r>
          </w:p>
        </w:tc>
        <w:tc>
          <w:tcPr>
            <w:tcW w:w="1931" w:type="dxa"/>
            <w:vMerge w:val="continue"/>
            <w:tcBorders>
              <w:tl2br w:val="nil"/>
              <w:tr2bl w:val="nil"/>
            </w:tcBorders>
            <w:vAlign w:val="center"/>
          </w:tcPr>
          <w:p>
            <w:pPr>
              <w:snapToGrid w:val="0"/>
              <w:spacing w:line="240" w:lineRule="auto"/>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pPr>
              <w:snapToGrid w:val="0"/>
              <w:spacing w:line="240" w:lineRule="auto"/>
              <w:jc w:val="center"/>
              <w:rPr>
                <w:sz w:val="21"/>
                <w:szCs w:val="21"/>
              </w:rPr>
            </w:pPr>
            <w:r>
              <w:rPr>
                <w:sz w:val="21"/>
                <w:szCs w:val="21"/>
              </w:rPr>
              <w:t>7</w:t>
            </w:r>
          </w:p>
        </w:tc>
        <w:tc>
          <w:tcPr>
            <w:tcW w:w="1033" w:type="dxa"/>
            <w:tcBorders>
              <w:tl2br w:val="nil"/>
              <w:tr2bl w:val="nil"/>
            </w:tcBorders>
            <w:vAlign w:val="center"/>
          </w:tcPr>
          <w:p>
            <w:pPr>
              <w:snapToGrid w:val="0"/>
              <w:spacing w:line="240" w:lineRule="auto"/>
              <w:jc w:val="center"/>
              <w:rPr>
                <w:rFonts w:hint="eastAsia"/>
                <w:sz w:val="21"/>
                <w:szCs w:val="21"/>
                <w:lang w:eastAsia="zh-CN"/>
              </w:rPr>
            </w:pPr>
            <w:r>
              <w:rPr>
                <w:rFonts w:hint="eastAsia"/>
                <w:sz w:val="21"/>
                <w:szCs w:val="21"/>
                <w:lang w:eastAsia="zh-CN"/>
              </w:rPr>
              <w:t>胡菲</w:t>
            </w:r>
          </w:p>
        </w:tc>
        <w:tc>
          <w:tcPr>
            <w:tcW w:w="1287" w:type="dxa"/>
            <w:vMerge w:val="continue"/>
            <w:tcBorders>
              <w:tl2br w:val="nil"/>
              <w:tr2bl w:val="nil"/>
            </w:tcBorders>
            <w:vAlign w:val="center"/>
          </w:tcPr>
          <w:p>
            <w:pPr>
              <w:snapToGrid w:val="0"/>
              <w:spacing w:line="240" w:lineRule="auto"/>
              <w:jc w:val="center"/>
              <w:rPr>
                <w:sz w:val="21"/>
                <w:szCs w:val="21"/>
              </w:rPr>
            </w:pPr>
          </w:p>
        </w:tc>
        <w:tc>
          <w:tcPr>
            <w:tcW w:w="2289" w:type="dxa"/>
            <w:tcBorders>
              <w:tl2br w:val="nil"/>
              <w:tr2bl w:val="nil"/>
            </w:tcBorders>
            <w:vAlign w:val="center"/>
          </w:tcPr>
          <w:p>
            <w:pPr>
              <w:snapToGrid w:val="0"/>
              <w:spacing w:line="240" w:lineRule="auto"/>
              <w:jc w:val="center"/>
              <w:rPr>
                <w:sz w:val="21"/>
                <w:szCs w:val="21"/>
              </w:rPr>
            </w:pPr>
            <w:r>
              <w:rPr>
                <w:sz w:val="21"/>
                <w:szCs w:val="21"/>
              </w:rPr>
              <w:t>上岗证</w:t>
            </w:r>
          </w:p>
        </w:tc>
        <w:tc>
          <w:tcPr>
            <w:tcW w:w="1302" w:type="dxa"/>
            <w:tcBorders>
              <w:tl2br w:val="nil"/>
              <w:tr2bl w:val="nil"/>
            </w:tcBorders>
            <w:vAlign w:val="center"/>
          </w:tcPr>
          <w:p>
            <w:pPr>
              <w:snapToGrid w:val="0"/>
              <w:spacing w:line="240" w:lineRule="auto"/>
              <w:jc w:val="center"/>
              <w:rPr>
                <w:sz w:val="21"/>
                <w:szCs w:val="21"/>
              </w:rPr>
            </w:pPr>
            <w:r>
              <w:rPr>
                <w:sz w:val="21"/>
                <w:szCs w:val="21"/>
              </w:rPr>
              <w:t>GH18</w:t>
            </w:r>
          </w:p>
        </w:tc>
        <w:tc>
          <w:tcPr>
            <w:tcW w:w="1931" w:type="dxa"/>
            <w:vMerge w:val="continue"/>
            <w:tcBorders>
              <w:tl2br w:val="nil"/>
              <w:tr2bl w:val="nil"/>
            </w:tcBorders>
            <w:vAlign w:val="center"/>
          </w:tcPr>
          <w:p>
            <w:pPr>
              <w:snapToGrid w:val="0"/>
              <w:spacing w:line="240" w:lineRule="auto"/>
              <w:jc w:val="center"/>
              <w:rPr>
                <w:color w:val="FF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pPr>
              <w:snapToGrid w:val="0"/>
              <w:spacing w:line="240" w:lineRule="auto"/>
              <w:jc w:val="center"/>
              <w:rPr>
                <w:sz w:val="21"/>
                <w:szCs w:val="21"/>
              </w:rPr>
            </w:pPr>
            <w:r>
              <w:rPr>
                <w:sz w:val="21"/>
                <w:szCs w:val="21"/>
              </w:rPr>
              <w:t>8</w:t>
            </w:r>
          </w:p>
        </w:tc>
        <w:tc>
          <w:tcPr>
            <w:tcW w:w="1033" w:type="dxa"/>
            <w:tcBorders>
              <w:tl2br w:val="nil"/>
              <w:tr2bl w:val="nil"/>
            </w:tcBorders>
            <w:vAlign w:val="center"/>
          </w:tcPr>
          <w:p>
            <w:pPr>
              <w:snapToGrid w:val="0"/>
              <w:spacing w:line="240" w:lineRule="auto"/>
              <w:jc w:val="center"/>
              <w:rPr>
                <w:rFonts w:hint="eastAsia"/>
                <w:sz w:val="21"/>
                <w:szCs w:val="21"/>
                <w:lang w:eastAsia="zh-CN"/>
              </w:rPr>
            </w:pPr>
            <w:r>
              <w:rPr>
                <w:rFonts w:hint="eastAsia"/>
                <w:sz w:val="21"/>
                <w:szCs w:val="21"/>
                <w:lang w:eastAsia="zh-CN"/>
              </w:rPr>
              <w:t>张宁</w:t>
            </w:r>
          </w:p>
        </w:tc>
        <w:tc>
          <w:tcPr>
            <w:tcW w:w="1287" w:type="dxa"/>
            <w:vMerge w:val="continue"/>
            <w:tcBorders>
              <w:tl2br w:val="nil"/>
              <w:tr2bl w:val="nil"/>
            </w:tcBorders>
            <w:vAlign w:val="center"/>
          </w:tcPr>
          <w:p>
            <w:pPr>
              <w:snapToGrid w:val="0"/>
              <w:spacing w:line="240" w:lineRule="auto"/>
              <w:jc w:val="center"/>
              <w:rPr>
                <w:sz w:val="21"/>
                <w:szCs w:val="21"/>
              </w:rPr>
            </w:pPr>
          </w:p>
        </w:tc>
        <w:tc>
          <w:tcPr>
            <w:tcW w:w="2289" w:type="dxa"/>
            <w:tcBorders>
              <w:tl2br w:val="nil"/>
              <w:tr2bl w:val="nil"/>
            </w:tcBorders>
            <w:vAlign w:val="center"/>
          </w:tcPr>
          <w:p>
            <w:pPr>
              <w:snapToGrid w:val="0"/>
              <w:spacing w:line="240" w:lineRule="auto"/>
              <w:jc w:val="center"/>
              <w:rPr>
                <w:sz w:val="21"/>
                <w:szCs w:val="21"/>
              </w:rPr>
            </w:pPr>
            <w:r>
              <w:rPr>
                <w:sz w:val="21"/>
                <w:szCs w:val="21"/>
              </w:rPr>
              <w:t>上岗证</w:t>
            </w:r>
          </w:p>
        </w:tc>
        <w:tc>
          <w:tcPr>
            <w:tcW w:w="1302" w:type="dxa"/>
            <w:tcBorders>
              <w:tl2br w:val="nil"/>
              <w:tr2bl w:val="nil"/>
            </w:tcBorders>
            <w:vAlign w:val="center"/>
          </w:tcPr>
          <w:p>
            <w:pPr>
              <w:snapToGrid w:val="0"/>
              <w:spacing w:line="240" w:lineRule="auto"/>
              <w:jc w:val="center"/>
              <w:rPr>
                <w:sz w:val="21"/>
                <w:szCs w:val="21"/>
              </w:rPr>
            </w:pPr>
            <w:r>
              <w:rPr>
                <w:sz w:val="21"/>
                <w:szCs w:val="21"/>
              </w:rPr>
              <w:t>GH20</w:t>
            </w:r>
          </w:p>
        </w:tc>
        <w:tc>
          <w:tcPr>
            <w:tcW w:w="1931" w:type="dxa"/>
            <w:vMerge w:val="continue"/>
            <w:tcBorders>
              <w:tl2br w:val="nil"/>
              <w:tr2bl w:val="nil"/>
            </w:tcBorders>
            <w:vAlign w:val="center"/>
          </w:tcPr>
          <w:p>
            <w:pPr>
              <w:snapToGrid w:val="0"/>
              <w:spacing w:line="240" w:lineRule="auto"/>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pPr>
              <w:snapToGrid w:val="0"/>
              <w:spacing w:line="240" w:lineRule="auto"/>
              <w:jc w:val="center"/>
              <w:rPr>
                <w:sz w:val="21"/>
                <w:szCs w:val="21"/>
              </w:rPr>
            </w:pPr>
            <w:r>
              <w:rPr>
                <w:sz w:val="21"/>
                <w:szCs w:val="21"/>
              </w:rPr>
              <w:t>9</w:t>
            </w:r>
          </w:p>
        </w:tc>
        <w:tc>
          <w:tcPr>
            <w:tcW w:w="1033" w:type="dxa"/>
            <w:tcBorders>
              <w:tl2br w:val="nil"/>
              <w:tr2bl w:val="nil"/>
            </w:tcBorders>
            <w:vAlign w:val="center"/>
          </w:tcPr>
          <w:p>
            <w:pPr>
              <w:snapToGrid w:val="0"/>
              <w:spacing w:line="240" w:lineRule="auto"/>
              <w:jc w:val="center"/>
              <w:rPr>
                <w:sz w:val="21"/>
                <w:szCs w:val="21"/>
              </w:rPr>
            </w:pPr>
            <w:r>
              <w:rPr>
                <w:sz w:val="21"/>
                <w:szCs w:val="21"/>
              </w:rPr>
              <w:t>程超</w:t>
            </w:r>
          </w:p>
        </w:tc>
        <w:tc>
          <w:tcPr>
            <w:tcW w:w="1287" w:type="dxa"/>
            <w:vMerge w:val="continue"/>
            <w:tcBorders>
              <w:tl2br w:val="nil"/>
              <w:tr2bl w:val="nil"/>
            </w:tcBorders>
            <w:vAlign w:val="center"/>
          </w:tcPr>
          <w:p>
            <w:pPr>
              <w:snapToGrid w:val="0"/>
              <w:spacing w:line="240" w:lineRule="auto"/>
              <w:jc w:val="center"/>
              <w:rPr>
                <w:sz w:val="21"/>
                <w:szCs w:val="21"/>
              </w:rPr>
            </w:pPr>
          </w:p>
        </w:tc>
        <w:tc>
          <w:tcPr>
            <w:tcW w:w="2289" w:type="dxa"/>
            <w:tcBorders>
              <w:tl2br w:val="nil"/>
              <w:tr2bl w:val="nil"/>
            </w:tcBorders>
            <w:vAlign w:val="center"/>
          </w:tcPr>
          <w:p>
            <w:pPr>
              <w:snapToGrid w:val="0"/>
              <w:spacing w:line="240" w:lineRule="auto"/>
              <w:jc w:val="center"/>
              <w:rPr>
                <w:sz w:val="21"/>
                <w:szCs w:val="21"/>
              </w:rPr>
            </w:pPr>
            <w:r>
              <w:rPr>
                <w:sz w:val="21"/>
                <w:szCs w:val="21"/>
              </w:rPr>
              <w:t>上岗证</w:t>
            </w:r>
          </w:p>
        </w:tc>
        <w:tc>
          <w:tcPr>
            <w:tcW w:w="1302" w:type="dxa"/>
            <w:tcBorders>
              <w:tl2br w:val="nil"/>
              <w:tr2bl w:val="nil"/>
            </w:tcBorders>
            <w:vAlign w:val="center"/>
          </w:tcPr>
          <w:p>
            <w:pPr>
              <w:snapToGrid w:val="0"/>
              <w:spacing w:line="240" w:lineRule="auto"/>
              <w:jc w:val="center"/>
              <w:rPr>
                <w:sz w:val="21"/>
                <w:szCs w:val="21"/>
              </w:rPr>
            </w:pPr>
            <w:r>
              <w:rPr>
                <w:sz w:val="21"/>
                <w:szCs w:val="21"/>
              </w:rPr>
              <w:t>GH19</w:t>
            </w:r>
          </w:p>
        </w:tc>
        <w:tc>
          <w:tcPr>
            <w:tcW w:w="1931" w:type="dxa"/>
            <w:vMerge w:val="continue"/>
            <w:tcBorders>
              <w:tl2br w:val="nil"/>
              <w:tr2bl w:val="nil"/>
            </w:tcBorders>
            <w:vAlign w:val="center"/>
          </w:tcPr>
          <w:p>
            <w:pPr>
              <w:snapToGrid w:val="0"/>
              <w:spacing w:line="240" w:lineRule="auto"/>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pPr>
              <w:snapToGrid w:val="0"/>
              <w:spacing w:line="240" w:lineRule="auto"/>
              <w:jc w:val="center"/>
              <w:rPr>
                <w:rFonts w:hint="default"/>
                <w:sz w:val="21"/>
                <w:szCs w:val="21"/>
                <w:lang w:val="en-US" w:eastAsia="zh-CN"/>
              </w:rPr>
            </w:pPr>
            <w:r>
              <w:rPr>
                <w:rFonts w:hint="eastAsia"/>
                <w:sz w:val="21"/>
                <w:szCs w:val="21"/>
                <w:lang w:val="en-US" w:eastAsia="zh-CN"/>
              </w:rPr>
              <w:t>10</w:t>
            </w:r>
          </w:p>
        </w:tc>
        <w:tc>
          <w:tcPr>
            <w:tcW w:w="1033" w:type="dxa"/>
            <w:tcBorders>
              <w:tl2br w:val="nil"/>
              <w:tr2bl w:val="nil"/>
            </w:tcBorders>
            <w:vAlign w:val="center"/>
          </w:tcPr>
          <w:p>
            <w:pPr>
              <w:snapToGrid w:val="0"/>
              <w:spacing w:line="240" w:lineRule="auto"/>
              <w:jc w:val="center"/>
              <w:rPr>
                <w:sz w:val="21"/>
                <w:szCs w:val="21"/>
              </w:rPr>
            </w:pPr>
            <w:r>
              <w:rPr>
                <w:rFonts w:hint="eastAsia"/>
                <w:sz w:val="21"/>
                <w:szCs w:val="21"/>
              </w:rPr>
              <w:t>江美龄</w:t>
            </w:r>
          </w:p>
        </w:tc>
        <w:tc>
          <w:tcPr>
            <w:tcW w:w="1287" w:type="dxa"/>
            <w:vMerge w:val="continue"/>
            <w:tcBorders>
              <w:tl2br w:val="nil"/>
              <w:tr2bl w:val="nil"/>
            </w:tcBorders>
            <w:vAlign w:val="center"/>
          </w:tcPr>
          <w:p>
            <w:pPr>
              <w:snapToGrid w:val="0"/>
              <w:spacing w:line="240" w:lineRule="auto"/>
              <w:jc w:val="center"/>
              <w:rPr>
                <w:sz w:val="21"/>
                <w:szCs w:val="21"/>
              </w:rPr>
            </w:pPr>
          </w:p>
        </w:tc>
        <w:tc>
          <w:tcPr>
            <w:tcW w:w="2289" w:type="dxa"/>
            <w:tcBorders>
              <w:tl2br w:val="nil"/>
              <w:tr2bl w:val="nil"/>
            </w:tcBorders>
            <w:vAlign w:val="center"/>
          </w:tcPr>
          <w:p>
            <w:pPr>
              <w:snapToGrid w:val="0"/>
              <w:spacing w:line="240" w:lineRule="auto"/>
              <w:jc w:val="center"/>
              <w:rPr>
                <w:sz w:val="21"/>
                <w:szCs w:val="21"/>
              </w:rPr>
            </w:pPr>
            <w:r>
              <w:rPr>
                <w:sz w:val="21"/>
                <w:szCs w:val="21"/>
              </w:rPr>
              <w:t>上岗证</w:t>
            </w:r>
          </w:p>
        </w:tc>
        <w:tc>
          <w:tcPr>
            <w:tcW w:w="1302" w:type="dxa"/>
            <w:tcBorders>
              <w:tl2br w:val="nil"/>
              <w:tr2bl w:val="nil"/>
            </w:tcBorders>
            <w:vAlign w:val="center"/>
          </w:tcPr>
          <w:p>
            <w:pPr>
              <w:snapToGrid w:val="0"/>
              <w:spacing w:line="240" w:lineRule="auto"/>
              <w:jc w:val="center"/>
              <w:rPr>
                <w:sz w:val="21"/>
                <w:szCs w:val="21"/>
              </w:rPr>
            </w:pPr>
            <w:r>
              <w:rPr>
                <w:sz w:val="21"/>
                <w:szCs w:val="21"/>
              </w:rPr>
              <w:t>GH</w:t>
            </w:r>
            <w:r>
              <w:rPr>
                <w:rFonts w:hint="eastAsia"/>
                <w:sz w:val="21"/>
                <w:szCs w:val="21"/>
              </w:rPr>
              <w:t>28</w:t>
            </w:r>
          </w:p>
        </w:tc>
        <w:tc>
          <w:tcPr>
            <w:tcW w:w="1931" w:type="dxa"/>
            <w:vMerge w:val="continue"/>
            <w:tcBorders>
              <w:tl2br w:val="nil"/>
              <w:tr2bl w:val="nil"/>
            </w:tcBorders>
            <w:vAlign w:val="center"/>
          </w:tcPr>
          <w:p>
            <w:pPr>
              <w:snapToGrid w:val="0"/>
              <w:spacing w:line="240" w:lineRule="auto"/>
              <w:jc w:val="center"/>
              <w:rPr>
                <w:sz w:val="21"/>
                <w:szCs w:val="21"/>
              </w:rPr>
            </w:pPr>
          </w:p>
        </w:tc>
      </w:tr>
    </w:tbl>
    <w:p>
      <w:pPr>
        <w:pStyle w:val="6"/>
        <w:keepNext/>
        <w:keepLines w:val="0"/>
        <w:pageBreakBefore w:val="0"/>
        <w:widowControl w:val="0"/>
        <w:kinsoku/>
        <w:wordWrap/>
        <w:overflowPunct/>
        <w:topLinePunct w:val="0"/>
        <w:autoSpaceDE/>
        <w:autoSpaceDN/>
        <w:bidi w:val="0"/>
        <w:adjustRightInd/>
        <w:snapToGrid/>
        <w:spacing w:beforeLines="0" w:afterLines="0"/>
        <w:textAlignment w:val="auto"/>
        <w:rPr>
          <w:color w:val="auto"/>
          <w:sz w:val="32"/>
          <w:szCs w:val="32"/>
        </w:rPr>
      </w:pPr>
      <w:bookmarkStart w:id="112" w:name="_Toc3458"/>
      <w:bookmarkStart w:id="113" w:name="_Toc25472"/>
      <w:bookmarkStart w:id="114" w:name="_Toc29566"/>
      <w:r>
        <w:rPr>
          <w:rFonts w:hint="eastAsia"/>
          <w:color w:val="auto"/>
          <w:sz w:val="32"/>
          <w:szCs w:val="32"/>
        </w:rPr>
        <w:t>8.</w:t>
      </w:r>
      <w:r>
        <w:rPr>
          <w:rFonts w:hint="eastAsia"/>
          <w:color w:val="auto"/>
          <w:sz w:val="32"/>
          <w:szCs w:val="32"/>
          <w:lang w:val="en-US" w:eastAsia="zh-CN"/>
        </w:rPr>
        <w:t>4</w:t>
      </w:r>
      <w:r>
        <w:rPr>
          <w:rFonts w:hint="eastAsia"/>
          <w:color w:val="auto"/>
          <w:sz w:val="32"/>
          <w:szCs w:val="32"/>
        </w:rPr>
        <w:t>气体监测分析过程中的质量保证和质量控制</w:t>
      </w:r>
      <w:bookmarkEnd w:id="112"/>
      <w:bookmarkEnd w:id="113"/>
      <w:bookmarkEnd w:id="114"/>
    </w:p>
    <w:p>
      <w:pPr>
        <w:ind w:firstLine="480" w:firstLineChars="200"/>
        <w:sectPr>
          <w:pgSz w:w="11906" w:h="16838"/>
          <w:pgMar w:top="1440" w:right="1800" w:bottom="1440" w:left="1800" w:header="794" w:footer="992" w:gutter="0"/>
          <w:pgNumType w:fmt="decimal"/>
          <w:cols w:space="425" w:num="1"/>
          <w:docGrid w:type="lines" w:linePitch="312" w:charSpace="0"/>
        </w:sectPr>
      </w:pPr>
      <w:r>
        <w:t>按照《固定污染源排气中颗粒物与气态污染物采样方法》（GB/T16157-1996）、《固定污染源废气监测技术规范》（HJ/T 397-2007）、《固定污染源监测质量保证与质量控制技术规范（实行）》（HJ/T 373-2007）和《大气污染物无组织排放监测技术导则》（HJ 55-2000）进行，使用仪器为经检验机构检定合格并在有效期内的测试仪器。废气样品的采集、分析及分析结果的计算，严格按国家环保局《环境监测技术规范》（大气和废气部分）、《空气和废气监测分析方法》（第四版）执行，实行全程序质量控制。</w:t>
      </w:r>
    </w:p>
    <w:p>
      <w:pPr>
        <w:jc w:val="center"/>
        <w:rPr>
          <w:rFonts w:hint="eastAsia" w:ascii="Times New Roman" w:hAnsi="Times New Roman" w:eastAsia="黑体" w:cs="Times New Roman"/>
          <w:b w:val="0"/>
          <w:bCs w:val="0"/>
          <w:sz w:val="21"/>
          <w:szCs w:val="21"/>
          <w:lang w:val="en-US" w:eastAsia="zh-CN"/>
        </w:rPr>
      </w:pPr>
      <w:r>
        <w:rPr>
          <w:rFonts w:hint="eastAsia" w:ascii="Times New Roman" w:hAnsi="Times New Roman" w:eastAsia="黑体" w:cs="Times New Roman"/>
          <w:b w:val="0"/>
          <w:bCs w:val="0"/>
          <w:sz w:val="21"/>
          <w:szCs w:val="21"/>
          <w:lang w:val="en-US" w:eastAsia="zh-CN"/>
        </w:rPr>
        <w:t>表8.4-1  气体检测质控情况一览表</w:t>
      </w:r>
    </w:p>
    <w:tbl>
      <w:tblPr>
        <w:tblStyle w:val="19"/>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3"/>
        <w:gridCol w:w="1430"/>
        <w:gridCol w:w="1574"/>
        <w:gridCol w:w="1223"/>
        <w:gridCol w:w="1203"/>
        <w:gridCol w:w="1350"/>
        <w:gridCol w:w="1350"/>
        <w:gridCol w:w="1208"/>
        <w:gridCol w:w="1208"/>
        <w:gridCol w:w="1208"/>
        <w:gridCol w:w="1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4" w:type="pc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仪器名称</w:t>
            </w:r>
          </w:p>
        </w:tc>
        <w:tc>
          <w:tcPr>
            <w:tcW w:w="504" w:type="pct"/>
            <w:vAlign w:val="center"/>
          </w:tcPr>
          <w:p>
            <w:pPr>
              <w:numPr>
                <w:ilvl w:val="0"/>
                <w:numId w:val="0"/>
              </w:numPr>
              <w:spacing w:line="240" w:lineRule="auto"/>
              <w:jc w:val="center"/>
              <w:rPr>
                <w:rFonts w:hint="eastAsia"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仪器</w:t>
            </w:r>
            <w:r>
              <w:rPr>
                <w:rFonts w:hint="eastAsia" w:ascii="Times New Roman" w:hAnsi="Times New Roman" w:eastAsia="宋体" w:cs="Times New Roman"/>
                <w:sz w:val="21"/>
                <w:szCs w:val="21"/>
                <w:vertAlign w:val="baseline"/>
                <w:lang w:val="en-US" w:eastAsia="zh-CN"/>
              </w:rPr>
              <w:t>型号</w:t>
            </w:r>
          </w:p>
        </w:tc>
        <w:tc>
          <w:tcPr>
            <w:tcW w:w="555" w:type="pc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仪器编号</w:t>
            </w:r>
          </w:p>
        </w:tc>
        <w:tc>
          <w:tcPr>
            <w:tcW w:w="431" w:type="pc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校验日期</w:t>
            </w:r>
          </w:p>
        </w:tc>
        <w:tc>
          <w:tcPr>
            <w:tcW w:w="424" w:type="pc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校正项目</w:t>
            </w:r>
          </w:p>
        </w:tc>
        <w:tc>
          <w:tcPr>
            <w:tcW w:w="476" w:type="pc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校验值（L/min）</w:t>
            </w:r>
          </w:p>
        </w:tc>
        <w:tc>
          <w:tcPr>
            <w:tcW w:w="476" w:type="pc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实测</w:t>
            </w:r>
            <w:r>
              <w:rPr>
                <w:rFonts w:hint="eastAsia" w:ascii="Times New Roman" w:hAnsi="Times New Roman" w:eastAsia="宋体" w:cs="Times New Roman"/>
                <w:sz w:val="21"/>
                <w:szCs w:val="21"/>
                <w:vertAlign w:val="baseline"/>
                <w:lang w:val="en-US" w:eastAsia="zh-CN"/>
              </w:rPr>
              <w:t>平均</w:t>
            </w:r>
            <w:r>
              <w:rPr>
                <w:rFonts w:hint="default" w:ascii="Times New Roman" w:hAnsi="Times New Roman" w:eastAsia="宋体" w:cs="Times New Roman"/>
                <w:sz w:val="21"/>
                <w:szCs w:val="21"/>
                <w:vertAlign w:val="baseline"/>
                <w:lang w:val="en-US" w:eastAsia="zh-CN"/>
              </w:rPr>
              <w:t>流量（L/min）</w:t>
            </w:r>
          </w:p>
        </w:tc>
        <w:tc>
          <w:tcPr>
            <w:tcW w:w="426" w:type="pc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相对偏差（%）</w:t>
            </w:r>
          </w:p>
        </w:tc>
        <w:tc>
          <w:tcPr>
            <w:tcW w:w="426" w:type="pc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是否合格</w:t>
            </w:r>
          </w:p>
        </w:tc>
        <w:tc>
          <w:tcPr>
            <w:tcW w:w="426" w:type="pct"/>
            <w:vAlign w:val="center"/>
          </w:tcPr>
          <w:p>
            <w:pPr>
              <w:numPr>
                <w:ilvl w:val="0"/>
                <w:numId w:val="0"/>
              </w:numPr>
              <w:spacing w:line="240" w:lineRule="auto"/>
              <w:jc w:val="center"/>
              <w:rPr>
                <w:rFonts w:hint="eastAsia"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要求</w:t>
            </w:r>
          </w:p>
        </w:tc>
        <w:tc>
          <w:tcPr>
            <w:tcW w:w="426" w:type="pc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仪器校准有效日期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424" w:type="pct"/>
            <w:vMerge w:val="restar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sz w:val="21"/>
                <w:szCs w:val="21"/>
                <w:vertAlign w:val="baseline"/>
                <w:lang w:val="en-US" w:eastAsia="zh-CN"/>
              </w:rPr>
            </w:pPr>
            <w:r>
              <w:rPr>
                <w:rFonts w:hint="eastAsia" w:ascii="宋体" w:hAnsi="宋体" w:eastAsia="宋体" w:cs="宋体"/>
                <w:i w:val="0"/>
                <w:color w:val="000000"/>
                <w:kern w:val="0"/>
                <w:sz w:val="21"/>
                <w:szCs w:val="21"/>
                <w:u w:val="none"/>
                <w:lang w:val="en-US" w:eastAsia="zh-CN" w:bidi="ar"/>
              </w:rPr>
              <w:t>环境空气颗粒物综合采样器</w:t>
            </w:r>
          </w:p>
        </w:tc>
        <w:tc>
          <w:tcPr>
            <w:tcW w:w="504" w:type="pct"/>
            <w:vMerge w:val="restar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i w:val="0"/>
                <w:color w:val="000000"/>
                <w:kern w:val="0"/>
                <w:sz w:val="21"/>
                <w:szCs w:val="21"/>
                <w:u w:val="none"/>
                <w:lang w:val="en-US" w:eastAsia="zh-CN" w:bidi="ar"/>
              </w:rPr>
              <w:t>ZR-</w:t>
            </w:r>
            <w:r>
              <w:rPr>
                <w:rFonts w:hint="eastAsia" w:ascii="Times New Roman" w:hAnsi="Times New Roman" w:eastAsia="宋体" w:cs="Times New Roman"/>
                <w:i w:val="0"/>
                <w:color w:val="000000"/>
                <w:kern w:val="0"/>
                <w:sz w:val="21"/>
                <w:szCs w:val="21"/>
                <w:u w:val="none"/>
                <w:lang w:val="en-US" w:eastAsia="zh-CN" w:bidi="ar"/>
              </w:rPr>
              <w:t>5320</w:t>
            </w:r>
            <w:r>
              <w:rPr>
                <w:rFonts w:hint="eastAsia" w:ascii="宋体" w:hAnsi="宋体" w:eastAsia="宋体" w:cs="宋体"/>
                <w:i w:val="0"/>
                <w:color w:val="000000"/>
                <w:kern w:val="0"/>
                <w:sz w:val="21"/>
                <w:szCs w:val="21"/>
                <w:u w:val="none"/>
                <w:lang w:val="en-US" w:eastAsia="zh-CN" w:bidi="ar"/>
              </w:rPr>
              <w:t>型</w:t>
            </w:r>
          </w:p>
        </w:tc>
        <w:tc>
          <w:tcPr>
            <w:tcW w:w="555" w:type="pct"/>
            <w:vMerge w:val="restar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i w:val="0"/>
                <w:color w:val="000000"/>
                <w:kern w:val="0"/>
                <w:sz w:val="21"/>
                <w:szCs w:val="21"/>
                <w:u w:val="none"/>
                <w:lang w:val="en-US" w:eastAsia="zh-CN" w:bidi="ar"/>
              </w:rPr>
              <w:t>GH-YQ-W</w:t>
            </w:r>
            <w:r>
              <w:rPr>
                <w:rFonts w:hint="eastAsia" w:cs="Times New Roman"/>
                <w:i w:val="0"/>
                <w:color w:val="000000"/>
                <w:kern w:val="0"/>
                <w:sz w:val="21"/>
                <w:szCs w:val="21"/>
                <w:u w:val="none"/>
                <w:lang w:val="en-US" w:eastAsia="zh-CN" w:bidi="ar"/>
              </w:rPr>
              <w:t>40</w:t>
            </w:r>
          </w:p>
        </w:tc>
        <w:tc>
          <w:tcPr>
            <w:tcW w:w="431" w:type="pct"/>
            <w:vMerge w:val="restar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w:t>
            </w:r>
            <w:r>
              <w:rPr>
                <w:rFonts w:hint="eastAsia" w:cs="Times New Roman"/>
                <w:sz w:val="21"/>
                <w:szCs w:val="21"/>
                <w:vertAlign w:val="baseline"/>
                <w:lang w:val="en-US" w:eastAsia="zh-CN"/>
              </w:rPr>
              <w:t>2</w:t>
            </w:r>
            <w:r>
              <w:rPr>
                <w:rFonts w:hint="eastAsia" w:ascii="Times New Roman" w:hAnsi="Times New Roman" w:eastAsia="宋体" w:cs="Times New Roman"/>
                <w:sz w:val="21"/>
                <w:szCs w:val="21"/>
                <w:vertAlign w:val="baseline"/>
                <w:lang w:val="en-US" w:eastAsia="zh-CN"/>
              </w:rPr>
              <w:t>-5-31</w:t>
            </w:r>
          </w:p>
        </w:tc>
        <w:tc>
          <w:tcPr>
            <w:tcW w:w="424" w:type="pct"/>
            <w:vAlign w:val="center"/>
          </w:tcPr>
          <w:p>
            <w:pPr>
              <w:numPr>
                <w:ilvl w:val="0"/>
                <w:numId w:val="0"/>
              </w:numPr>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流量A路</w:t>
            </w:r>
          </w:p>
        </w:tc>
        <w:tc>
          <w:tcPr>
            <w:tcW w:w="476" w:type="pct"/>
            <w:vAlign w:val="center"/>
          </w:tcPr>
          <w:p>
            <w:pPr>
              <w:numPr>
                <w:ilvl w:val="0"/>
                <w:numId w:val="0"/>
              </w:numPr>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0.5</w:t>
            </w:r>
          </w:p>
        </w:tc>
        <w:tc>
          <w:tcPr>
            <w:tcW w:w="476" w:type="pc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0.493</w:t>
            </w:r>
          </w:p>
        </w:tc>
        <w:tc>
          <w:tcPr>
            <w:tcW w:w="426" w:type="pc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1.3</w:t>
            </w:r>
          </w:p>
        </w:tc>
        <w:tc>
          <w:tcPr>
            <w:tcW w:w="426" w:type="pc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是</w:t>
            </w:r>
          </w:p>
        </w:tc>
        <w:tc>
          <w:tcPr>
            <w:tcW w:w="426" w:type="pct"/>
            <w:vAlign w:val="center"/>
          </w:tcPr>
          <w:p>
            <w:pPr>
              <w:numPr>
                <w:ilvl w:val="0"/>
                <w:numId w:val="0"/>
              </w:numPr>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＜5%</w:t>
            </w:r>
          </w:p>
        </w:tc>
        <w:tc>
          <w:tcPr>
            <w:tcW w:w="426" w:type="pct"/>
            <w:vMerge w:val="restar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202</w:t>
            </w:r>
            <w:r>
              <w:rPr>
                <w:rFonts w:hint="eastAsia" w:cs="Times New Roman"/>
                <w:i w:val="0"/>
                <w:iCs w:val="0"/>
                <w:color w:val="000000"/>
                <w:kern w:val="0"/>
                <w:sz w:val="21"/>
                <w:szCs w:val="21"/>
                <w:u w:val="none"/>
                <w:lang w:val="en-US" w:eastAsia="zh-CN" w:bidi="ar"/>
              </w:rPr>
              <w:t>3</w:t>
            </w:r>
            <w:r>
              <w:rPr>
                <w:rFonts w:hint="eastAsia" w:ascii="Times New Roman" w:hAnsi="Times New Roman" w:eastAsia="宋体" w:cs="Times New Roman"/>
                <w:i w:val="0"/>
                <w:iCs w:val="0"/>
                <w:color w:val="000000"/>
                <w:kern w:val="0"/>
                <w:sz w:val="21"/>
                <w:szCs w:val="21"/>
                <w:u w:val="none"/>
                <w:lang w:val="en-US" w:eastAsia="zh-CN" w:bidi="ar"/>
              </w:rPr>
              <w:t>-</w:t>
            </w:r>
            <w:r>
              <w:rPr>
                <w:rFonts w:hint="eastAsia" w:cs="Times New Roman"/>
                <w:i w:val="0"/>
                <w:iCs w:val="0"/>
                <w:color w:val="000000"/>
                <w:kern w:val="0"/>
                <w:sz w:val="21"/>
                <w:szCs w:val="21"/>
                <w:u w:val="none"/>
                <w:lang w:val="en-US" w:eastAsia="zh-CN" w:bidi="ar"/>
              </w:rPr>
              <w:t>4</w:t>
            </w:r>
            <w:r>
              <w:rPr>
                <w:rFonts w:hint="eastAsia" w:ascii="Times New Roman" w:hAnsi="Times New Roman" w:eastAsia="宋体" w:cs="Times New Roman"/>
                <w:i w:val="0"/>
                <w:iCs w:val="0"/>
                <w:color w:val="000000"/>
                <w:kern w:val="0"/>
                <w:sz w:val="21"/>
                <w:szCs w:val="21"/>
                <w:u w:val="none"/>
                <w:lang w:val="en-US" w:eastAsia="zh-CN" w:bidi="ar"/>
              </w:rPr>
              <w:t>-</w:t>
            </w:r>
            <w:r>
              <w:rPr>
                <w:rFonts w:hint="eastAsia" w:cs="Times New Roman"/>
                <w:i w:val="0"/>
                <w:iCs w:val="0"/>
                <w:color w:val="000000"/>
                <w:kern w:val="0"/>
                <w:sz w:val="21"/>
                <w:szCs w:val="21"/>
                <w:u w:val="none"/>
                <w:lang w:val="en-US" w:eastAsia="zh-CN" w:bidi="ar"/>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4" w:type="pct"/>
            <w:vMerge w:val="continue"/>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504" w:type="pct"/>
            <w:vMerge w:val="continue"/>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p>
        </w:tc>
        <w:tc>
          <w:tcPr>
            <w:tcW w:w="555" w:type="pct"/>
            <w:vMerge w:val="continue"/>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p>
        </w:tc>
        <w:tc>
          <w:tcPr>
            <w:tcW w:w="431" w:type="pct"/>
            <w:vMerge w:val="continue"/>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p>
        </w:tc>
        <w:tc>
          <w:tcPr>
            <w:tcW w:w="424" w:type="pct"/>
            <w:vAlign w:val="center"/>
          </w:tcPr>
          <w:p>
            <w:pPr>
              <w:numPr>
                <w:ilvl w:val="0"/>
                <w:numId w:val="0"/>
              </w:numPr>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流量B路</w:t>
            </w:r>
          </w:p>
        </w:tc>
        <w:tc>
          <w:tcPr>
            <w:tcW w:w="476" w:type="pct"/>
            <w:vAlign w:val="center"/>
          </w:tcPr>
          <w:p>
            <w:pPr>
              <w:numPr>
                <w:ilvl w:val="0"/>
                <w:numId w:val="0"/>
              </w:numPr>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0.3</w:t>
            </w:r>
          </w:p>
        </w:tc>
        <w:tc>
          <w:tcPr>
            <w:tcW w:w="476" w:type="pc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0.307</w:t>
            </w:r>
          </w:p>
        </w:tc>
        <w:tc>
          <w:tcPr>
            <w:tcW w:w="426" w:type="pc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2.2</w:t>
            </w:r>
          </w:p>
        </w:tc>
        <w:tc>
          <w:tcPr>
            <w:tcW w:w="426" w:type="pc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是</w:t>
            </w:r>
          </w:p>
        </w:tc>
        <w:tc>
          <w:tcPr>
            <w:tcW w:w="426" w:type="pct"/>
            <w:vAlign w:val="center"/>
          </w:tcPr>
          <w:p>
            <w:pPr>
              <w:numPr>
                <w:ilvl w:val="0"/>
                <w:numId w:val="0"/>
              </w:numPr>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＜5%</w:t>
            </w:r>
          </w:p>
        </w:tc>
        <w:tc>
          <w:tcPr>
            <w:tcW w:w="426" w:type="pct"/>
            <w:vMerge w:val="continue"/>
            <w:vAlign w:val="center"/>
          </w:tcPr>
          <w:p>
            <w:pPr>
              <w:numPr>
                <w:ilvl w:val="0"/>
                <w:numId w:val="0"/>
              </w:numPr>
              <w:spacing w:line="240" w:lineRule="auto"/>
              <w:ind w:left="0" w:leftChars="0" w:firstLine="0" w:firstLineChars="0"/>
              <w:jc w:val="center"/>
              <w:rPr>
                <w:rFonts w:hint="eastAsia" w:ascii="Times New Roman" w:hAnsi="Times New Roman" w:eastAsia="宋体" w:cs="Times New Roman"/>
                <w:sz w:val="21"/>
                <w:szCs w:val="21"/>
                <w:vertAlign w:val="baseline"/>
                <w:lang w:val="en-US" w:eastAsia="zh-CN"/>
              </w:rPr>
            </w:pPr>
          </w:p>
        </w:tc>
      </w:tr>
    </w:tbl>
    <w:p>
      <w:pPr>
        <w:jc w:val="center"/>
        <w:rPr>
          <w:rFonts w:hint="eastAsia"/>
          <w:lang w:val="en-US" w:eastAsia="zh-CN"/>
        </w:rPr>
      </w:pPr>
    </w:p>
    <w:p>
      <w:pPr>
        <w:jc w:val="center"/>
        <w:rPr>
          <w:rFonts w:hint="eastAsia" w:ascii="Times New Roman" w:hAnsi="Times New Roman" w:eastAsia="黑体" w:cs="Times New Roman"/>
          <w:b w:val="0"/>
          <w:bCs w:val="0"/>
          <w:sz w:val="21"/>
          <w:szCs w:val="21"/>
          <w:lang w:val="en-US" w:eastAsia="zh-CN"/>
        </w:rPr>
      </w:pPr>
      <w:r>
        <w:rPr>
          <w:rFonts w:hint="eastAsia" w:ascii="Times New Roman" w:hAnsi="Times New Roman" w:eastAsia="黑体" w:cs="Times New Roman"/>
          <w:b w:val="0"/>
          <w:bCs w:val="0"/>
          <w:sz w:val="21"/>
          <w:szCs w:val="21"/>
          <w:lang w:val="en-US" w:eastAsia="zh-CN"/>
        </w:rPr>
        <w:t>表8.4-2  气体检测质控情况一览表</w:t>
      </w:r>
    </w:p>
    <w:tbl>
      <w:tblPr>
        <w:tblStyle w:val="1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1"/>
        <w:gridCol w:w="1274"/>
        <w:gridCol w:w="1476"/>
        <w:gridCol w:w="1091"/>
        <w:gridCol w:w="1748"/>
        <w:gridCol w:w="1248"/>
        <w:gridCol w:w="1248"/>
        <w:gridCol w:w="1248"/>
        <w:gridCol w:w="1248"/>
        <w:gridCol w:w="1248"/>
        <w:gridCol w:w="12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5" w:type="pct"/>
            <w:vAlign w:val="center"/>
          </w:tcPr>
          <w:p>
            <w:pPr>
              <w:numPr>
                <w:ilvl w:val="0"/>
                <w:numId w:val="0"/>
              </w:numPr>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仪器名称</w:t>
            </w:r>
          </w:p>
        </w:tc>
        <w:tc>
          <w:tcPr>
            <w:tcW w:w="449" w:type="pct"/>
            <w:vAlign w:val="center"/>
          </w:tcPr>
          <w:p>
            <w:pPr>
              <w:numPr>
                <w:ilvl w:val="0"/>
                <w:numId w:val="0"/>
              </w:numPr>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仪器</w:t>
            </w:r>
            <w:r>
              <w:rPr>
                <w:rFonts w:hint="eastAsia" w:ascii="Times New Roman" w:hAnsi="Times New Roman" w:eastAsia="宋体" w:cs="Times New Roman"/>
                <w:sz w:val="21"/>
                <w:szCs w:val="21"/>
                <w:vertAlign w:val="baseline"/>
                <w:lang w:val="en-US" w:eastAsia="zh-CN"/>
              </w:rPr>
              <w:t>型号</w:t>
            </w:r>
          </w:p>
        </w:tc>
        <w:tc>
          <w:tcPr>
            <w:tcW w:w="520" w:type="pct"/>
            <w:vAlign w:val="center"/>
          </w:tcPr>
          <w:p>
            <w:pPr>
              <w:numPr>
                <w:ilvl w:val="0"/>
                <w:numId w:val="0"/>
              </w:numPr>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仪器编号</w:t>
            </w:r>
          </w:p>
        </w:tc>
        <w:tc>
          <w:tcPr>
            <w:tcW w:w="384" w:type="pc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校验日期</w:t>
            </w:r>
          </w:p>
        </w:tc>
        <w:tc>
          <w:tcPr>
            <w:tcW w:w="616" w:type="pc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校正项目</w:t>
            </w:r>
          </w:p>
        </w:tc>
        <w:tc>
          <w:tcPr>
            <w:tcW w:w="440" w:type="pc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标准值</w:t>
            </w:r>
          </w:p>
        </w:tc>
        <w:tc>
          <w:tcPr>
            <w:tcW w:w="440" w:type="pc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相对不确定度</w:t>
            </w:r>
          </w:p>
        </w:tc>
        <w:tc>
          <w:tcPr>
            <w:tcW w:w="440" w:type="pc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测定值</w:t>
            </w:r>
          </w:p>
        </w:tc>
        <w:tc>
          <w:tcPr>
            <w:tcW w:w="440" w:type="pc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相对误差</w:t>
            </w:r>
          </w:p>
        </w:tc>
        <w:tc>
          <w:tcPr>
            <w:tcW w:w="440" w:type="pct"/>
            <w:vAlign w:val="center"/>
          </w:tcPr>
          <w:p>
            <w:pPr>
              <w:numPr>
                <w:ilvl w:val="0"/>
                <w:numId w:val="0"/>
              </w:numPr>
              <w:spacing w:line="240" w:lineRule="auto"/>
              <w:jc w:val="center"/>
              <w:rPr>
                <w:rFonts w:hint="eastAsia"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要求</w:t>
            </w:r>
          </w:p>
        </w:tc>
        <w:tc>
          <w:tcPr>
            <w:tcW w:w="440" w:type="pct"/>
            <w:vAlign w:val="center"/>
          </w:tcPr>
          <w:p>
            <w:pPr>
              <w:numPr>
                <w:ilvl w:val="0"/>
                <w:numId w:val="0"/>
              </w:numPr>
              <w:spacing w:line="240" w:lineRule="auto"/>
              <w:jc w:val="center"/>
              <w:rPr>
                <w:rFonts w:hint="eastAsia"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仪器校准有效日期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5" w:type="pct"/>
            <w:vMerge w:val="restar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sz w:val="21"/>
                <w:szCs w:val="21"/>
                <w:vertAlign w:val="baseline"/>
                <w:lang w:val="en-US" w:eastAsia="zh-CN"/>
              </w:rPr>
            </w:pPr>
            <w:r>
              <w:rPr>
                <w:rFonts w:hint="eastAsia" w:ascii="宋体" w:hAnsi="宋体" w:eastAsia="宋体" w:cs="宋体"/>
                <w:i w:val="0"/>
                <w:color w:val="000000"/>
                <w:kern w:val="0"/>
                <w:sz w:val="21"/>
                <w:szCs w:val="21"/>
                <w:u w:val="none"/>
                <w:lang w:val="en-US" w:eastAsia="zh-CN" w:bidi="ar"/>
              </w:rPr>
              <w:t>低浓度自动烟尘烟气综合测试仪</w:t>
            </w:r>
          </w:p>
        </w:tc>
        <w:tc>
          <w:tcPr>
            <w:tcW w:w="449" w:type="pct"/>
            <w:vMerge w:val="restar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崂应3012H-D型</w:t>
            </w:r>
          </w:p>
        </w:tc>
        <w:tc>
          <w:tcPr>
            <w:tcW w:w="520" w:type="pct"/>
            <w:vMerge w:val="restar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i w:val="0"/>
                <w:color w:val="000000"/>
                <w:kern w:val="0"/>
                <w:sz w:val="21"/>
                <w:szCs w:val="21"/>
                <w:u w:val="none"/>
                <w:lang w:val="en-US" w:eastAsia="zh-CN" w:bidi="ar"/>
              </w:rPr>
              <w:t>GH-YQ-W</w:t>
            </w:r>
            <w:r>
              <w:rPr>
                <w:rFonts w:hint="eastAsia" w:cs="Times New Roman"/>
                <w:i w:val="0"/>
                <w:color w:val="000000"/>
                <w:kern w:val="0"/>
                <w:sz w:val="21"/>
                <w:szCs w:val="21"/>
                <w:u w:val="none"/>
                <w:lang w:val="en-US" w:eastAsia="zh-CN" w:bidi="ar"/>
              </w:rPr>
              <w:t>180</w:t>
            </w:r>
          </w:p>
        </w:tc>
        <w:tc>
          <w:tcPr>
            <w:tcW w:w="384" w:type="pct"/>
            <w:vMerge w:val="restar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w:t>
            </w:r>
            <w:r>
              <w:rPr>
                <w:rFonts w:hint="eastAsia" w:cs="Times New Roman"/>
                <w:sz w:val="21"/>
                <w:szCs w:val="21"/>
                <w:vertAlign w:val="baseline"/>
                <w:lang w:val="en-US" w:eastAsia="zh-CN"/>
              </w:rPr>
              <w:t>2</w:t>
            </w:r>
            <w:r>
              <w:rPr>
                <w:rFonts w:hint="eastAsia" w:ascii="Times New Roman" w:hAnsi="Times New Roman" w:eastAsia="宋体" w:cs="Times New Roman"/>
                <w:sz w:val="21"/>
                <w:szCs w:val="21"/>
                <w:vertAlign w:val="baseline"/>
                <w:lang w:val="en-US" w:eastAsia="zh-CN"/>
              </w:rPr>
              <w:t>-</w:t>
            </w:r>
            <w:r>
              <w:rPr>
                <w:rFonts w:hint="eastAsia" w:cs="Times New Roman"/>
                <w:sz w:val="21"/>
                <w:szCs w:val="21"/>
                <w:vertAlign w:val="baseline"/>
                <w:lang w:val="en-US" w:eastAsia="zh-CN"/>
              </w:rPr>
              <w:t>3</w:t>
            </w:r>
            <w:r>
              <w:rPr>
                <w:rFonts w:hint="eastAsia" w:ascii="Times New Roman" w:hAnsi="Times New Roman" w:eastAsia="宋体" w:cs="Times New Roman"/>
                <w:sz w:val="21"/>
                <w:szCs w:val="21"/>
                <w:vertAlign w:val="baseline"/>
                <w:lang w:val="en-US" w:eastAsia="zh-CN"/>
              </w:rPr>
              <w:t>-18</w:t>
            </w:r>
          </w:p>
        </w:tc>
        <w:tc>
          <w:tcPr>
            <w:tcW w:w="616" w:type="pct"/>
            <w:vAlign w:val="center"/>
          </w:tcPr>
          <w:p>
            <w:pPr>
              <w:numPr>
                <w:ilvl w:val="0"/>
                <w:numId w:val="0"/>
              </w:numPr>
              <w:spacing w:line="240" w:lineRule="auto"/>
              <w:ind w:left="0" w:leftChars="0" w:firstLine="0" w:firstLineChars="0"/>
              <w:jc w:val="center"/>
              <w:rPr>
                <w:rFonts w:hint="eastAsia"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二氧化硫mg/m</w:t>
            </w:r>
            <w:r>
              <w:rPr>
                <w:rFonts w:hint="eastAsia" w:ascii="Times New Roman" w:hAnsi="Times New Roman" w:eastAsia="宋体" w:cs="Times New Roman"/>
                <w:sz w:val="21"/>
                <w:szCs w:val="21"/>
                <w:vertAlign w:val="superscript"/>
                <w:lang w:val="en-US" w:eastAsia="zh-CN"/>
              </w:rPr>
              <w:t>3</w:t>
            </w:r>
          </w:p>
        </w:tc>
        <w:tc>
          <w:tcPr>
            <w:tcW w:w="440" w:type="pct"/>
            <w:vAlign w:val="center"/>
          </w:tcPr>
          <w:p>
            <w:pPr>
              <w:numPr>
                <w:ilvl w:val="0"/>
                <w:numId w:val="0"/>
              </w:numPr>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88.2</w:t>
            </w:r>
          </w:p>
        </w:tc>
        <w:tc>
          <w:tcPr>
            <w:tcW w:w="440" w:type="pct"/>
            <w:vAlign w:val="center"/>
          </w:tcPr>
          <w:p>
            <w:pPr>
              <w:numPr>
                <w:ilvl w:val="0"/>
                <w:numId w:val="0"/>
              </w:numPr>
              <w:spacing w:line="240" w:lineRule="auto"/>
              <w:ind w:left="0" w:leftChars="0" w:firstLine="0" w:firstLineChars="0"/>
              <w:jc w:val="center"/>
              <w:rPr>
                <w:rFonts w:hint="eastAsia"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w:t>
            </w:r>
          </w:p>
        </w:tc>
        <w:tc>
          <w:tcPr>
            <w:tcW w:w="440" w:type="pc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91.1</w:t>
            </w:r>
          </w:p>
        </w:tc>
        <w:tc>
          <w:tcPr>
            <w:tcW w:w="440" w:type="pct"/>
            <w:vAlign w:val="center"/>
          </w:tcPr>
          <w:p>
            <w:pPr>
              <w:numPr>
                <w:ilvl w:val="0"/>
                <w:numId w:val="0"/>
              </w:numPr>
              <w:spacing w:line="240" w:lineRule="auto"/>
              <w:jc w:val="center"/>
              <w:rPr>
                <w:rFonts w:hint="eastAsia"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3.2%</w:t>
            </w:r>
          </w:p>
        </w:tc>
        <w:tc>
          <w:tcPr>
            <w:tcW w:w="440" w:type="pc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±5%</w:t>
            </w:r>
          </w:p>
        </w:tc>
        <w:tc>
          <w:tcPr>
            <w:tcW w:w="440" w:type="pct"/>
            <w:vMerge w:val="restar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202</w:t>
            </w:r>
            <w:r>
              <w:rPr>
                <w:rFonts w:hint="eastAsia" w:cs="Times New Roman"/>
                <w:i w:val="0"/>
                <w:iCs w:val="0"/>
                <w:color w:val="000000"/>
                <w:kern w:val="0"/>
                <w:sz w:val="21"/>
                <w:szCs w:val="21"/>
                <w:u w:val="none"/>
                <w:lang w:val="en-US" w:eastAsia="zh-CN" w:bidi="ar"/>
              </w:rPr>
              <w:t>3</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3</w:t>
            </w:r>
            <w:r>
              <w:rPr>
                <w:rFonts w:hint="eastAsia" w:ascii="Times New Roman" w:hAnsi="Times New Roman" w:eastAsia="宋体" w:cs="Times New Roman"/>
                <w:i w:val="0"/>
                <w:iCs w:val="0"/>
                <w:color w:val="000000"/>
                <w:kern w:val="0"/>
                <w:sz w:val="21"/>
                <w:szCs w:val="21"/>
                <w:u w:val="none"/>
                <w:lang w:val="en-US" w:eastAsia="zh-CN" w:bidi="ar"/>
              </w:rPr>
              <w:t>-</w:t>
            </w:r>
            <w:r>
              <w:rPr>
                <w:rFonts w:hint="eastAsia" w:cs="Times New Roman"/>
                <w:i w:val="0"/>
                <w:iCs w:val="0"/>
                <w:color w:val="000000"/>
                <w:kern w:val="0"/>
                <w:sz w:val="21"/>
                <w:szCs w:val="21"/>
                <w:u w:val="none"/>
                <w:lang w:val="en-US" w:eastAsia="zh-CN" w:bidi="ar"/>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5" w:type="pct"/>
            <w:vMerge w:val="continue"/>
            <w:vAlign w:val="center"/>
          </w:tcPr>
          <w:p>
            <w:pPr>
              <w:keepNext w:val="0"/>
              <w:keepLines w:val="0"/>
              <w:widowControl/>
              <w:suppressLineNumbers w:val="0"/>
              <w:jc w:val="center"/>
              <w:textAlignment w:val="center"/>
              <w:rPr>
                <w:rFonts w:hint="default" w:ascii="Times New Roman" w:hAnsi="Times New Roman" w:eastAsia="宋体" w:cs="Times New Roman"/>
                <w:sz w:val="21"/>
                <w:szCs w:val="21"/>
                <w:vertAlign w:val="baseline"/>
                <w:lang w:val="en-US" w:eastAsia="zh-CN"/>
              </w:rPr>
            </w:pPr>
          </w:p>
        </w:tc>
        <w:tc>
          <w:tcPr>
            <w:tcW w:w="449" w:type="pct"/>
            <w:vMerge w:val="continue"/>
            <w:vAlign w:val="center"/>
          </w:tcPr>
          <w:p>
            <w:pPr>
              <w:keepNext w:val="0"/>
              <w:keepLines w:val="0"/>
              <w:widowControl/>
              <w:suppressLineNumbers w:val="0"/>
              <w:jc w:val="center"/>
              <w:textAlignment w:val="center"/>
              <w:rPr>
                <w:rFonts w:hint="default" w:ascii="Times New Roman" w:hAnsi="Times New Roman" w:eastAsia="宋体" w:cs="Times New Roman"/>
                <w:sz w:val="21"/>
                <w:szCs w:val="21"/>
                <w:vertAlign w:val="baseline"/>
                <w:lang w:val="en-US" w:eastAsia="zh-CN"/>
              </w:rPr>
            </w:pPr>
          </w:p>
        </w:tc>
        <w:tc>
          <w:tcPr>
            <w:tcW w:w="520" w:type="pct"/>
            <w:vMerge w:val="continue"/>
            <w:vAlign w:val="center"/>
          </w:tcPr>
          <w:p>
            <w:pPr>
              <w:keepNext w:val="0"/>
              <w:keepLines w:val="0"/>
              <w:widowControl/>
              <w:suppressLineNumbers w:val="0"/>
              <w:jc w:val="center"/>
              <w:textAlignment w:val="center"/>
              <w:rPr>
                <w:rFonts w:hint="default" w:ascii="Times New Roman" w:hAnsi="Times New Roman" w:eastAsia="宋体" w:cs="Times New Roman"/>
                <w:sz w:val="21"/>
                <w:szCs w:val="21"/>
                <w:vertAlign w:val="baseline"/>
                <w:lang w:val="en-US" w:eastAsia="zh-CN"/>
              </w:rPr>
            </w:pPr>
          </w:p>
        </w:tc>
        <w:tc>
          <w:tcPr>
            <w:tcW w:w="384" w:type="pct"/>
            <w:vMerge w:val="continue"/>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p>
        </w:tc>
        <w:tc>
          <w:tcPr>
            <w:tcW w:w="616" w:type="pct"/>
            <w:vAlign w:val="center"/>
          </w:tcPr>
          <w:p>
            <w:pPr>
              <w:numPr>
                <w:ilvl w:val="0"/>
                <w:numId w:val="0"/>
              </w:numPr>
              <w:spacing w:line="240" w:lineRule="auto"/>
              <w:ind w:left="0" w:leftChars="0" w:firstLine="0" w:firstLineChars="0"/>
              <w:jc w:val="center"/>
              <w:rPr>
                <w:rFonts w:hint="eastAsia"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二氧化硫mg/m</w:t>
            </w:r>
            <w:r>
              <w:rPr>
                <w:rFonts w:hint="eastAsia" w:ascii="Times New Roman" w:hAnsi="Times New Roman" w:eastAsia="宋体" w:cs="Times New Roman"/>
                <w:sz w:val="21"/>
                <w:szCs w:val="21"/>
                <w:vertAlign w:val="superscript"/>
                <w:lang w:val="en-US" w:eastAsia="zh-CN"/>
              </w:rPr>
              <w:t>3</w:t>
            </w:r>
          </w:p>
        </w:tc>
        <w:tc>
          <w:tcPr>
            <w:tcW w:w="440" w:type="pct"/>
            <w:vAlign w:val="center"/>
          </w:tcPr>
          <w:p>
            <w:pPr>
              <w:numPr>
                <w:ilvl w:val="0"/>
                <w:numId w:val="0"/>
              </w:numPr>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595</w:t>
            </w:r>
          </w:p>
        </w:tc>
        <w:tc>
          <w:tcPr>
            <w:tcW w:w="440" w:type="pct"/>
            <w:vAlign w:val="center"/>
          </w:tcPr>
          <w:p>
            <w:pPr>
              <w:numPr>
                <w:ilvl w:val="0"/>
                <w:numId w:val="0"/>
              </w:numPr>
              <w:spacing w:line="240" w:lineRule="auto"/>
              <w:ind w:left="0" w:leftChars="0" w:firstLine="0" w:firstLineChars="0"/>
              <w:jc w:val="center"/>
              <w:rPr>
                <w:rFonts w:hint="eastAsia"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w:t>
            </w:r>
          </w:p>
        </w:tc>
        <w:tc>
          <w:tcPr>
            <w:tcW w:w="440" w:type="pc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611</w:t>
            </w:r>
          </w:p>
        </w:tc>
        <w:tc>
          <w:tcPr>
            <w:tcW w:w="440" w:type="pc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2.6%</w:t>
            </w:r>
          </w:p>
        </w:tc>
        <w:tc>
          <w:tcPr>
            <w:tcW w:w="440" w:type="pc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±5%</w:t>
            </w:r>
          </w:p>
        </w:tc>
        <w:tc>
          <w:tcPr>
            <w:tcW w:w="440" w:type="pct"/>
            <w:vMerge w:val="continue"/>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5" w:type="pct"/>
            <w:vMerge w:val="continue"/>
            <w:vAlign w:val="center"/>
          </w:tcPr>
          <w:p>
            <w:pPr>
              <w:keepNext w:val="0"/>
              <w:keepLines w:val="0"/>
              <w:widowControl/>
              <w:suppressLineNumbers w:val="0"/>
              <w:jc w:val="center"/>
              <w:textAlignment w:val="center"/>
              <w:rPr>
                <w:rFonts w:hint="default" w:ascii="Times New Roman" w:hAnsi="Times New Roman" w:eastAsia="宋体" w:cs="Times New Roman"/>
                <w:sz w:val="21"/>
                <w:szCs w:val="21"/>
                <w:vertAlign w:val="baseline"/>
                <w:lang w:val="en-US" w:eastAsia="zh-CN"/>
              </w:rPr>
            </w:pPr>
          </w:p>
        </w:tc>
        <w:tc>
          <w:tcPr>
            <w:tcW w:w="449" w:type="pct"/>
            <w:vMerge w:val="continue"/>
            <w:vAlign w:val="center"/>
          </w:tcPr>
          <w:p>
            <w:pPr>
              <w:keepNext w:val="0"/>
              <w:keepLines w:val="0"/>
              <w:widowControl/>
              <w:suppressLineNumbers w:val="0"/>
              <w:jc w:val="center"/>
              <w:textAlignment w:val="center"/>
              <w:rPr>
                <w:rFonts w:hint="default" w:ascii="Times New Roman" w:hAnsi="Times New Roman" w:eastAsia="宋体" w:cs="Times New Roman"/>
                <w:sz w:val="21"/>
                <w:szCs w:val="21"/>
                <w:vertAlign w:val="baseline"/>
                <w:lang w:val="en-US" w:eastAsia="zh-CN"/>
              </w:rPr>
            </w:pPr>
          </w:p>
        </w:tc>
        <w:tc>
          <w:tcPr>
            <w:tcW w:w="520" w:type="pct"/>
            <w:vMerge w:val="continue"/>
            <w:vAlign w:val="center"/>
          </w:tcPr>
          <w:p>
            <w:pPr>
              <w:keepNext w:val="0"/>
              <w:keepLines w:val="0"/>
              <w:widowControl/>
              <w:suppressLineNumbers w:val="0"/>
              <w:jc w:val="center"/>
              <w:textAlignment w:val="center"/>
              <w:rPr>
                <w:rFonts w:hint="default" w:ascii="Times New Roman" w:hAnsi="Times New Roman" w:eastAsia="宋体" w:cs="Times New Roman"/>
                <w:sz w:val="21"/>
                <w:szCs w:val="21"/>
                <w:vertAlign w:val="baseline"/>
                <w:lang w:val="en-US" w:eastAsia="zh-CN"/>
              </w:rPr>
            </w:pPr>
          </w:p>
        </w:tc>
        <w:tc>
          <w:tcPr>
            <w:tcW w:w="384" w:type="pct"/>
            <w:vMerge w:val="continue"/>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p>
        </w:tc>
        <w:tc>
          <w:tcPr>
            <w:tcW w:w="616" w:type="pct"/>
            <w:vAlign w:val="center"/>
          </w:tcPr>
          <w:p>
            <w:pPr>
              <w:numPr>
                <w:ilvl w:val="0"/>
                <w:numId w:val="0"/>
              </w:numPr>
              <w:spacing w:line="240" w:lineRule="auto"/>
              <w:ind w:left="0" w:leftChars="0" w:firstLine="0" w:firstLineChars="0"/>
              <w:jc w:val="center"/>
              <w:rPr>
                <w:rFonts w:hint="eastAsia"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一氧化碳mg/m</w:t>
            </w:r>
            <w:r>
              <w:rPr>
                <w:rFonts w:hint="eastAsia" w:ascii="Times New Roman" w:hAnsi="Times New Roman" w:eastAsia="宋体" w:cs="Times New Roman"/>
                <w:sz w:val="21"/>
                <w:szCs w:val="21"/>
                <w:vertAlign w:val="superscript"/>
                <w:lang w:val="en-US" w:eastAsia="zh-CN"/>
              </w:rPr>
              <w:t>3</w:t>
            </w:r>
          </w:p>
        </w:tc>
        <w:tc>
          <w:tcPr>
            <w:tcW w:w="440" w:type="pct"/>
            <w:vAlign w:val="center"/>
          </w:tcPr>
          <w:p>
            <w:pPr>
              <w:numPr>
                <w:ilvl w:val="0"/>
                <w:numId w:val="0"/>
              </w:numPr>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49.8</w:t>
            </w:r>
          </w:p>
        </w:tc>
        <w:tc>
          <w:tcPr>
            <w:tcW w:w="440" w:type="pct"/>
            <w:vAlign w:val="center"/>
          </w:tcPr>
          <w:p>
            <w:pPr>
              <w:numPr>
                <w:ilvl w:val="0"/>
                <w:numId w:val="0"/>
              </w:numPr>
              <w:spacing w:line="240" w:lineRule="auto"/>
              <w:ind w:left="0" w:leftChars="0" w:firstLine="0" w:firstLineChars="0"/>
              <w:jc w:val="center"/>
              <w:rPr>
                <w:rFonts w:hint="eastAsia"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w:t>
            </w:r>
          </w:p>
        </w:tc>
        <w:tc>
          <w:tcPr>
            <w:tcW w:w="440" w:type="pc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51.2</w:t>
            </w:r>
          </w:p>
        </w:tc>
        <w:tc>
          <w:tcPr>
            <w:tcW w:w="440" w:type="pct"/>
            <w:vAlign w:val="center"/>
          </w:tcPr>
          <w:p>
            <w:pPr>
              <w:numPr>
                <w:ilvl w:val="0"/>
                <w:numId w:val="0"/>
              </w:numPr>
              <w:spacing w:line="240" w:lineRule="auto"/>
              <w:jc w:val="center"/>
              <w:rPr>
                <w:rFonts w:hint="eastAsia"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2.7%</w:t>
            </w:r>
          </w:p>
        </w:tc>
        <w:tc>
          <w:tcPr>
            <w:tcW w:w="440" w:type="pc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±5%</w:t>
            </w:r>
          </w:p>
        </w:tc>
        <w:tc>
          <w:tcPr>
            <w:tcW w:w="440" w:type="pct"/>
            <w:vMerge w:val="continue"/>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5" w:type="pct"/>
            <w:vMerge w:val="continue"/>
            <w:vAlign w:val="center"/>
          </w:tcPr>
          <w:p>
            <w:pPr>
              <w:keepNext w:val="0"/>
              <w:keepLines w:val="0"/>
              <w:widowControl/>
              <w:suppressLineNumbers w:val="0"/>
              <w:jc w:val="center"/>
              <w:textAlignment w:val="center"/>
              <w:rPr>
                <w:rFonts w:hint="default" w:ascii="Times New Roman" w:hAnsi="Times New Roman" w:eastAsia="宋体" w:cs="Times New Roman"/>
                <w:sz w:val="21"/>
                <w:szCs w:val="21"/>
                <w:vertAlign w:val="baseline"/>
                <w:lang w:val="en-US" w:eastAsia="zh-CN"/>
              </w:rPr>
            </w:pPr>
          </w:p>
        </w:tc>
        <w:tc>
          <w:tcPr>
            <w:tcW w:w="449" w:type="pct"/>
            <w:vMerge w:val="continue"/>
            <w:vAlign w:val="center"/>
          </w:tcPr>
          <w:p>
            <w:pPr>
              <w:keepNext w:val="0"/>
              <w:keepLines w:val="0"/>
              <w:widowControl/>
              <w:suppressLineNumbers w:val="0"/>
              <w:jc w:val="center"/>
              <w:textAlignment w:val="center"/>
              <w:rPr>
                <w:rFonts w:hint="default" w:ascii="Times New Roman" w:hAnsi="Times New Roman" w:eastAsia="宋体" w:cs="Times New Roman"/>
                <w:sz w:val="21"/>
                <w:szCs w:val="21"/>
                <w:vertAlign w:val="baseline"/>
                <w:lang w:val="en-US" w:eastAsia="zh-CN"/>
              </w:rPr>
            </w:pPr>
          </w:p>
        </w:tc>
        <w:tc>
          <w:tcPr>
            <w:tcW w:w="520" w:type="pct"/>
            <w:vMerge w:val="continue"/>
            <w:vAlign w:val="center"/>
          </w:tcPr>
          <w:p>
            <w:pPr>
              <w:keepNext w:val="0"/>
              <w:keepLines w:val="0"/>
              <w:widowControl/>
              <w:suppressLineNumbers w:val="0"/>
              <w:jc w:val="center"/>
              <w:textAlignment w:val="center"/>
              <w:rPr>
                <w:rFonts w:hint="default" w:ascii="Times New Roman" w:hAnsi="Times New Roman" w:eastAsia="宋体" w:cs="Times New Roman"/>
                <w:sz w:val="21"/>
                <w:szCs w:val="21"/>
                <w:vertAlign w:val="baseline"/>
                <w:lang w:val="en-US" w:eastAsia="zh-CN"/>
              </w:rPr>
            </w:pPr>
          </w:p>
        </w:tc>
        <w:tc>
          <w:tcPr>
            <w:tcW w:w="384" w:type="pct"/>
            <w:vMerge w:val="continue"/>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p>
        </w:tc>
        <w:tc>
          <w:tcPr>
            <w:tcW w:w="616" w:type="pct"/>
            <w:vAlign w:val="center"/>
          </w:tcPr>
          <w:p>
            <w:pPr>
              <w:numPr>
                <w:ilvl w:val="0"/>
                <w:numId w:val="0"/>
              </w:numPr>
              <w:spacing w:line="240" w:lineRule="auto"/>
              <w:ind w:left="0" w:leftChars="0" w:firstLine="0" w:firstLineChars="0"/>
              <w:jc w:val="center"/>
              <w:rPr>
                <w:rFonts w:hint="eastAsia"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二氧化氮mg/m</w:t>
            </w:r>
            <w:r>
              <w:rPr>
                <w:rFonts w:hint="eastAsia" w:ascii="Times New Roman" w:hAnsi="Times New Roman" w:eastAsia="宋体" w:cs="Times New Roman"/>
                <w:sz w:val="21"/>
                <w:szCs w:val="21"/>
                <w:vertAlign w:val="superscript"/>
                <w:lang w:val="en-US" w:eastAsia="zh-CN"/>
              </w:rPr>
              <w:t>3</w:t>
            </w:r>
          </w:p>
        </w:tc>
        <w:tc>
          <w:tcPr>
            <w:tcW w:w="440" w:type="pct"/>
            <w:vAlign w:val="center"/>
          </w:tcPr>
          <w:p>
            <w:pPr>
              <w:numPr>
                <w:ilvl w:val="0"/>
                <w:numId w:val="0"/>
              </w:numPr>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102</w:t>
            </w:r>
          </w:p>
        </w:tc>
        <w:tc>
          <w:tcPr>
            <w:tcW w:w="440" w:type="pct"/>
            <w:vAlign w:val="center"/>
          </w:tcPr>
          <w:p>
            <w:pPr>
              <w:numPr>
                <w:ilvl w:val="0"/>
                <w:numId w:val="0"/>
              </w:numPr>
              <w:spacing w:line="240" w:lineRule="auto"/>
              <w:ind w:left="0" w:leftChars="0" w:firstLine="0" w:firstLineChars="0"/>
              <w:jc w:val="center"/>
              <w:rPr>
                <w:rFonts w:hint="eastAsia"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w:t>
            </w:r>
          </w:p>
        </w:tc>
        <w:tc>
          <w:tcPr>
            <w:tcW w:w="440" w:type="pc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100</w:t>
            </w:r>
          </w:p>
        </w:tc>
        <w:tc>
          <w:tcPr>
            <w:tcW w:w="440" w:type="pct"/>
            <w:vAlign w:val="center"/>
          </w:tcPr>
          <w:p>
            <w:pPr>
              <w:numPr>
                <w:ilvl w:val="0"/>
                <w:numId w:val="0"/>
              </w:numPr>
              <w:spacing w:line="240" w:lineRule="auto"/>
              <w:jc w:val="center"/>
              <w:rPr>
                <w:rFonts w:hint="eastAsia"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w:t>
            </w:r>
          </w:p>
        </w:tc>
        <w:tc>
          <w:tcPr>
            <w:tcW w:w="440" w:type="pc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±5%</w:t>
            </w:r>
          </w:p>
        </w:tc>
        <w:tc>
          <w:tcPr>
            <w:tcW w:w="440" w:type="pct"/>
            <w:vMerge w:val="continue"/>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5" w:type="pct"/>
            <w:vMerge w:val="continue"/>
            <w:vAlign w:val="center"/>
          </w:tcPr>
          <w:p>
            <w:pPr>
              <w:keepNext w:val="0"/>
              <w:keepLines w:val="0"/>
              <w:widowControl/>
              <w:suppressLineNumbers w:val="0"/>
              <w:jc w:val="center"/>
              <w:textAlignment w:val="center"/>
              <w:rPr>
                <w:rFonts w:hint="default" w:ascii="Times New Roman" w:hAnsi="Times New Roman" w:eastAsia="宋体" w:cs="Times New Roman"/>
                <w:sz w:val="21"/>
                <w:szCs w:val="21"/>
                <w:vertAlign w:val="baseline"/>
                <w:lang w:val="en-US" w:eastAsia="zh-CN"/>
              </w:rPr>
            </w:pPr>
          </w:p>
        </w:tc>
        <w:tc>
          <w:tcPr>
            <w:tcW w:w="449" w:type="pct"/>
            <w:vMerge w:val="continue"/>
            <w:vAlign w:val="center"/>
          </w:tcPr>
          <w:p>
            <w:pPr>
              <w:keepNext w:val="0"/>
              <w:keepLines w:val="0"/>
              <w:widowControl/>
              <w:suppressLineNumbers w:val="0"/>
              <w:jc w:val="center"/>
              <w:textAlignment w:val="center"/>
              <w:rPr>
                <w:rFonts w:hint="default" w:ascii="Times New Roman" w:hAnsi="Times New Roman" w:eastAsia="宋体" w:cs="Times New Roman"/>
                <w:sz w:val="21"/>
                <w:szCs w:val="21"/>
                <w:vertAlign w:val="baseline"/>
                <w:lang w:val="en-US" w:eastAsia="zh-CN"/>
              </w:rPr>
            </w:pPr>
          </w:p>
        </w:tc>
        <w:tc>
          <w:tcPr>
            <w:tcW w:w="520" w:type="pct"/>
            <w:vMerge w:val="continue"/>
            <w:vAlign w:val="center"/>
          </w:tcPr>
          <w:p>
            <w:pPr>
              <w:keepNext w:val="0"/>
              <w:keepLines w:val="0"/>
              <w:widowControl/>
              <w:suppressLineNumbers w:val="0"/>
              <w:jc w:val="center"/>
              <w:textAlignment w:val="center"/>
              <w:rPr>
                <w:rFonts w:hint="default" w:ascii="Times New Roman" w:hAnsi="Times New Roman" w:eastAsia="宋体" w:cs="Times New Roman"/>
                <w:sz w:val="21"/>
                <w:szCs w:val="21"/>
                <w:vertAlign w:val="baseline"/>
                <w:lang w:val="en-US" w:eastAsia="zh-CN"/>
              </w:rPr>
            </w:pPr>
          </w:p>
        </w:tc>
        <w:tc>
          <w:tcPr>
            <w:tcW w:w="384" w:type="pct"/>
            <w:vMerge w:val="continue"/>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p>
        </w:tc>
        <w:tc>
          <w:tcPr>
            <w:tcW w:w="616" w:type="pct"/>
            <w:vAlign w:val="center"/>
          </w:tcPr>
          <w:p>
            <w:pPr>
              <w:numPr>
                <w:ilvl w:val="0"/>
                <w:numId w:val="0"/>
              </w:numPr>
              <w:spacing w:line="240" w:lineRule="auto"/>
              <w:ind w:left="0" w:leftChars="0" w:firstLine="0" w:firstLineChars="0"/>
              <w:jc w:val="center"/>
              <w:rPr>
                <w:rFonts w:hint="eastAsia"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一氧化氮mg/m</w:t>
            </w:r>
            <w:r>
              <w:rPr>
                <w:rFonts w:hint="eastAsia" w:ascii="Times New Roman" w:hAnsi="Times New Roman" w:eastAsia="宋体" w:cs="Times New Roman"/>
                <w:sz w:val="21"/>
                <w:szCs w:val="21"/>
                <w:vertAlign w:val="superscript"/>
                <w:lang w:val="en-US" w:eastAsia="zh-CN"/>
              </w:rPr>
              <w:t>3</w:t>
            </w:r>
          </w:p>
        </w:tc>
        <w:tc>
          <w:tcPr>
            <w:tcW w:w="440" w:type="pct"/>
            <w:vAlign w:val="center"/>
          </w:tcPr>
          <w:p>
            <w:pPr>
              <w:numPr>
                <w:ilvl w:val="0"/>
                <w:numId w:val="0"/>
              </w:numPr>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302</w:t>
            </w:r>
          </w:p>
        </w:tc>
        <w:tc>
          <w:tcPr>
            <w:tcW w:w="440" w:type="pct"/>
            <w:vAlign w:val="center"/>
          </w:tcPr>
          <w:p>
            <w:pPr>
              <w:numPr>
                <w:ilvl w:val="0"/>
                <w:numId w:val="0"/>
              </w:numPr>
              <w:spacing w:line="240" w:lineRule="auto"/>
              <w:ind w:left="0" w:leftChars="0" w:firstLine="0" w:firstLineChars="0"/>
              <w:jc w:val="center"/>
              <w:rPr>
                <w:rFonts w:hint="eastAsia"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w:t>
            </w:r>
          </w:p>
        </w:tc>
        <w:tc>
          <w:tcPr>
            <w:tcW w:w="440" w:type="pc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292</w:t>
            </w:r>
          </w:p>
        </w:tc>
        <w:tc>
          <w:tcPr>
            <w:tcW w:w="440" w:type="pct"/>
            <w:vAlign w:val="center"/>
          </w:tcPr>
          <w:p>
            <w:pPr>
              <w:numPr>
                <w:ilvl w:val="0"/>
                <w:numId w:val="0"/>
              </w:numPr>
              <w:spacing w:line="240" w:lineRule="auto"/>
              <w:jc w:val="center"/>
              <w:rPr>
                <w:rFonts w:hint="eastAsia"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-3.4%</w:t>
            </w:r>
          </w:p>
        </w:tc>
        <w:tc>
          <w:tcPr>
            <w:tcW w:w="440" w:type="pc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±5%</w:t>
            </w:r>
          </w:p>
        </w:tc>
        <w:tc>
          <w:tcPr>
            <w:tcW w:w="440" w:type="pct"/>
            <w:vMerge w:val="continue"/>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5" w:type="pct"/>
            <w:vMerge w:val="continue"/>
            <w:vAlign w:val="center"/>
          </w:tcPr>
          <w:p>
            <w:pPr>
              <w:keepNext w:val="0"/>
              <w:keepLines w:val="0"/>
              <w:widowControl/>
              <w:suppressLineNumbers w:val="0"/>
              <w:jc w:val="center"/>
              <w:textAlignment w:val="center"/>
              <w:rPr>
                <w:rFonts w:hint="default" w:ascii="Times New Roman" w:hAnsi="Times New Roman" w:eastAsia="宋体" w:cs="Times New Roman"/>
                <w:sz w:val="21"/>
                <w:szCs w:val="21"/>
                <w:vertAlign w:val="baseline"/>
                <w:lang w:val="en-US" w:eastAsia="zh-CN"/>
              </w:rPr>
            </w:pPr>
          </w:p>
        </w:tc>
        <w:tc>
          <w:tcPr>
            <w:tcW w:w="449" w:type="pct"/>
            <w:vMerge w:val="continue"/>
            <w:vAlign w:val="center"/>
          </w:tcPr>
          <w:p>
            <w:pPr>
              <w:keepNext w:val="0"/>
              <w:keepLines w:val="0"/>
              <w:widowControl/>
              <w:suppressLineNumbers w:val="0"/>
              <w:jc w:val="center"/>
              <w:textAlignment w:val="center"/>
              <w:rPr>
                <w:rFonts w:hint="default" w:ascii="Times New Roman" w:hAnsi="Times New Roman" w:eastAsia="宋体" w:cs="Times New Roman"/>
                <w:sz w:val="21"/>
                <w:szCs w:val="21"/>
                <w:vertAlign w:val="baseline"/>
                <w:lang w:val="en-US" w:eastAsia="zh-CN"/>
              </w:rPr>
            </w:pPr>
          </w:p>
        </w:tc>
        <w:tc>
          <w:tcPr>
            <w:tcW w:w="520" w:type="pct"/>
            <w:vMerge w:val="continue"/>
            <w:vAlign w:val="center"/>
          </w:tcPr>
          <w:p>
            <w:pPr>
              <w:keepNext w:val="0"/>
              <w:keepLines w:val="0"/>
              <w:widowControl/>
              <w:suppressLineNumbers w:val="0"/>
              <w:jc w:val="center"/>
              <w:textAlignment w:val="center"/>
              <w:rPr>
                <w:rFonts w:hint="default" w:ascii="Times New Roman" w:hAnsi="Times New Roman" w:eastAsia="宋体" w:cs="Times New Roman"/>
                <w:sz w:val="21"/>
                <w:szCs w:val="21"/>
                <w:vertAlign w:val="baseline"/>
                <w:lang w:val="en-US" w:eastAsia="zh-CN"/>
              </w:rPr>
            </w:pPr>
          </w:p>
        </w:tc>
        <w:tc>
          <w:tcPr>
            <w:tcW w:w="384" w:type="pct"/>
            <w:vMerge w:val="continue"/>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p>
        </w:tc>
        <w:tc>
          <w:tcPr>
            <w:tcW w:w="616" w:type="pct"/>
            <w:vAlign w:val="center"/>
          </w:tcPr>
          <w:p>
            <w:pPr>
              <w:numPr>
                <w:ilvl w:val="0"/>
                <w:numId w:val="0"/>
              </w:numPr>
              <w:spacing w:line="240" w:lineRule="auto"/>
              <w:ind w:left="0" w:leftChars="0" w:firstLine="0" w:firstLineChars="0"/>
              <w:jc w:val="center"/>
              <w:rPr>
                <w:rFonts w:hint="eastAsia"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含氧量mol/m</w:t>
            </w:r>
            <w:r>
              <w:rPr>
                <w:rFonts w:hint="eastAsia" w:ascii="Times New Roman" w:hAnsi="Times New Roman" w:eastAsia="宋体" w:cs="Times New Roman"/>
                <w:sz w:val="21"/>
                <w:szCs w:val="21"/>
                <w:vertAlign w:val="superscript"/>
                <w:lang w:val="en-US" w:eastAsia="zh-CN"/>
              </w:rPr>
              <w:t>2</w:t>
            </w:r>
          </w:p>
        </w:tc>
        <w:tc>
          <w:tcPr>
            <w:tcW w:w="440" w:type="pct"/>
            <w:vAlign w:val="center"/>
          </w:tcPr>
          <w:p>
            <w:pPr>
              <w:numPr>
                <w:ilvl w:val="0"/>
                <w:numId w:val="0"/>
              </w:numPr>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10.1</w:t>
            </w:r>
          </w:p>
        </w:tc>
        <w:tc>
          <w:tcPr>
            <w:tcW w:w="440" w:type="pct"/>
            <w:vAlign w:val="center"/>
          </w:tcPr>
          <w:p>
            <w:pPr>
              <w:numPr>
                <w:ilvl w:val="0"/>
                <w:numId w:val="0"/>
              </w:numPr>
              <w:spacing w:line="240" w:lineRule="auto"/>
              <w:ind w:left="0" w:leftChars="0" w:firstLine="0" w:firstLineChars="0"/>
              <w:jc w:val="center"/>
              <w:rPr>
                <w:rFonts w:hint="eastAsia"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w:t>
            </w:r>
          </w:p>
        </w:tc>
        <w:tc>
          <w:tcPr>
            <w:tcW w:w="440" w:type="pc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9.7</w:t>
            </w:r>
          </w:p>
        </w:tc>
        <w:tc>
          <w:tcPr>
            <w:tcW w:w="440" w:type="pct"/>
            <w:vAlign w:val="center"/>
          </w:tcPr>
          <w:p>
            <w:pPr>
              <w:numPr>
                <w:ilvl w:val="0"/>
                <w:numId w:val="0"/>
              </w:numPr>
              <w:spacing w:line="240" w:lineRule="auto"/>
              <w:jc w:val="center"/>
              <w:rPr>
                <w:rFonts w:hint="eastAsia"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-4.1%</w:t>
            </w:r>
          </w:p>
        </w:tc>
        <w:tc>
          <w:tcPr>
            <w:tcW w:w="440" w:type="pct"/>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±5%</w:t>
            </w:r>
          </w:p>
        </w:tc>
        <w:tc>
          <w:tcPr>
            <w:tcW w:w="440" w:type="pct"/>
            <w:vMerge w:val="continue"/>
            <w:vAlign w:val="center"/>
          </w:tcPr>
          <w:p>
            <w:pPr>
              <w:numPr>
                <w:ilvl w:val="0"/>
                <w:numId w:val="0"/>
              </w:numPr>
              <w:spacing w:line="240" w:lineRule="auto"/>
              <w:jc w:val="center"/>
              <w:rPr>
                <w:rFonts w:hint="default" w:ascii="Times New Roman" w:hAnsi="Times New Roman" w:eastAsia="宋体" w:cs="Times New Roman"/>
                <w:sz w:val="21"/>
                <w:szCs w:val="21"/>
                <w:vertAlign w:val="baseline"/>
                <w:lang w:val="en-US" w:eastAsia="zh-CN"/>
              </w:rPr>
            </w:pPr>
          </w:p>
        </w:tc>
      </w:tr>
    </w:tbl>
    <w:p>
      <w:pPr>
        <w:pStyle w:val="2"/>
        <w:ind w:left="0" w:leftChars="0" w:firstLine="0" w:firstLineChars="0"/>
        <w:sectPr>
          <w:pgSz w:w="16838" w:h="11906" w:orient="landscape"/>
          <w:pgMar w:top="1800" w:right="1440" w:bottom="1800" w:left="1440" w:header="850" w:footer="992" w:gutter="0"/>
          <w:pgNumType w:fmt="decimal"/>
          <w:cols w:space="425" w:num="1"/>
          <w:docGrid w:type="lines" w:linePitch="312" w:charSpace="0"/>
        </w:sectPr>
      </w:pPr>
    </w:p>
    <w:p>
      <w:pPr>
        <w:pStyle w:val="6"/>
        <w:keepNext/>
        <w:keepLines w:val="0"/>
        <w:pageBreakBefore w:val="0"/>
        <w:widowControl w:val="0"/>
        <w:kinsoku/>
        <w:wordWrap/>
        <w:overflowPunct/>
        <w:topLinePunct w:val="0"/>
        <w:autoSpaceDE/>
        <w:autoSpaceDN/>
        <w:bidi w:val="0"/>
        <w:adjustRightInd/>
        <w:snapToGrid/>
        <w:spacing w:beforeLines="0" w:afterLines="0"/>
        <w:textAlignment w:val="auto"/>
        <w:rPr>
          <w:rFonts w:hint="eastAsia" w:ascii="Times New Roman" w:hAnsi="Times New Roman" w:eastAsia="宋体" w:cs="Times New Roman"/>
          <w:color w:val="auto"/>
          <w:sz w:val="32"/>
          <w:szCs w:val="32"/>
        </w:rPr>
      </w:pPr>
      <w:bookmarkStart w:id="115" w:name="_Toc26200"/>
      <w:r>
        <w:rPr>
          <w:rFonts w:hint="eastAsia" w:ascii="Times New Roman" w:hAnsi="Times New Roman" w:eastAsia="宋体" w:cs="Times New Roman"/>
          <w:color w:val="auto"/>
          <w:sz w:val="32"/>
          <w:szCs w:val="32"/>
        </w:rPr>
        <w:t>8.</w:t>
      </w:r>
      <w:r>
        <w:rPr>
          <w:rFonts w:hint="eastAsia" w:ascii="Times New Roman" w:hAnsi="Times New Roman" w:eastAsia="宋体" w:cs="Times New Roman"/>
          <w:color w:val="auto"/>
          <w:sz w:val="32"/>
          <w:szCs w:val="32"/>
          <w:lang w:val="en-US" w:eastAsia="zh-CN"/>
        </w:rPr>
        <w:t>5</w:t>
      </w:r>
      <w:r>
        <w:rPr>
          <w:rFonts w:hint="eastAsia" w:cs="Times New Roman"/>
          <w:color w:val="auto"/>
          <w:sz w:val="32"/>
          <w:szCs w:val="32"/>
          <w:lang w:val="en-US" w:eastAsia="zh-CN"/>
        </w:rPr>
        <w:t>废水</w:t>
      </w:r>
      <w:r>
        <w:rPr>
          <w:rFonts w:hint="eastAsia" w:ascii="Times New Roman" w:hAnsi="Times New Roman" w:eastAsia="宋体" w:cs="Times New Roman"/>
          <w:color w:val="auto"/>
          <w:sz w:val="32"/>
          <w:szCs w:val="32"/>
        </w:rPr>
        <w:t>监测分析过程中的质量保证和质量控制</w:t>
      </w:r>
      <w:bookmarkEnd w:id="115"/>
    </w:p>
    <w:p>
      <w:pPr>
        <w:ind w:firstLine="480" w:firstLineChars="200"/>
        <w:rPr>
          <w:rFonts w:hint="eastAsia" w:ascii="Times New Roman" w:hAnsi="Times New Roman" w:eastAsia="黑体" w:cs="Times New Roman"/>
          <w:b w:val="0"/>
          <w:bCs w:val="0"/>
          <w:sz w:val="21"/>
          <w:szCs w:val="21"/>
          <w:lang w:val="en-US" w:eastAsia="zh-CN"/>
        </w:rPr>
      </w:pPr>
      <w:r>
        <w:t>水质监测分析过程中的质量保证和质量控制：按照《地表水和污水监测技术规范》（HJ/T 91-2002）和《环境水质监测质量保证手册》（第四版）要求采集、保存样品，采样时按</w:t>
      </w:r>
      <w:r>
        <w:rPr>
          <w:rFonts w:hint="eastAsia"/>
        </w:rPr>
        <w:t>至少</w:t>
      </w:r>
      <w:r>
        <w:t>10%的比例加采密码平行样，统一编号分析。实验室分析人员按分析质量控制规定按</w:t>
      </w:r>
      <w:r>
        <w:rPr>
          <w:rFonts w:hint="eastAsia"/>
        </w:rPr>
        <w:t>至少</w:t>
      </w:r>
      <w:r>
        <w:t>总样品量的10%加测平行双样，每批样品同时测定一对空白试验。</w:t>
      </w:r>
    </w:p>
    <w:p>
      <w:pPr>
        <w:jc w:val="center"/>
        <w:rPr>
          <w:rFonts w:hint="eastAsia" w:ascii="Times New Roman" w:hAnsi="Times New Roman" w:eastAsia="黑体" w:cs="Times New Roman"/>
          <w:b w:val="0"/>
          <w:bCs w:val="0"/>
          <w:sz w:val="21"/>
          <w:szCs w:val="21"/>
          <w:lang w:val="en-US" w:eastAsia="zh-CN"/>
        </w:rPr>
      </w:pPr>
      <w:r>
        <w:rPr>
          <w:rFonts w:hint="eastAsia" w:ascii="Times New Roman" w:hAnsi="Times New Roman" w:eastAsia="黑体" w:cs="Times New Roman"/>
          <w:b w:val="0"/>
          <w:bCs w:val="0"/>
          <w:sz w:val="21"/>
          <w:szCs w:val="21"/>
          <w:lang w:val="en-US" w:eastAsia="zh-CN"/>
        </w:rPr>
        <w:t>表8.5-1  水质检测质量控制措施</w:t>
      </w:r>
    </w:p>
    <w:tbl>
      <w:tblPr>
        <w:tblStyle w:val="1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5"/>
        <w:gridCol w:w="869"/>
        <w:gridCol w:w="975"/>
        <w:gridCol w:w="1069"/>
        <w:gridCol w:w="897"/>
        <w:gridCol w:w="990"/>
        <w:gridCol w:w="1312"/>
        <w:gridCol w:w="1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3" w:type="pct"/>
            <w:vMerge w:val="restart"/>
            <w:noWrap w:val="0"/>
            <w:vAlign w:val="center"/>
          </w:tcPr>
          <w:p>
            <w:pPr>
              <w:snapToGrid w:val="0"/>
              <w:spacing w:line="240" w:lineRule="auto"/>
              <w:jc w:val="center"/>
              <w:rPr>
                <w:sz w:val="21"/>
                <w:szCs w:val="21"/>
              </w:rPr>
            </w:pPr>
            <w:r>
              <w:rPr>
                <w:sz w:val="21"/>
                <w:szCs w:val="21"/>
              </w:rPr>
              <w:t>污染物</w:t>
            </w:r>
          </w:p>
        </w:tc>
        <w:tc>
          <w:tcPr>
            <w:tcW w:w="510" w:type="pct"/>
            <w:vMerge w:val="restart"/>
            <w:noWrap w:val="0"/>
            <w:vAlign w:val="center"/>
          </w:tcPr>
          <w:p>
            <w:pPr>
              <w:snapToGrid w:val="0"/>
              <w:spacing w:line="240" w:lineRule="auto"/>
              <w:jc w:val="center"/>
              <w:rPr>
                <w:sz w:val="21"/>
                <w:szCs w:val="21"/>
              </w:rPr>
            </w:pPr>
            <w:r>
              <w:rPr>
                <w:sz w:val="21"/>
                <w:szCs w:val="21"/>
              </w:rPr>
              <w:t>样品数</w:t>
            </w:r>
          </w:p>
        </w:tc>
        <w:tc>
          <w:tcPr>
            <w:tcW w:w="1199" w:type="pct"/>
            <w:gridSpan w:val="2"/>
            <w:noWrap w:val="0"/>
            <w:vAlign w:val="center"/>
          </w:tcPr>
          <w:p>
            <w:pPr>
              <w:snapToGrid w:val="0"/>
              <w:spacing w:line="240" w:lineRule="auto"/>
              <w:jc w:val="center"/>
              <w:rPr>
                <w:rFonts w:hint="eastAsia"/>
                <w:sz w:val="21"/>
                <w:szCs w:val="21"/>
              </w:rPr>
            </w:pPr>
            <w:r>
              <w:rPr>
                <w:rFonts w:hint="eastAsia"/>
                <w:sz w:val="21"/>
                <w:szCs w:val="21"/>
              </w:rPr>
              <w:t>空白</w:t>
            </w:r>
          </w:p>
        </w:tc>
        <w:tc>
          <w:tcPr>
            <w:tcW w:w="1107" w:type="pct"/>
            <w:gridSpan w:val="2"/>
            <w:noWrap w:val="0"/>
            <w:vAlign w:val="center"/>
          </w:tcPr>
          <w:p>
            <w:pPr>
              <w:snapToGrid w:val="0"/>
              <w:spacing w:line="240" w:lineRule="auto"/>
              <w:jc w:val="center"/>
              <w:rPr>
                <w:sz w:val="21"/>
                <w:szCs w:val="21"/>
              </w:rPr>
            </w:pPr>
            <w:r>
              <w:rPr>
                <w:rFonts w:hint="eastAsia"/>
                <w:sz w:val="21"/>
                <w:szCs w:val="21"/>
              </w:rPr>
              <w:t>平行</w:t>
            </w:r>
          </w:p>
        </w:tc>
        <w:tc>
          <w:tcPr>
            <w:tcW w:w="770" w:type="pct"/>
            <w:vMerge w:val="restart"/>
            <w:noWrap w:val="0"/>
            <w:vAlign w:val="center"/>
          </w:tcPr>
          <w:p>
            <w:pPr>
              <w:snapToGrid w:val="0"/>
              <w:spacing w:line="240" w:lineRule="auto"/>
              <w:jc w:val="center"/>
              <w:rPr>
                <w:sz w:val="21"/>
                <w:szCs w:val="21"/>
              </w:rPr>
            </w:pPr>
            <w:r>
              <w:rPr>
                <w:rFonts w:hint="eastAsia"/>
                <w:sz w:val="21"/>
                <w:szCs w:val="21"/>
              </w:rPr>
              <w:t>加标回收率</w:t>
            </w:r>
          </w:p>
        </w:tc>
        <w:tc>
          <w:tcPr>
            <w:tcW w:w="629" w:type="pct"/>
            <w:vMerge w:val="restart"/>
            <w:noWrap w:val="0"/>
            <w:vAlign w:val="center"/>
          </w:tcPr>
          <w:p>
            <w:pPr>
              <w:snapToGrid w:val="0"/>
              <w:spacing w:line="240" w:lineRule="auto"/>
              <w:jc w:val="center"/>
              <w:rPr>
                <w:sz w:val="21"/>
                <w:szCs w:val="21"/>
              </w:rPr>
            </w:pPr>
            <w:r>
              <w:rPr>
                <w:rFonts w:hint="eastAsia"/>
                <w:sz w:val="21"/>
                <w:szCs w:val="21"/>
              </w:rPr>
              <w:t>相对偏差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3" w:type="pct"/>
            <w:vMerge w:val="continue"/>
            <w:noWrap w:val="0"/>
            <w:vAlign w:val="center"/>
          </w:tcPr>
          <w:p>
            <w:pPr>
              <w:snapToGrid w:val="0"/>
              <w:spacing w:line="240" w:lineRule="auto"/>
              <w:jc w:val="center"/>
              <w:rPr>
                <w:sz w:val="21"/>
                <w:szCs w:val="21"/>
              </w:rPr>
            </w:pPr>
          </w:p>
        </w:tc>
        <w:tc>
          <w:tcPr>
            <w:tcW w:w="510" w:type="pct"/>
            <w:vMerge w:val="continue"/>
            <w:noWrap w:val="0"/>
            <w:vAlign w:val="center"/>
          </w:tcPr>
          <w:p>
            <w:pPr>
              <w:snapToGrid w:val="0"/>
              <w:spacing w:line="240" w:lineRule="auto"/>
              <w:jc w:val="center"/>
              <w:rPr>
                <w:sz w:val="21"/>
                <w:szCs w:val="21"/>
              </w:rPr>
            </w:pPr>
          </w:p>
        </w:tc>
        <w:tc>
          <w:tcPr>
            <w:tcW w:w="572" w:type="pct"/>
            <w:noWrap w:val="0"/>
            <w:vAlign w:val="center"/>
          </w:tcPr>
          <w:p>
            <w:pPr>
              <w:snapToGrid w:val="0"/>
              <w:spacing w:line="240" w:lineRule="auto"/>
              <w:jc w:val="center"/>
              <w:rPr>
                <w:sz w:val="21"/>
                <w:szCs w:val="21"/>
              </w:rPr>
            </w:pPr>
            <w:r>
              <w:rPr>
                <w:rFonts w:hint="eastAsia"/>
                <w:sz w:val="21"/>
                <w:szCs w:val="21"/>
              </w:rPr>
              <w:t>个数</w:t>
            </w:r>
          </w:p>
        </w:tc>
        <w:tc>
          <w:tcPr>
            <w:tcW w:w="627" w:type="pct"/>
            <w:noWrap w:val="0"/>
            <w:vAlign w:val="center"/>
          </w:tcPr>
          <w:p>
            <w:pPr>
              <w:snapToGrid w:val="0"/>
              <w:spacing w:line="240" w:lineRule="auto"/>
              <w:jc w:val="center"/>
              <w:rPr>
                <w:sz w:val="21"/>
                <w:szCs w:val="21"/>
              </w:rPr>
            </w:pPr>
            <w:r>
              <w:rPr>
                <w:rFonts w:hint="eastAsia"/>
                <w:sz w:val="21"/>
                <w:szCs w:val="21"/>
              </w:rPr>
              <w:t>占比</w:t>
            </w:r>
          </w:p>
        </w:tc>
        <w:tc>
          <w:tcPr>
            <w:tcW w:w="526" w:type="pct"/>
            <w:noWrap w:val="0"/>
            <w:vAlign w:val="center"/>
          </w:tcPr>
          <w:p>
            <w:pPr>
              <w:snapToGrid w:val="0"/>
              <w:spacing w:line="240" w:lineRule="auto"/>
              <w:jc w:val="center"/>
              <w:rPr>
                <w:sz w:val="21"/>
                <w:szCs w:val="21"/>
              </w:rPr>
            </w:pPr>
            <w:r>
              <w:rPr>
                <w:rFonts w:hint="eastAsia"/>
                <w:sz w:val="21"/>
                <w:szCs w:val="21"/>
              </w:rPr>
              <w:t>个数</w:t>
            </w:r>
          </w:p>
        </w:tc>
        <w:tc>
          <w:tcPr>
            <w:tcW w:w="581" w:type="pct"/>
            <w:noWrap w:val="0"/>
            <w:vAlign w:val="center"/>
          </w:tcPr>
          <w:p>
            <w:pPr>
              <w:snapToGrid w:val="0"/>
              <w:spacing w:line="240" w:lineRule="auto"/>
              <w:jc w:val="center"/>
              <w:rPr>
                <w:sz w:val="21"/>
                <w:szCs w:val="21"/>
              </w:rPr>
            </w:pPr>
            <w:r>
              <w:rPr>
                <w:rFonts w:hint="eastAsia"/>
                <w:sz w:val="21"/>
                <w:szCs w:val="21"/>
              </w:rPr>
              <w:t>占比</w:t>
            </w:r>
          </w:p>
        </w:tc>
        <w:tc>
          <w:tcPr>
            <w:tcW w:w="770" w:type="pct"/>
            <w:vMerge w:val="continue"/>
            <w:noWrap w:val="0"/>
            <w:vAlign w:val="center"/>
          </w:tcPr>
          <w:p>
            <w:pPr>
              <w:snapToGrid w:val="0"/>
              <w:spacing w:line="240" w:lineRule="auto"/>
              <w:jc w:val="center"/>
              <w:rPr>
                <w:sz w:val="21"/>
                <w:szCs w:val="21"/>
              </w:rPr>
            </w:pPr>
          </w:p>
        </w:tc>
        <w:tc>
          <w:tcPr>
            <w:tcW w:w="629" w:type="pct"/>
            <w:vMerge w:val="continue"/>
            <w:noWrap w:val="0"/>
            <w:vAlign w:val="center"/>
          </w:tcPr>
          <w:p>
            <w:pPr>
              <w:snapToGrid w:val="0"/>
              <w:spacing w:line="240" w:lineRule="auto"/>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3" w:type="pct"/>
            <w:noWrap w:val="0"/>
            <w:vAlign w:val="center"/>
          </w:tcPr>
          <w:p>
            <w:pPr>
              <w:snapToGrid w:val="0"/>
              <w:spacing w:line="240" w:lineRule="auto"/>
              <w:jc w:val="center"/>
              <w:rPr>
                <w:sz w:val="21"/>
                <w:szCs w:val="21"/>
              </w:rPr>
            </w:pPr>
            <w:r>
              <w:rPr>
                <w:sz w:val="21"/>
                <w:szCs w:val="21"/>
              </w:rPr>
              <w:t>化学需氧量</w:t>
            </w:r>
          </w:p>
        </w:tc>
        <w:tc>
          <w:tcPr>
            <w:tcW w:w="510" w:type="pct"/>
            <w:noWrap w:val="0"/>
            <w:vAlign w:val="center"/>
          </w:tcPr>
          <w:p>
            <w:pPr>
              <w:snapToGrid w:val="0"/>
              <w:spacing w:line="240" w:lineRule="auto"/>
              <w:jc w:val="center"/>
              <w:rPr>
                <w:sz w:val="21"/>
                <w:szCs w:val="21"/>
              </w:rPr>
            </w:pPr>
            <w:r>
              <w:rPr>
                <w:rFonts w:hint="eastAsia"/>
                <w:sz w:val="21"/>
                <w:szCs w:val="21"/>
              </w:rPr>
              <w:t>8</w:t>
            </w:r>
          </w:p>
        </w:tc>
        <w:tc>
          <w:tcPr>
            <w:tcW w:w="572" w:type="pct"/>
            <w:noWrap w:val="0"/>
            <w:vAlign w:val="center"/>
          </w:tcPr>
          <w:p>
            <w:pPr>
              <w:snapToGrid w:val="0"/>
              <w:spacing w:line="240" w:lineRule="auto"/>
              <w:jc w:val="center"/>
              <w:rPr>
                <w:sz w:val="21"/>
                <w:szCs w:val="21"/>
              </w:rPr>
            </w:pPr>
            <w:r>
              <w:rPr>
                <w:rFonts w:hint="eastAsia"/>
                <w:sz w:val="21"/>
                <w:szCs w:val="21"/>
              </w:rPr>
              <w:t>2</w:t>
            </w:r>
          </w:p>
        </w:tc>
        <w:tc>
          <w:tcPr>
            <w:tcW w:w="627" w:type="pct"/>
            <w:noWrap w:val="0"/>
            <w:vAlign w:val="center"/>
          </w:tcPr>
          <w:p>
            <w:pPr>
              <w:snapToGrid w:val="0"/>
              <w:spacing w:line="240" w:lineRule="auto"/>
              <w:jc w:val="center"/>
              <w:rPr>
                <w:sz w:val="21"/>
                <w:szCs w:val="21"/>
              </w:rPr>
            </w:pPr>
            <w:r>
              <w:rPr>
                <w:rFonts w:hint="eastAsia"/>
                <w:sz w:val="21"/>
                <w:szCs w:val="21"/>
              </w:rPr>
              <w:t>25%</w:t>
            </w:r>
          </w:p>
        </w:tc>
        <w:tc>
          <w:tcPr>
            <w:tcW w:w="526" w:type="pct"/>
            <w:noWrap w:val="0"/>
            <w:vAlign w:val="center"/>
          </w:tcPr>
          <w:p>
            <w:pPr>
              <w:snapToGrid w:val="0"/>
              <w:spacing w:line="240" w:lineRule="auto"/>
              <w:jc w:val="center"/>
              <w:rPr>
                <w:sz w:val="21"/>
                <w:szCs w:val="21"/>
              </w:rPr>
            </w:pPr>
            <w:r>
              <w:rPr>
                <w:rFonts w:hint="eastAsia"/>
                <w:sz w:val="21"/>
                <w:szCs w:val="21"/>
              </w:rPr>
              <w:t>1</w:t>
            </w:r>
          </w:p>
        </w:tc>
        <w:tc>
          <w:tcPr>
            <w:tcW w:w="581" w:type="pct"/>
            <w:noWrap w:val="0"/>
            <w:vAlign w:val="center"/>
          </w:tcPr>
          <w:p>
            <w:pPr>
              <w:snapToGrid w:val="0"/>
              <w:spacing w:line="240" w:lineRule="auto"/>
              <w:jc w:val="center"/>
              <w:rPr>
                <w:sz w:val="21"/>
                <w:szCs w:val="21"/>
              </w:rPr>
            </w:pPr>
            <w:r>
              <w:rPr>
                <w:rFonts w:hint="eastAsia"/>
                <w:sz w:val="21"/>
                <w:szCs w:val="21"/>
              </w:rPr>
              <w:t>12.5%</w:t>
            </w:r>
          </w:p>
        </w:tc>
        <w:tc>
          <w:tcPr>
            <w:tcW w:w="770" w:type="pct"/>
            <w:noWrap w:val="0"/>
            <w:vAlign w:val="center"/>
          </w:tcPr>
          <w:p>
            <w:pPr>
              <w:snapToGrid w:val="0"/>
              <w:spacing w:line="240" w:lineRule="auto"/>
              <w:jc w:val="center"/>
              <w:rPr>
                <w:rFonts w:hint="eastAsia"/>
                <w:sz w:val="21"/>
                <w:szCs w:val="21"/>
              </w:rPr>
            </w:pPr>
            <w:r>
              <w:rPr>
                <w:rFonts w:hint="eastAsia"/>
                <w:sz w:val="21"/>
                <w:szCs w:val="21"/>
              </w:rPr>
              <w:t>/</w:t>
            </w:r>
          </w:p>
        </w:tc>
        <w:tc>
          <w:tcPr>
            <w:tcW w:w="629" w:type="pct"/>
            <w:noWrap w:val="0"/>
            <w:vAlign w:val="center"/>
          </w:tcPr>
          <w:p>
            <w:pPr>
              <w:snapToGrid w:val="0"/>
              <w:spacing w:line="240" w:lineRule="auto"/>
              <w:jc w:val="center"/>
              <w:rPr>
                <w:sz w:val="21"/>
                <w:szCs w:val="21"/>
              </w:rPr>
            </w:pPr>
            <w:r>
              <w:rPr>
                <w:rFonts w:hint="eastAsia"/>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3" w:type="pct"/>
            <w:noWrap w:val="0"/>
            <w:vAlign w:val="center"/>
          </w:tcPr>
          <w:p>
            <w:pPr>
              <w:snapToGrid w:val="0"/>
              <w:spacing w:line="240" w:lineRule="auto"/>
              <w:jc w:val="center"/>
              <w:rPr>
                <w:sz w:val="21"/>
                <w:szCs w:val="21"/>
              </w:rPr>
            </w:pPr>
            <w:r>
              <w:rPr>
                <w:rFonts w:hint="eastAsia"/>
                <w:sz w:val="21"/>
                <w:szCs w:val="21"/>
              </w:rPr>
              <w:t>氨氮</w:t>
            </w:r>
          </w:p>
        </w:tc>
        <w:tc>
          <w:tcPr>
            <w:tcW w:w="510" w:type="pct"/>
            <w:noWrap w:val="0"/>
            <w:vAlign w:val="center"/>
          </w:tcPr>
          <w:p>
            <w:pPr>
              <w:snapToGrid w:val="0"/>
              <w:spacing w:line="240" w:lineRule="auto"/>
              <w:jc w:val="center"/>
              <w:rPr>
                <w:sz w:val="21"/>
                <w:szCs w:val="21"/>
              </w:rPr>
            </w:pPr>
            <w:r>
              <w:rPr>
                <w:rFonts w:hint="eastAsia"/>
                <w:sz w:val="21"/>
                <w:szCs w:val="21"/>
              </w:rPr>
              <w:t>8</w:t>
            </w:r>
          </w:p>
        </w:tc>
        <w:tc>
          <w:tcPr>
            <w:tcW w:w="572" w:type="pct"/>
            <w:noWrap w:val="0"/>
            <w:vAlign w:val="center"/>
          </w:tcPr>
          <w:p>
            <w:pPr>
              <w:snapToGrid w:val="0"/>
              <w:spacing w:line="240" w:lineRule="auto"/>
              <w:jc w:val="center"/>
              <w:rPr>
                <w:rFonts w:hint="eastAsia"/>
                <w:sz w:val="21"/>
                <w:szCs w:val="21"/>
              </w:rPr>
            </w:pPr>
            <w:r>
              <w:rPr>
                <w:rFonts w:hint="eastAsia"/>
                <w:sz w:val="21"/>
                <w:szCs w:val="21"/>
              </w:rPr>
              <w:t>2</w:t>
            </w:r>
          </w:p>
        </w:tc>
        <w:tc>
          <w:tcPr>
            <w:tcW w:w="627" w:type="pct"/>
            <w:noWrap w:val="0"/>
            <w:vAlign w:val="center"/>
          </w:tcPr>
          <w:p>
            <w:pPr>
              <w:snapToGrid w:val="0"/>
              <w:spacing w:line="240" w:lineRule="auto"/>
              <w:jc w:val="center"/>
              <w:rPr>
                <w:sz w:val="21"/>
                <w:szCs w:val="21"/>
              </w:rPr>
            </w:pPr>
            <w:r>
              <w:rPr>
                <w:rFonts w:hint="eastAsia"/>
                <w:sz w:val="21"/>
                <w:szCs w:val="21"/>
              </w:rPr>
              <w:t>25%</w:t>
            </w:r>
          </w:p>
        </w:tc>
        <w:tc>
          <w:tcPr>
            <w:tcW w:w="526" w:type="pct"/>
            <w:noWrap w:val="0"/>
            <w:vAlign w:val="center"/>
          </w:tcPr>
          <w:p>
            <w:pPr>
              <w:snapToGrid w:val="0"/>
              <w:spacing w:line="240" w:lineRule="auto"/>
              <w:jc w:val="center"/>
              <w:rPr>
                <w:sz w:val="21"/>
                <w:szCs w:val="21"/>
              </w:rPr>
            </w:pPr>
            <w:r>
              <w:rPr>
                <w:rFonts w:hint="eastAsia"/>
                <w:sz w:val="21"/>
                <w:szCs w:val="21"/>
              </w:rPr>
              <w:t>1</w:t>
            </w:r>
          </w:p>
        </w:tc>
        <w:tc>
          <w:tcPr>
            <w:tcW w:w="581" w:type="pct"/>
            <w:noWrap w:val="0"/>
            <w:vAlign w:val="center"/>
          </w:tcPr>
          <w:p>
            <w:pPr>
              <w:snapToGrid w:val="0"/>
              <w:spacing w:line="240" w:lineRule="auto"/>
              <w:jc w:val="center"/>
              <w:rPr>
                <w:sz w:val="21"/>
                <w:szCs w:val="21"/>
              </w:rPr>
            </w:pPr>
            <w:r>
              <w:rPr>
                <w:rFonts w:hint="eastAsia"/>
                <w:sz w:val="21"/>
                <w:szCs w:val="21"/>
              </w:rPr>
              <w:t>12.5%</w:t>
            </w:r>
          </w:p>
        </w:tc>
        <w:tc>
          <w:tcPr>
            <w:tcW w:w="770" w:type="pct"/>
            <w:noWrap w:val="0"/>
            <w:vAlign w:val="center"/>
          </w:tcPr>
          <w:p>
            <w:pPr>
              <w:snapToGrid w:val="0"/>
              <w:spacing w:line="240" w:lineRule="auto"/>
              <w:jc w:val="center"/>
              <w:rPr>
                <w:sz w:val="21"/>
                <w:szCs w:val="21"/>
              </w:rPr>
            </w:pPr>
            <w:r>
              <w:rPr>
                <w:rFonts w:hint="eastAsia"/>
                <w:sz w:val="21"/>
                <w:szCs w:val="21"/>
              </w:rPr>
              <w:t>101%</w:t>
            </w:r>
          </w:p>
        </w:tc>
        <w:tc>
          <w:tcPr>
            <w:tcW w:w="629" w:type="pct"/>
            <w:noWrap w:val="0"/>
            <w:vAlign w:val="center"/>
          </w:tcPr>
          <w:p>
            <w:pPr>
              <w:snapToGrid w:val="0"/>
              <w:spacing w:line="240" w:lineRule="auto"/>
              <w:jc w:val="center"/>
              <w:rPr>
                <w:sz w:val="21"/>
                <w:szCs w:val="21"/>
              </w:rPr>
            </w:pPr>
            <w:r>
              <w:rPr>
                <w:rFonts w:hint="eastAsia"/>
                <w:sz w:val="21"/>
                <w:szCs w:val="21"/>
              </w:rPr>
              <w:t>1.2%</w:t>
            </w:r>
          </w:p>
        </w:tc>
      </w:tr>
    </w:tbl>
    <w:p>
      <w:pPr>
        <w:pStyle w:val="6"/>
        <w:keepNext/>
        <w:keepLines w:val="0"/>
        <w:pageBreakBefore w:val="0"/>
        <w:widowControl w:val="0"/>
        <w:kinsoku/>
        <w:wordWrap/>
        <w:overflowPunct/>
        <w:topLinePunct w:val="0"/>
        <w:autoSpaceDE/>
        <w:autoSpaceDN/>
        <w:bidi w:val="0"/>
        <w:adjustRightInd/>
        <w:snapToGrid/>
        <w:spacing w:beforeLines="0" w:afterLines="0"/>
        <w:textAlignment w:val="auto"/>
        <w:rPr>
          <w:rFonts w:hint="eastAsia" w:ascii="Times New Roman" w:hAnsi="Times New Roman" w:eastAsia="宋体" w:cs="Times New Roman"/>
          <w:color w:val="auto"/>
          <w:sz w:val="32"/>
          <w:szCs w:val="32"/>
        </w:rPr>
      </w:pPr>
      <w:bookmarkStart w:id="116" w:name="_Toc29805"/>
      <w:bookmarkStart w:id="117" w:name="_Toc7855"/>
      <w:bookmarkStart w:id="118" w:name="_Toc10198"/>
      <w:r>
        <w:rPr>
          <w:rFonts w:hint="eastAsia" w:ascii="Times New Roman" w:hAnsi="Times New Roman" w:eastAsia="宋体" w:cs="Times New Roman"/>
          <w:color w:val="auto"/>
          <w:sz w:val="32"/>
          <w:szCs w:val="32"/>
        </w:rPr>
        <w:t>8.</w:t>
      </w:r>
      <w:r>
        <w:rPr>
          <w:rFonts w:hint="eastAsia" w:cs="Times New Roman"/>
          <w:color w:val="auto"/>
          <w:sz w:val="32"/>
          <w:szCs w:val="32"/>
          <w:lang w:val="en-US" w:eastAsia="zh-CN"/>
        </w:rPr>
        <w:t>6</w:t>
      </w:r>
      <w:r>
        <w:rPr>
          <w:rFonts w:hint="eastAsia" w:ascii="Times New Roman" w:hAnsi="Times New Roman" w:eastAsia="宋体" w:cs="Times New Roman"/>
          <w:color w:val="auto"/>
          <w:sz w:val="32"/>
          <w:szCs w:val="32"/>
        </w:rPr>
        <w:t>噪声监测分析过程中的质量保证和质量控制</w:t>
      </w:r>
      <w:bookmarkEnd w:id="116"/>
      <w:bookmarkEnd w:id="117"/>
      <w:bookmarkEnd w:id="118"/>
    </w:p>
    <w:p>
      <w:pPr>
        <w:ind w:firstLine="480" w:firstLineChars="200"/>
        <w:rPr>
          <w:rFonts w:hint="eastAsia" w:ascii="Times New Roman" w:hAnsi="Times New Roman" w:eastAsia="黑体" w:cs="Times New Roman"/>
          <w:b/>
          <w:bCs/>
          <w:sz w:val="21"/>
          <w:szCs w:val="21"/>
        </w:rPr>
      </w:pPr>
      <w:r>
        <w:t>按照《环境监测技术规范》（噪声部分）和《工业企业厂界环境噪声排放标准》的规定进行，使用仪器为经检验机构检定合格并且在有效期以内的噪声分析仪，测量仪器使用前、后进行了校准以保证监测数据的有效性和可靠性。本次验收监测噪声测量前后校准结果如表8.</w:t>
      </w:r>
      <w:r>
        <w:rPr>
          <w:rFonts w:hint="eastAsia"/>
          <w:lang w:val="en-US" w:eastAsia="zh-CN"/>
        </w:rPr>
        <w:t>5</w:t>
      </w:r>
      <w:r>
        <w:t>-1所示。</w:t>
      </w:r>
    </w:p>
    <w:p>
      <w:pPr>
        <w:jc w:val="center"/>
        <w:rPr>
          <w:rFonts w:hint="eastAsia" w:ascii="Times New Roman" w:hAnsi="Times New Roman" w:eastAsia="黑体" w:cs="Times New Roman"/>
          <w:b w:val="0"/>
          <w:bCs w:val="0"/>
          <w:sz w:val="21"/>
          <w:szCs w:val="21"/>
          <w:lang w:val="en-US" w:eastAsia="zh-CN"/>
        </w:rPr>
      </w:pPr>
      <w:r>
        <w:rPr>
          <w:rFonts w:hint="eastAsia" w:ascii="Times New Roman" w:hAnsi="Times New Roman" w:eastAsia="黑体" w:cs="Times New Roman"/>
          <w:b w:val="0"/>
          <w:bCs w:val="0"/>
          <w:sz w:val="21"/>
          <w:szCs w:val="21"/>
          <w:lang w:val="en-US" w:eastAsia="zh-CN"/>
        </w:rPr>
        <w:t>表8.</w:t>
      </w:r>
      <w:r>
        <w:rPr>
          <w:rFonts w:hint="eastAsia" w:eastAsia="黑体" w:cs="Times New Roman"/>
          <w:b w:val="0"/>
          <w:bCs w:val="0"/>
          <w:sz w:val="21"/>
          <w:szCs w:val="21"/>
          <w:lang w:val="en-US" w:eastAsia="zh-CN"/>
        </w:rPr>
        <w:t>6</w:t>
      </w:r>
      <w:r>
        <w:rPr>
          <w:rFonts w:hint="eastAsia" w:ascii="Times New Roman" w:hAnsi="Times New Roman" w:eastAsia="黑体" w:cs="Times New Roman"/>
          <w:b w:val="0"/>
          <w:bCs w:val="0"/>
          <w:sz w:val="21"/>
          <w:szCs w:val="21"/>
          <w:lang w:val="en-US" w:eastAsia="zh-CN"/>
        </w:rPr>
        <w:t>-1 噪声测量前、后校准结果</w:t>
      </w:r>
    </w:p>
    <w:tbl>
      <w:tblPr>
        <w:tblStyle w:val="19"/>
        <w:tblW w:w="4998"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88"/>
        <w:gridCol w:w="939"/>
        <w:gridCol w:w="915"/>
        <w:gridCol w:w="1113"/>
        <w:gridCol w:w="897"/>
        <w:gridCol w:w="1113"/>
        <w:gridCol w:w="1287"/>
        <w:gridCol w:w="106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97" w:type="pct"/>
            <w:vMerge w:val="restart"/>
            <w:tcBorders>
              <w:tl2br w:val="nil"/>
              <w:tr2bl w:val="nil"/>
            </w:tcBorders>
            <w:vAlign w:val="center"/>
          </w:tcPr>
          <w:p>
            <w:pPr>
              <w:snapToGrid w:val="0"/>
              <w:spacing w:line="240" w:lineRule="auto"/>
              <w:jc w:val="center"/>
              <w:rPr>
                <w:sz w:val="21"/>
                <w:szCs w:val="21"/>
              </w:rPr>
            </w:pPr>
            <w:r>
              <w:rPr>
                <w:sz w:val="21"/>
                <w:szCs w:val="21"/>
              </w:rPr>
              <w:t>校准</w:t>
            </w:r>
          </w:p>
          <w:p>
            <w:pPr>
              <w:snapToGrid w:val="0"/>
              <w:spacing w:line="240" w:lineRule="auto"/>
              <w:jc w:val="center"/>
              <w:rPr>
                <w:sz w:val="21"/>
                <w:szCs w:val="21"/>
              </w:rPr>
            </w:pPr>
            <w:r>
              <w:rPr>
                <w:sz w:val="21"/>
                <w:szCs w:val="21"/>
              </w:rPr>
              <w:t>日期</w:t>
            </w:r>
          </w:p>
        </w:tc>
        <w:tc>
          <w:tcPr>
            <w:tcW w:w="551" w:type="pct"/>
            <w:vMerge w:val="restart"/>
            <w:tcBorders>
              <w:tl2br w:val="nil"/>
              <w:tr2bl w:val="nil"/>
            </w:tcBorders>
            <w:vAlign w:val="center"/>
          </w:tcPr>
          <w:p>
            <w:pPr>
              <w:snapToGrid w:val="0"/>
              <w:spacing w:line="240" w:lineRule="auto"/>
              <w:jc w:val="center"/>
              <w:rPr>
                <w:sz w:val="21"/>
                <w:szCs w:val="21"/>
              </w:rPr>
            </w:pPr>
            <w:r>
              <w:rPr>
                <w:sz w:val="21"/>
                <w:szCs w:val="21"/>
              </w:rPr>
              <w:t>标准</w:t>
            </w:r>
          </w:p>
          <w:p>
            <w:pPr>
              <w:snapToGrid w:val="0"/>
              <w:spacing w:line="240" w:lineRule="auto"/>
              <w:jc w:val="center"/>
              <w:rPr>
                <w:sz w:val="21"/>
                <w:szCs w:val="21"/>
              </w:rPr>
            </w:pPr>
            <w:r>
              <w:rPr>
                <w:sz w:val="21"/>
                <w:szCs w:val="21"/>
              </w:rPr>
              <w:t>示值</w:t>
            </w:r>
          </w:p>
        </w:tc>
        <w:tc>
          <w:tcPr>
            <w:tcW w:w="1190" w:type="pct"/>
            <w:gridSpan w:val="2"/>
            <w:tcBorders>
              <w:tl2br w:val="nil"/>
              <w:tr2bl w:val="nil"/>
            </w:tcBorders>
            <w:vAlign w:val="center"/>
          </w:tcPr>
          <w:p>
            <w:pPr>
              <w:snapToGrid w:val="0"/>
              <w:spacing w:line="240" w:lineRule="auto"/>
              <w:jc w:val="center"/>
              <w:rPr>
                <w:sz w:val="21"/>
                <w:szCs w:val="21"/>
              </w:rPr>
            </w:pPr>
            <w:r>
              <w:rPr>
                <w:sz w:val="21"/>
                <w:szCs w:val="21"/>
              </w:rPr>
              <w:t>测量前dB(A)</w:t>
            </w:r>
          </w:p>
        </w:tc>
        <w:tc>
          <w:tcPr>
            <w:tcW w:w="1179" w:type="pct"/>
            <w:gridSpan w:val="2"/>
            <w:tcBorders>
              <w:tl2br w:val="nil"/>
              <w:tr2bl w:val="nil"/>
            </w:tcBorders>
            <w:vAlign w:val="center"/>
          </w:tcPr>
          <w:p>
            <w:pPr>
              <w:snapToGrid w:val="0"/>
              <w:spacing w:line="240" w:lineRule="auto"/>
              <w:jc w:val="center"/>
              <w:rPr>
                <w:sz w:val="21"/>
                <w:szCs w:val="21"/>
              </w:rPr>
            </w:pPr>
            <w:r>
              <w:rPr>
                <w:sz w:val="21"/>
                <w:szCs w:val="21"/>
              </w:rPr>
              <w:t>测量后dB(A)</w:t>
            </w:r>
          </w:p>
        </w:tc>
        <w:tc>
          <w:tcPr>
            <w:tcW w:w="755" w:type="pct"/>
            <w:vMerge w:val="restart"/>
            <w:tcBorders>
              <w:tl2br w:val="nil"/>
              <w:tr2bl w:val="nil"/>
            </w:tcBorders>
            <w:vAlign w:val="center"/>
          </w:tcPr>
          <w:p>
            <w:pPr>
              <w:snapToGrid w:val="0"/>
              <w:spacing w:line="240" w:lineRule="auto"/>
              <w:jc w:val="center"/>
              <w:rPr>
                <w:sz w:val="21"/>
                <w:szCs w:val="21"/>
              </w:rPr>
            </w:pPr>
            <w:r>
              <w:rPr>
                <w:sz w:val="21"/>
                <w:szCs w:val="21"/>
              </w:rPr>
              <w:t>质控标准dB(A)</w:t>
            </w:r>
          </w:p>
        </w:tc>
        <w:tc>
          <w:tcPr>
            <w:tcW w:w="625" w:type="pct"/>
            <w:vMerge w:val="restart"/>
            <w:tcBorders>
              <w:tl2br w:val="nil"/>
              <w:tr2bl w:val="nil"/>
            </w:tcBorders>
            <w:vAlign w:val="center"/>
          </w:tcPr>
          <w:p>
            <w:pPr>
              <w:snapToGrid w:val="0"/>
              <w:spacing w:line="240" w:lineRule="auto"/>
              <w:jc w:val="center"/>
              <w:rPr>
                <w:sz w:val="21"/>
                <w:szCs w:val="21"/>
              </w:rPr>
            </w:pPr>
            <w:r>
              <w:rPr>
                <w:sz w:val="21"/>
                <w:szCs w:val="21"/>
              </w:rPr>
              <w:t>评价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97" w:type="pct"/>
            <w:vMerge w:val="continue"/>
            <w:tcBorders>
              <w:tl2br w:val="nil"/>
              <w:tr2bl w:val="nil"/>
            </w:tcBorders>
            <w:vAlign w:val="center"/>
          </w:tcPr>
          <w:p>
            <w:pPr>
              <w:snapToGrid w:val="0"/>
              <w:spacing w:line="240" w:lineRule="auto"/>
              <w:jc w:val="center"/>
              <w:rPr>
                <w:sz w:val="21"/>
                <w:szCs w:val="21"/>
              </w:rPr>
            </w:pPr>
          </w:p>
        </w:tc>
        <w:tc>
          <w:tcPr>
            <w:tcW w:w="551" w:type="pct"/>
            <w:vMerge w:val="continue"/>
            <w:tcBorders>
              <w:tl2br w:val="nil"/>
              <w:tr2bl w:val="nil"/>
            </w:tcBorders>
            <w:vAlign w:val="center"/>
          </w:tcPr>
          <w:p>
            <w:pPr>
              <w:snapToGrid w:val="0"/>
              <w:spacing w:line="240" w:lineRule="auto"/>
              <w:jc w:val="center"/>
              <w:rPr>
                <w:sz w:val="21"/>
                <w:szCs w:val="21"/>
              </w:rPr>
            </w:pPr>
          </w:p>
        </w:tc>
        <w:tc>
          <w:tcPr>
            <w:tcW w:w="537" w:type="pct"/>
            <w:tcBorders>
              <w:tl2br w:val="nil"/>
              <w:tr2bl w:val="nil"/>
            </w:tcBorders>
            <w:vAlign w:val="center"/>
          </w:tcPr>
          <w:p>
            <w:pPr>
              <w:snapToGrid w:val="0"/>
              <w:spacing w:line="240" w:lineRule="auto"/>
              <w:jc w:val="center"/>
              <w:rPr>
                <w:sz w:val="21"/>
                <w:szCs w:val="21"/>
              </w:rPr>
            </w:pPr>
            <w:r>
              <w:rPr>
                <w:sz w:val="21"/>
                <w:szCs w:val="21"/>
              </w:rPr>
              <w:t>校准值</w:t>
            </w:r>
          </w:p>
        </w:tc>
        <w:tc>
          <w:tcPr>
            <w:tcW w:w="652" w:type="pct"/>
            <w:tcBorders>
              <w:tl2br w:val="nil"/>
              <w:tr2bl w:val="nil"/>
            </w:tcBorders>
            <w:vAlign w:val="center"/>
          </w:tcPr>
          <w:p>
            <w:pPr>
              <w:snapToGrid w:val="0"/>
              <w:spacing w:line="240" w:lineRule="auto"/>
              <w:jc w:val="center"/>
              <w:rPr>
                <w:sz w:val="21"/>
                <w:szCs w:val="21"/>
              </w:rPr>
            </w:pPr>
            <w:r>
              <w:rPr>
                <w:sz w:val="21"/>
                <w:szCs w:val="21"/>
              </w:rPr>
              <w:t>示值偏差</w:t>
            </w:r>
          </w:p>
        </w:tc>
        <w:tc>
          <w:tcPr>
            <w:tcW w:w="526" w:type="pct"/>
            <w:tcBorders>
              <w:tl2br w:val="nil"/>
              <w:tr2bl w:val="nil"/>
            </w:tcBorders>
            <w:vAlign w:val="center"/>
          </w:tcPr>
          <w:p>
            <w:pPr>
              <w:snapToGrid w:val="0"/>
              <w:spacing w:line="240" w:lineRule="auto"/>
              <w:jc w:val="center"/>
              <w:rPr>
                <w:sz w:val="21"/>
                <w:szCs w:val="21"/>
              </w:rPr>
            </w:pPr>
            <w:r>
              <w:rPr>
                <w:sz w:val="21"/>
                <w:szCs w:val="21"/>
              </w:rPr>
              <w:t>校准值</w:t>
            </w:r>
          </w:p>
        </w:tc>
        <w:tc>
          <w:tcPr>
            <w:tcW w:w="652" w:type="pct"/>
            <w:tcBorders>
              <w:tl2br w:val="nil"/>
              <w:tr2bl w:val="nil"/>
            </w:tcBorders>
            <w:vAlign w:val="center"/>
          </w:tcPr>
          <w:p>
            <w:pPr>
              <w:snapToGrid w:val="0"/>
              <w:spacing w:line="240" w:lineRule="auto"/>
              <w:jc w:val="center"/>
              <w:rPr>
                <w:sz w:val="21"/>
                <w:szCs w:val="21"/>
              </w:rPr>
            </w:pPr>
            <w:r>
              <w:rPr>
                <w:sz w:val="21"/>
                <w:szCs w:val="21"/>
              </w:rPr>
              <w:t>示值偏差</w:t>
            </w:r>
          </w:p>
        </w:tc>
        <w:tc>
          <w:tcPr>
            <w:tcW w:w="755" w:type="pct"/>
            <w:vMerge w:val="continue"/>
            <w:tcBorders>
              <w:tl2br w:val="nil"/>
              <w:tr2bl w:val="nil"/>
            </w:tcBorders>
            <w:vAlign w:val="center"/>
          </w:tcPr>
          <w:p>
            <w:pPr>
              <w:snapToGrid w:val="0"/>
              <w:spacing w:line="240" w:lineRule="auto"/>
              <w:jc w:val="center"/>
              <w:rPr>
                <w:sz w:val="21"/>
                <w:szCs w:val="21"/>
              </w:rPr>
            </w:pPr>
          </w:p>
        </w:tc>
        <w:tc>
          <w:tcPr>
            <w:tcW w:w="625" w:type="pct"/>
            <w:vMerge w:val="continue"/>
            <w:tcBorders>
              <w:tl2br w:val="nil"/>
              <w:tr2bl w:val="nil"/>
            </w:tcBorders>
            <w:vAlign w:val="center"/>
          </w:tcPr>
          <w:p>
            <w:pPr>
              <w:snapToGrid w:val="0"/>
              <w:spacing w:line="240" w:lineRule="auto"/>
              <w:jc w:val="center"/>
              <w:rPr>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97" w:type="pct"/>
            <w:tcBorders>
              <w:tl2br w:val="nil"/>
              <w:tr2bl w:val="nil"/>
            </w:tcBorders>
            <w:vAlign w:val="center"/>
          </w:tcPr>
          <w:p>
            <w:pPr>
              <w:snapToGrid w:val="0"/>
              <w:spacing w:line="240" w:lineRule="auto"/>
              <w:jc w:val="center"/>
              <w:rPr>
                <w:rFonts w:hint="default" w:eastAsia="宋体"/>
                <w:sz w:val="21"/>
                <w:szCs w:val="21"/>
                <w:lang w:val="en-US" w:eastAsia="zh-CN"/>
              </w:rPr>
            </w:pPr>
            <w:r>
              <w:rPr>
                <w:sz w:val="21"/>
                <w:szCs w:val="21"/>
              </w:rPr>
              <w:t>202</w:t>
            </w:r>
            <w:r>
              <w:rPr>
                <w:rFonts w:hint="eastAsia"/>
                <w:sz w:val="21"/>
                <w:szCs w:val="21"/>
              </w:rPr>
              <w:t>2</w:t>
            </w:r>
            <w:r>
              <w:rPr>
                <w:sz w:val="21"/>
                <w:szCs w:val="21"/>
              </w:rPr>
              <w:t>.</w:t>
            </w:r>
            <w:r>
              <w:rPr>
                <w:rFonts w:hint="eastAsia"/>
                <w:sz w:val="21"/>
                <w:szCs w:val="21"/>
                <w:lang w:val="en-US" w:eastAsia="zh-CN"/>
              </w:rPr>
              <w:t>12</w:t>
            </w:r>
            <w:r>
              <w:rPr>
                <w:sz w:val="21"/>
                <w:szCs w:val="21"/>
              </w:rPr>
              <w:t>.</w:t>
            </w:r>
            <w:r>
              <w:rPr>
                <w:rFonts w:hint="eastAsia"/>
                <w:sz w:val="21"/>
                <w:szCs w:val="21"/>
                <w:lang w:val="en-US" w:eastAsia="zh-CN"/>
              </w:rPr>
              <w:t>13</w:t>
            </w:r>
          </w:p>
        </w:tc>
        <w:tc>
          <w:tcPr>
            <w:tcW w:w="551" w:type="pct"/>
            <w:vMerge w:val="restart"/>
            <w:tcBorders>
              <w:tl2br w:val="nil"/>
              <w:tr2bl w:val="nil"/>
            </w:tcBorders>
            <w:vAlign w:val="center"/>
          </w:tcPr>
          <w:p>
            <w:pPr>
              <w:snapToGrid w:val="0"/>
              <w:spacing w:line="240" w:lineRule="auto"/>
              <w:jc w:val="center"/>
              <w:rPr>
                <w:sz w:val="21"/>
                <w:szCs w:val="21"/>
              </w:rPr>
            </w:pPr>
            <w:r>
              <w:rPr>
                <w:sz w:val="21"/>
                <w:szCs w:val="21"/>
              </w:rPr>
              <w:t>94.0</w:t>
            </w:r>
          </w:p>
        </w:tc>
        <w:tc>
          <w:tcPr>
            <w:tcW w:w="537" w:type="pct"/>
            <w:tcBorders>
              <w:tl2br w:val="nil"/>
              <w:tr2bl w:val="nil"/>
            </w:tcBorders>
            <w:vAlign w:val="center"/>
          </w:tcPr>
          <w:p>
            <w:pPr>
              <w:snapToGrid w:val="0"/>
              <w:spacing w:line="240" w:lineRule="auto"/>
              <w:jc w:val="center"/>
              <w:rPr>
                <w:sz w:val="21"/>
                <w:szCs w:val="21"/>
              </w:rPr>
            </w:pPr>
            <w:r>
              <w:rPr>
                <w:sz w:val="21"/>
                <w:szCs w:val="21"/>
              </w:rPr>
              <w:t>93.</w:t>
            </w:r>
            <w:r>
              <w:rPr>
                <w:rFonts w:hint="eastAsia"/>
                <w:sz w:val="21"/>
                <w:szCs w:val="21"/>
              </w:rPr>
              <w:t>9</w:t>
            </w:r>
          </w:p>
        </w:tc>
        <w:tc>
          <w:tcPr>
            <w:tcW w:w="652" w:type="pct"/>
            <w:tcBorders>
              <w:tl2br w:val="nil"/>
              <w:tr2bl w:val="nil"/>
            </w:tcBorders>
            <w:vAlign w:val="center"/>
          </w:tcPr>
          <w:p>
            <w:pPr>
              <w:snapToGrid w:val="0"/>
              <w:spacing w:line="240" w:lineRule="auto"/>
              <w:jc w:val="center"/>
              <w:rPr>
                <w:sz w:val="21"/>
                <w:szCs w:val="21"/>
              </w:rPr>
            </w:pPr>
            <w:r>
              <w:rPr>
                <w:sz w:val="21"/>
                <w:szCs w:val="21"/>
              </w:rPr>
              <w:t>0.</w:t>
            </w:r>
            <w:r>
              <w:rPr>
                <w:rFonts w:hint="eastAsia"/>
                <w:sz w:val="21"/>
                <w:szCs w:val="21"/>
              </w:rPr>
              <w:t>1</w:t>
            </w:r>
          </w:p>
        </w:tc>
        <w:tc>
          <w:tcPr>
            <w:tcW w:w="526" w:type="pct"/>
            <w:tcBorders>
              <w:tl2br w:val="nil"/>
              <w:tr2bl w:val="nil"/>
            </w:tcBorders>
            <w:vAlign w:val="center"/>
          </w:tcPr>
          <w:p>
            <w:pPr>
              <w:snapToGrid w:val="0"/>
              <w:spacing w:line="240" w:lineRule="auto"/>
              <w:jc w:val="center"/>
              <w:rPr>
                <w:sz w:val="21"/>
                <w:szCs w:val="21"/>
              </w:rPr>
            </w:pPr>
            <w:r>
              <w:rPr>
                <w:sz w:val="21"/>
                <w:szCs w:val="21"/>
              </w:rPr>
              <w:t>9</w:t>
            </w:r>
            <w:r>
              <w:rPr>
                <w:rFonts w:hint="eastAsia"/>
                <w:sz w:val="21"/>
                <w:szCs w:val="21"/>
              </w:rPr>
              <w:t>4.0</w:t>
            </w:r>
          </w:p>
        </w:tc>
        <w:tc>
          <w:tcPr>
            <w:tcW w:w="652" w:type="pct"/>
            <w:tcBorders>
              <w:tl2br w:val="nil"/>
              <w:tr2bl w:val="nil"/>
            </w:tcBorders>
            <w:vAlign w:val="center"/>
          </w:tcPr>
          <w:p>
            <w:pPr>
              <w:snapToGrid w:val="0"/>
              <w:spacing w:line="240" w:lineRule="auto"/>
              <w:jc w:val="center"/>
              <w:rPr>
                <w:sz w:val="21"/>
                <w:szCs w:val="21"/>
              </w:rPr>
            </w:pPr>
            <w:r>
              <w:rPr>
                <w:sz w:val="21"/>
                <w:szCs w:val="21"/>
              </w:rPr>
              <w:t>0.</w:t>
            </w:r>
            <w:r>
              <w:rPr>
                <w:rFonts w:hint="eastAsia"/>
                <w:sz w:val="21"/>
                <w:szCs w:val="21"/>
              </w:rPr>
              <w:t>0</w:t>
            </w:r>
          </w:p>
        </w:tc>
        <w:tc>
          <w:tcPr>
            <w:tcW w:w="755" w:type="pct"/>
            <w:vMerge w:val="restart"/>
            <w:tcBorders>
              <w:tl2br w:val="nil"/>
              <w:tr2bl w:val="nil"/>
            </w:tcBorders>
            <w:vAlign w:val="center"/>
          </w:tcPr>
          <w:p>
            <w:pPr>
              <w:snapToGrid w:val="0"/>
              <w:spacing w:line="240" w:lineRule="auto"/>
              <w:jc w:val="center"/>
              <w:rPr>
                <w:sz w:val="21"/>
                <w:szCs w:val="21"/>
              </w:rPr>
            </w:pPr>
            <w:r>
              <w:rPr>
                <w:sz w:val="21"/>
                <w:szCs w:val="21"/>
              </w:rPr>
              <w:t>示值偏差≤0.5</w:t>
            </w:r>
          </w:p>
        </w:tc>
        <w:tc>
          <w:tcPr>
            <w:tcW w:w="625" w:type="pct"/>
            <w:tcBorders>
              <w:tl2br w:val="nil"/>
              <w:tr2bl w:val="nil"/>
            </w:tcBorders>
            <w:vAlign w:val="center"/>
          </w:tcPr>
          <w:p>
            <w:pPr>
              <w:snapToGrid w:val="0"/>
              <w:spacing w:line="240" w:lineRule="auto"/>
              <w:jc w:val="center"/>
              <w:rPr>
                <w:sz w:val="21"/>
                <w:szCs w:val="21"/>
              </w:rPr>
            </w:pPr>
            <w:r>
              <w:rPr>
                <w:sz w:val="21"/>
                <w:szCs w:val="21"/>
              </w:rPr>
              <w:t>合格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97" w:type="pct"/>
            <w:tcBorders>
              <w:tl2br w:val="nil"/>
              <w:tr2bl w:val="nil"/>
            </w:tcBorders>
            <w:vAlign w:val="center"/>
          </w:tcPr>
          <w:p>
            <w:pPr>
              <w:snapToGrid w:val="0"/>
              <w:spacing w:line="240" w:lineRule="auto"/>
              <w:jc w:val="center"/>
              <w:rPr>
                <w:rFonts w:hint="default" w:eastAsia="宋体"/>
                <w:sz w:val="21"/>
                <w:szCs w:val="21"/>
                <w:lang w:val="en-US" w:eastAsia="zh-CN"/>
              </w:rPr>
            </w:pPr>
            <w:r>
              <w:rPr>
                <w:sz w:val="21"/>
                <w:szCs w:val="21"/>
              </w:rPr>
              <w:t>202</w:t>
            </w:r>
            <w:r>
              <w:rPr>
                <w:rFonts w:hint="eastAsia"/>
                <w:sz w:val="21"/>
                <w:szCs w:val="21"/>
              </w:rPr>
              <w:t>2</w:t>
            </w:r>
            <w:r>
              <w:rPr>
                <w:sz w:val="21"/>
                <w:szCs w:val="21"/>
              </w:rPr>
              <w:t>.</w:t>
            </w:r>
            <w:r>
              <w:rPr>
                <w:rFonts w:hint="eastAsia"/>
                <w:sz w:val="21"/>
                <w:szCs w:val="21"/>
                <w:lang w:val="en-US" w:eastAsia="zh-CN"/>
              </w:rPr>
              <w:t>12</w:t>
            </w:r>
            <w:r>
              <w:rPr>
                <w:sz w:val="21"/>
                <w:szCs w:val="21"/>
              </w:rPr>
              <w:t>.</w:t>
            </w:r>
            <w:r>
              <w:rPr>
                <w:rFonts w:hint="eastAsia"/>
                <w:sz w:val="21"/>
                <w:szCs w:val="21"/>
                <w:lang w:val="en-US" w:eastAsia="zh-CN"/>
              </w:rPr>
              <w:t>14</w:t>
            </w:r>
          </w:p>
        </w:tc>
        <w:tc>
          <w:tcPr>
            <w:tcW w:w="551" w:type="pct"/>
            <w:vMerge w:val="continue"/>
            <w:tcBorders>
              <w:tl2br w:val="nil"/>
              <w:tr2bl w:val="nil"/>
            </w:tcBorders>
            <w:vAlign w:val="center"/>
          </w:tcPr>
          <w:p>
            <w:pPr>
              <w:snapToGrid w:val="0"/>
              <w:spacing w:line="240" w:lineRule="auto"/>
              <w:jc w:val="center"/>
              <w:rPr>
                <w:sz w:val="21"/>
                <w:szCs w:val="21"/>
              </w:rPr>
            </w:pPr>
          </w:p>
        </w:tc>
        <w:tc>
          <w:tcPr>
            <w:tcW w:w="537" w:type="pct"/>
            <w:tcBorders>
              <w:tl2br w:val="nil"/>
              <w:tr2bl w:val="nil"/>
            </w:tcBorders>
            <w:vAlign w:val="center"/>
          </w:tcPr>
          <w:p>
            <w:pPr>
              <w:snapToGrid w:val="0"/>
              <w:spacing w:line="240" w:lineRule="auto"/>
              <w:jc w:val="center"/>
              <w:rPr>
                <w:sz w:val="21"/>
                <w:szCs w:val="21"/>
              </w:rPr>
            </w:pPr>
            <w:r>
              <w:rPr>
                <w:sz w:val="21"/>
                <w:szCs w:val="21"/>
              </w:rPr>
              <w:t>93.</w:t>
            </w:r>
            <w:r>
              <w:rPr>
                <w:rFonts w:hint="eastAsia"/>
                <w:sz w:val="21"/>
                <w:szCs w:val="21"/>
              </w:rPr>
              <w:t>9</w:t>
            </w:r>
          </w:p>
        </w:tc>
        <w:tc>
          <w:tcPr>
            <w:tcW w:w="652" w:type="pct"/>
            <w:tcBorders>
              <w:tl2br w:val="nil"/>
              <w:tr2bl w:val="nil"/>
            </w:tcBorders>
            <w:vAlign w:val="center"/>
          </w:tcPr>
          <w:p>
            <w:pPr>
              <w:snapToGrid w:val="0"/>
              <w:spacing w:line="240" w:lineRule="auto"/>
              <w:jc w:val="center"/>
              <w:rPr>
                <w:sz w:val="21"/>
                <w:szCs w:val="21"/>
              </w:rPr>
            </w:pPr>
            <w:r>
              <w:rPr>
                <w:sz w:val="21"/>
                <w:szCs w:val="21"/>
              </w:rPr>
              <w:t>0.</w:t>
            </w:r>
            <w:r>
              <w:rPr>
                <w:rFonts w:hint="eastAsia"/>
                <w:sz w:val="21"/>
                <w:szCs w:val="21"/>
              </w:rPr>
              <w:t>1</w:t>
            </w:r>
          </w:p>
        </w:tc>
        <w:tc>
          <w:tcPr>
            <w:tcW w:w="526" w:type="pct"/>
            <w:tcBorders>
              <w:tl2br w:val="nil"/>
              <w:tr2bl w:val="nil"/>
            </w:tcBorders>
            <w:vAlign w:val="center"/>
          </w:tcPr>
          <w:p>
            <w:pPr>
              <w:snapToGrid w:val="0"/>
              <w:spacing w:line="240" w:lineRule="auto"/>
              <w:jc w:val="center"/>
              <w:rPr>
                <w:sz w:val="21"/>
                <w:szCs w:val="21"/>
              </w:rPr>
            </w:pPr>
            <w:r>
              <w:rPr>
                <w:sz w:val="21"/>
                <w:szCs w:val="21"/>
              </w:rPr>
              <w:t>9</w:t>
            </w:r>
            <w:r>
              <w:rPr>
                <w:rFonts w:hint="eastAsia"/>
                <w:sz w:val="21"/>
                <w:szCs w:val="21"/>
              </w:rPr>
              <w:t>4.0</w:t>
            </w:r>
          </w:p>
        </w:tc>
        <w:tc>
          <w:tcPr>
            <w:tcW w:w="652" w:type="pct"/>
            <w:tcBorders>
              <w:tl2br w:val="nil"/>
              <w:tr2bl w:val="nil"/>
            </w:tcBorders>
            <w:vAlign w:val="center"/>
          </w:tcPr>
          <w:p>
            <w:pPr>
              <w:snapToGrid w:val="0"/>
              <w:spacing w:line="240" w:lineRule="auto"/>
              <w:jc w:val="center"/>
              <w:rPr>
                <w:sz w:val="21"/>
                <w:szCs w:val="21"/>
              </w:rPr>
            </w:pPr>
            <w:r>
              <w:rPr>
                <w:sz w:val="21"/>
                <w:szCs w:val="21"/>
              </w:rPr>
              <w:t>0.</w:t>
            </w:r>
            <w:r>
              <w:rPr>
                <w:rFonts w:hint="eastAsia"/>
                <w:sz w:val="21"/>
                <w:szCs w:val="21"/>
              </w:rPr>
              <w:t>0</w:t>
            </w:r>
          </w:p>
        </w:tc>
        <w:tc>
          <w:tcPr>
            <w:tcW w:w="755" w:type="pct"/>
            <w:vMerge w:val="continue"/>
            <w:tcBorders>
              <w:tl2br w:val="nil"/>
              <w:tr2bl w:val="nil"/>
            </w:tcBorders>
            <w:vAlign w:val="center"/>
          </w:tcPr>
          <w:p>
            <w:pPr>
              <w:snapToGrid w:val="0"/>
              <w:spacing w:line="240" w:lineRule="auto"/>
              <w:jc w:val="center"/>
              <w:rPr>
                <w:sz w:val="21"/>
                <w:szCs w:val="21"/>
              </w:rPr>
            </w:pPr>
          </w:p>
        </w:tc>
        <w:tc>
          <w:tcPr>
            <w:tcW w:w="625" w:type="pct"/>
            <w:tcBorders>
              <w:tl2br w:val="nil"/>
              <w:tr2bl w:val="nil"/>
            </w:tcBorders>
            <w:vAlign w:val="center"/>
          </w:tcPr>
          <w:p>
            <w:pPr>
              <w:snapToGrid w:val="0"/>
              <w:spacing w:line="240" w:lineRule="auto"/>
              <w:jc w:val="center"/>
              <w:rPr>
                <w:sz w:val="21"/>
                <w:szCs w:val="21"/>
              </w:rPr>
            </w:pPr>
            <w:r>
              <w:rPr>
                <w:sz w:val="21"/>
                <w:szCs w:val="21"/>
              </w:rPr>
              <w:t>合格</w:t>
            </w:r>
          </w:p>
        </w:tc>
      </w:tr>
    </w:tbl>
    <w:p>
      <w:pPr>
        <w:pStyle w:val="21"/>
        <w:sectPr>
          <w:pgSz w:w="11906" w:h="16838"/>
          <w:pgMar w:top="1440" w:right="1800" w:bottom="1440" w:left="1800" w:header="794" w:footer="992" w:gutter="0"/>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120" w:after="120"/>
        <w:textAlignment w:val="auto"/>
        <w:outlineLvl w:val="0"/>
        <w:rPr>
          <w:b/>
          <w:bCs/>
          <w:sz w:val="36"/>
          <w:szCs w:val="36"/>
        </w:rPr>
      </w:pPr>
      <w:bookmarkStart w:id="119" w:name="_Toc31151"/>
      <w:bookmarkStart w:id="120" w:name="_Toc19137"/>
      <w:bookmarkStart w:id="121" w:name="_Toc17607"/>
      <w:r>
        <w:rPr>
          <w:rStyle w:val="23"/>
          <w:rFonts w:hint="eastAsia"/>
          <w:sz w:val="36"/>
          <w:szCs w:val="36"/>
        </w:rPr>
        <w:t>9验收监测结果</w:t>
      </w:r>
      <w:bookmarkEnd w:id="119"/>
      <w:bookmarkEnd w:id="120"/>
      <w:bookmarkEnd w:id="121"/>
    </w:p>
    <w:p>
      <w:pPr>
        <w:pStyle w:val="6"/>
        <w:keepLines w:val="0"/>
        <w:pageBreakBefore w:val="0"/>
        <w:widowControl w:val="0"/>
        <w:kinsoku/>
        <w:wordWrap/>
        <w:overflowPunct/>
        <w:topLinePunct w:val="0"/>
        <w:autoSpaceDE/>
        <w:autoSpaceDN/>
        <w:bidi w:val="0"/>
        <w:adjustRightInd/>
        <w:snapToGrid/>
        <w:spacing w:beforeLines="0" w:afterLines="0"/>
        <w:textAlignment w:val="auto"/>
        <w:rPr>
          <w:color w:val="auto"/>
          <w:sz w:val="32"/>
          <w:szCs w:val="32"/>
        </w:rPr>
      </w:pPr>
      <w:bookmarkStart w:id="122" w:name="_Toc26780"/>
      <w:bookmarkStart w:id="123" w:name="_Toc32468"/>
      <w:bookmarkStart w:id="124" w:name="_Toc23242"/>
      <w:r>
        <w:rPr>
          <w:rFonts w:hint="eastAsia"/>
          <w:color w:val="auto"/>
          <w:sz w:val="32"/>
          <w:szCs w:val="32"/>
        </w:rPr>
        <w:t>9.1生产工况</w:t>
      </w:r>
      <w:bookmarkEnd w:id="122"/>
      <w:bookmarkEnd w:id="123"/>
      <w:bookmarkEnd w:id="124"/>
    </w:p>
    <w:p>
      <w:pPr>
        <w:keepLines w:val="0"/>
        <w:pageBreakBefore w:val="0"/>
        <w:widowControl w:val="0"/>
        <w:kinsoku/>
        <w:wordWrap/>
        <w:overflowPunct/>
        <w:topLinePunct w:val="0"/>
        <w:autoSpaceDE/>
        <w:autoSpaceDN/>
        <w:bidi w:val="0"/>
        <w:adjustRightInd/>
        <w:snapToGrid/>
        <w:ind w:firstLine="480" w:firstLineChars="200"/>
        <w:textAlignment w:val="auto"/>
        <w:rPr>
          <w:rFonts w:hint="eastAsia" w:eastAsia="宋体"/>
          <w:lang w:val="en-US" w:eastAsia="zh-CN"/>
        </w:rPr>
      </w:pPr>
      <w:r>
        <w:t>根据</w:t>
      </w:r>
      <w:r>
        <w:rPr>
          <w:rFonts w:hint="eastAsia"/>
          <w:lang w:val="en-US" w:eastAsia="zh-CN"/>
        </w:rPr>
        <w:t>本项目</w:t>
      </w:r>
      <w:r>
        <w:t>生产负荷及工况情况，</w:t>
      </w:r>
      <w:r>
        <w:rPr>
          <w:rFonts w:hint="eastAsia"/>
        </w:rPr>
        <w:t>安徽工和环境监测有限责任公司</w:t>
      </w:r>
      <w:r>
        <w:t>于</w:t>
      </w:r>
      <w:r>
        <w:rPr>
          <w:rFonts w:hint="eastAsia"/>
        </w:rPr>
        <w:t>2022</w:t>
      </w:r>
      <w:r>
        <w:t>年</w:t>
      </w:r>
      <w:r>
        <w:rPr>
          <w:rFonts w:hint="eastAsia"/>
          <w:lang w:val="en-US" w:eastAsia="zh-CN"/>
        </w:rPr>
        <w:t>12</w:t>
      </w:r>
      <w:r>
        <w:t>月</w:t>
      </w:r>
      <w:r>
        <w:rPr>
          <w:rFonts w:hint="eastAsia"/>
          <w:lang w:val="en-US" w:eastAsia="zh-CN"/>
        </w:rPr>
        <w:t>13</w:t>
      </w:r>
      <w:r>
        <w:t>日~</w:t>
      </w:r>
      <w:r>
        <w:rPr>
          <w:rFonts w:hint="eastAsia"/>
        </w:rPr>
        <w:t>2022年</w:t>
      </w:r>
      <w:r>
        <w:rPr>
          <w:rFonts w:hint="eastAsia"/>
          <w:lang w:val="en-US" w:eastAsia="zh-CN"/>
        </w:rPr>
        <w:t>12</w:t>
      </w:r>
      <w:r>
        <w:t>月</w:t>
      </w:r>
      <w:r>
        <w:rPr>
          <w:rFonts w:hint="eastAsia"/>
        </w:rPr>
        <w:t>1</w:t>
      </w:r>
      <w:r>
        <w:rPr>
          <w:rFonts w:hint="eastAsia"/>
          <w:lang w:val="en-US" w:eastAsia="zh-CN"/>
        </w:rPr>
        <w:t>4</w:t>
      </w:r>
      <w:r>
        <w:t>日对本项目的周边气象条件、有组织废气、厂界无组织废气、厂界噪声</w:t>
      </w:r>
      <w:r>
        <w:rPr>
          <w:rFonts w:hint="eastAsia"/>
        </w:rPr>
        <w:t>、</w:t>
      </w:r>
      <w:r>
        <w:rPr>
          <w:rFonts w:hint="eastAsia"/>
          <w:lang w:eastAsia="zh-CN"/>
        </w:rPr>
        <w:t>废水</w:t>
      </w:r>
      <w:r>
        <w:t>进行了现场监测。</w:t>
      </w:r>
    </w:p>
    <w:p>
      <w:pPr>
        <w:ind w:firstLine="480" w:firstLineChars="200"/>
        <w:rPr>
          <w:color w:val="FF0000"/>
        </w:rPr>
      </w:pPr>
      <w:r>
        <w:t>根据</w:t>
      </w:r>
      <w:r>
        <w:rPr>
          <w:rFonts w:hint="eastAsia" w:cs="宋体"/>
          <w:lang w:eastAsia="zh-CN"/>
        </w:rPr>
        <w:t>我公司</w:t>
      </w:r>
      <w:r>
        <w:t>出示的竣工环境保护验收监测期间的生产工况表，竣工环境保护验收期间</w:t>
      </w:r>
      <w:r>
        <w:rPr>
          <w:rFonts w:hint="eastAsia"/>
        </w:rPr>
        <w:t>正常生产</w:t>
      </w:r>
      <w:r>
        <w:t>，环保设施正常运行。其中</w:t>
      </w:r>
      <w:r>
        <w:rPr>
          <w:rFonts w:hint="eastAsia"/>
        </w:rPr>
        <w:t>生产</w:t>
      </w:r>
      <w:r>
        <w:t>工况负荷</w:t>
      </w:r>
      <w:r>
        <w:rPr>
          <w:rFonts w:hint="eastAsia"/>
        </w:rPr>
        <w:t>如表9.1-1所示</w:t>
      </w:r>
      <w:r>
        <w:t>。</w:t>
      </w:r>
    </w:p>
    <w:p>
      <w:pPr>
        <w:jc w:val="center"/>
        <w:rPr>
          <w:rFonts w:hint="eastAsia" w:ascii="Times New Roman" w:hAnsi="Times New Roman" w:eastAsia="黑体" w:cs="Times New Roman"/>
          <w:b w:val="0"/>
          <w:bCs w:val="0"/>
          <w:sz w:val="21"/>
          <w:szCs w:val="21"/>
          <w:lang w:val="en-US" w:eastAsia="zh-CN"/>
        </w:rPr>
      </w:pPr>
      <w:r>
        <w:rPr>
          <w:rFonts w:hint="eastAsia" w:ascii="Times New Roman" w:hAnsi="Times New Roman" w:eastAsia="黑体" w:cs="Times New Roman"/>
          <w:b w:val="0"/>
          <w:bCs w:val="0"/>
          <w:sz w:val="21"/>
          <w:szCs w:val="21"/>
          <w:lang w:val="en-US" w:eastAsia="zh-CN"/>
        </w:rPr>
        <w:t>表9.1-1  运行工况负荷</w:t>
      </w:r>
    </w:p>
    <w:tbl>
      <w:tblPr>
        <w:tblStyle w:val="19"/>
        <w:tblW w:w="88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3"/>
        <w:gridCol w:w="2161"/>
        <w:gridCol w:w="2266"/>
        <w:gridCol w:w="2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2213" w:type="dxa"/>
            <w:vAlign w:val="center"/>
          </w:tcPr>
          <w:p>
            <w:pPr>
              <w:spacing w:line="240" w:lineRule="auto"/>
              <w:jc w:val="center"/>
              <w:rPr>
                <w:sz w:val="21"/>
                <w:szCs w:val="21"/>
              </w:rPr>
            </w:pPr>
            <w:r>
              <w:rPr>
                <w:sz w:val="21"/>
                <w:szCs w:val="21"/>
              </w:rPr>
              <w:t>日期</w:t>
            </w:r>
          </w:p>
        </w:tc>
        <w:tc>
          <w:tcPr>
            <w:tcW w:w="2161" w:type="dxa"/>
            <w:vAlign w:val="center"/>
          </w:tcPr>
          <w:p>
            <w:pPr>
              <w:spacing w:line="240" w:lineRule="auto"/>
              <w:jc w:val="center"/>
              <w:rPr>
                <w:sz w:val="21"/>
                <w:szCs w:val="21"/>
              </w:rPr>
            </w:pPr>
            <w:r>
              <w:rPr>
                <w:rFonts w:hint="eastAsia"/>
                <w:sz w:val="21"/>
                <w:szCs w:val="21"/>
                <w:lang w:val="en-US" w:eastAsia="zh-CN"/>
              </w:rPr>
              <w:t>设计</w:t>
            </w:r>
            <w:r>
              <w:rPr>
                <w:rFonts w:hint="eastAsia"/>
                <w:sz w:val="21"/>
                <w:szCs w:val="21"/>
                <w:lang w:eastAsia="zh-CN"/>
              </w:rPr>
              <w:t>产能</w:t>
            </w:r>
            <w:r>
              <w:rPr>
                <w:sz w:val="21"/>
                <w:szCs w:val="21"/>
              </w:rPr>
              <w:t>（</w:t>
            </w:r>
            <w:r>
              <w:rPr>
                <w:rFonts w:hint="eastAsia"/>
                <w:sz w:val="21"/>
                <w:szCs w:val="21"/>
                <w:lang w:eastAsia="zh-CN"/>
              </w:rPr>
              <w:t>平方米</w:t>
            </w:r>
            <w:r>
              <w:rPr>
                <w:sz w:val="21"/>
                <w:szCs w:val="21"/>
              </w:rPr>
              <w:t>）</w:t>
            </w:r>
          </w:p>
        </w:tc>
        <w:tc>
          <w:tcPr>
            <w:tcW w:w="2266" w:type="dxa"/>
            <w:vAlign w:val="center"/>
          </w:tcPr>
          <w:p>
            <w:pPr>
              <w:spacing w:line="240" w:lineRule="auto"/>
              <w:jc w:val="center"/>
              <w:rPr>
                <w:sz w:val="21"/>
                <w:szCs w:val="21"/>
              </w:rPr>
            </w:pPr>
            <w:r>
              <w:rPr>
                <w:sz w:val="21"/>
                <w:szCs w:val="21"/>
              </w:rPr>
              <w:t>实际</w:t>
            </w:r>
            <w:r>
              <w:rPr>
                <w:rFonts w:hint="eastAsia"/>
                <w:sz w:val="21"/>
                <w:szCs w:val="21"/>
                <w:lang w:eastAsia="zh-CN"/>
              </w:rPr>
              <w:t>产能</w:t>
            </w:r>
            <w:r>
              <w:rPr>
                <w:sz w:val="21"/>
                <w:szCs w:val="21"/>
              </w:rPr>
              <w:t>（</w:t>
            </w:r>
            <w:r>
              <w:rPr>
                <w:rFonts w:hint="eastAsia"/>
                <w:sz w:val="21"/>
                <w:szCs w:val="21"/>
                <w:lang w:eastAsia="zh-CN"/>
              </w:rPr>
              <w:t>平方米</w:t>
            </w:r>
            <w:r>
              <w:rPr>
                <w:sz w:val="21"/>
                <w:szCs w:val="21"/>
              </w:rPr>
              <w:t>）</w:t>
            </w:r>
          </w:p>
        </w:tc>
        <w:tc>
          <w:tcPr>
            <w:tcW w:w="2218" w:type="dxa"/>
            <w:vAlign w:val="center"/>
          </w:tcPr>
          <w:p>
            <w:pPr>
              <w:spacing w:line="240" w:lineRule="auto"/>
              <w:jc w:val="center"/>
              <w:rPr>
                <w:sz w:val="21"/>
                <w:szCs w:val="21"/>
              </w:rPr>
            </w:pPr>
            <w:r>
              <w:rPr>
                <w:sz w:val="21"/>
                <w:szCs w:val="21"/>
              </w:rPr>
              <w:t>运转负荷（%）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2213" w:type="dxa"/>
            <w:vAlign w:val="center"/>
          </w:tcPr>
          <w:p>
            <w:pPr>
              <w:spacing w:line="240" w:lineRule="auto"/>
              <w:jc w:val="center"/>
              <w:rPr>
                <w:rFonts w:hint="default" w:eastAsia="宋体"/>
                <w:sz w:val="21"/>
                <w:szCs w:val="21"/>
                <w:lang w:val="en-US" w:eastAsia="zh-CN"/>
              </w:rPr>
            </w:pPr>
            <w:r>
              <w:rPr>
                <w:sz w:val="21"/>
                <w:szCs w:val="21"/>
              </w:rPr>
              <w:t>20</w:t>
            </w:r>
            <w:r>
              <w:rPr>
                <w:rFonts w:hint="eastAsia"/>
                <w:sz w:val="21"/>
                <w:szCs w:val="21"/>
              </w:rPr>
              <w:t>22.</w:t>
            </w:r>
            <w:r>
              <w:rPr>
                <w:rFonts w:hint="eastAsia"/>
                <w:sz w:val="21"/>
                <w:szCs w:val="21"/>
                <w:lang w:val="en-US" w:eastAsia="zh-CN"/>
              </w:rPr>
              <w:t>12</w:t>
            </w:r>
            <w:r>
              <w:rPr>
                <w:rFonts w:hint="eastAsia"/>
                <w:sz w:val="21"/>
                <w:szCs w:val="21"/>
              </w:rPr>
              <w:t>.</w:t>
            </w:r>
            <w:r>
              <w:rPr>
                <w:rFonts w:hint="eastAsia"/>
                <w:sz w:val="21"/>
                <w:szCs w:val="21"/>
                <w:lang w:val="en-US" w:eastAsia="zh-CN"/>
              </w:rPr>
              <w:t>13</w:t>
            </w:r>
          </w:p>
        </w:tc>
        <w:tc>
          <w:tcPr>
            <w:tcW w:w="2161" w:type="dxa"/>
            <w:vAlign w:val="center"/>
          </w:tcPr>
          <w:p>
            <w:pPr>
              <w:spacing w:line="240" w:lineRule="auto"/>
              <w:jc w:val="center"/>
              <w:rPr>
                <w:rFonts w:hint="default" w:eastAsia="宋体"/>
                <w:sz w:val="21"/>
                <w:szCs w:val="21"/>
                <w:lang w:val="en-US" w:eastAsia="zh-CN"/>
              </w:rPr>
            </w:pPr>
            <w:r>
              <w:rPr>
                <w:rFonts w:hint="eastAsia"/>
                <w:sz w:val="21"/>
                <w:szCs w:val="21"/>
                <w:lang w:val="en-US" w:eastAsia="zh-CN"/>
              </w:rPr>
              <w:t>60000</w:t>
            </w:r>
          </w:p>
        </w:tc>
        <w:tc>
          <w:tcPr>
            <w:tcW w:w="2266" w:type="dxa"/>
            <w:vAlign w:val="center"/>
          </w:tcPr>
          <w:p>
            <w:pPr>
              <w:spacing w:line="240" w:lineRule="auto"/>
              <w:jc w:val="center"/>
              <w:rPr>
                <w:rFonts w:hint="default" w:eastAsia="宋体"/>
                <w:sz w:val="21"/>
                <w:szCs w:val="21"/>
                <w:lang w:val="en-US" w:eastAsia="zh-CN"/>
              </w:rPr>
            </w:pPr>
            <w:r>
              <w:rPr>
                <w:rFonts w:hint="eastAsia"/>
                <w:sz w:val="21"/>
                <w:szCs w:val="21"/>
                <w:lang w:val="en-US" w:eastAsia="zh-CN"/>
              </w:rPr>
              <w:t>54000</w:t>
            </w:r>
          </w:p>
        </w:tc>
        <w:tc>
          <w:tcPr>
            <w:tcW w:w="2218" w:type="dxa"/>
            <w:vAlign w:val="center"/>
          </w:tcPr>
          <w:p>
            <w:pPr>
              <w:spacing w:line="240" w:lineRule="auto"/>
              <w:jc w:val="center"/>
              <w:rPr>
                <w:rFonts w:hint="default"/>
                <w:sz w:val="21"/>
                <w:szCs w:val="21"/>
                <w:lang w:val="en-US"/>
              </w:rPr>
            </w:pPr>
            <w:r>
              <w:rPr>
                <w:rFonts w:hint="eastAsia"/>
                <w:sz w:val="21"/>
                <w:szCs w:val="21"/>
                <w:lang w:val="en-US" w:eastAsia="zh-CN"/>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2213" w:type="dxa"/>
            <w:vAlign w:val="center"/>
          </w:tcPr>
          <w:p>
            <w:pPr>
              <w:spacing w:line="240" w:lineRule="auto"/>
              <w:jc w:val="center"/>
              <w:rPr>
                <w:rFonts w:hint="default" w:eastAsia="宋体"/>
                <w:sz w:val="21"/>
                <w:szCs w:val="21"/>
                <w:lang w:val="en-US" w:eastAsia="zh-CN"/>
              </w:rPr>
            </w:pPr>
            <w:r>
              <w:rPr>
                <w:sz w:val="21"/>
                <w:szCs w:val="21"/>
              </w:rPr>
              <w:t>20</w:t>
            </w:r>
            <w:r>
              <w:rPr>
                <w:rFonts w:hint="eastAsia"/>
                <w:sz w:val="21"/>
                <w:szCs w:val="21"/>
              </w:rPr>
              <w:t>22.</w:t>
            </w:r>
            <w:r>
              <w:rPr>
                <w:rFonts w:hint="eastAsia"/>
                <w:sz w:val="21"/>
                <w:szCs w:val="21"/>
                <w:lang w:val="en-US" w:eastAsia="zh-CN"/>
              </w:rPr>
              <w:t>12</w:t>
            </w:r>
            <w:r>
              <w:rPr>
                <w:rFonts w:hint="eastAsia"/>
                <w:sz w:val="21"/>
                <w:szCs w:val="21"/>
              </w:rPr>
              <w:t>.</w:t>
            </w:r>
            <w:r>
              <w:rPr>
                <w:rFonts w:hint="eastAsia"/>
                <w:sz w:val="21"/>
                <w:szCs w:val="21"/>
                <w:lang w:val="en-US" w:eastAsia="zh-CN"/>
              </w:rPr>
              <w:t>14</w:t>
            </w:r>
          </w:p>
        </w:tc>
        <w:tc>
          <w:tcPr>
            <w:tcW w:w="2161" w:type="dxa"/>
            <w:vAlign w:val="center"/>
          </w:tcPr>
          <w:p>
            <w:pPr>
              <w:spacing w:line="240" w:lineRule="auto"/>
              <w:jc w:val="center"/>
              <w:rPr>
                <w:rFonts w:hint="default" w:eastAsia="宋体"/>
                <w:sz w:val="21"/>
                <w:szCs w:val="21"/>
                <w:lang w:val="en-US" w:eastAsia="zh-CN"/>
              </w:rPr>
            </w:pPr>
            <w:r>
              <w:rPr>
                <w:rFonts w:hint="eastAsia"/>
                <w:sz w:val="21"/>
                <w:szCs w:val="21"/>
                <w:lang w:val="en-US" w:eastAsia="zh-CN"/>
              </w:rPr>
              <w:t>60000</w:t>
            </w:r>
          </w:p>
        </w:tc>
        <w:tc>
          <w:tcPr>
            <w:tcW w:w="2266" w:type="dxa"/>
            <w:vAlign w:val="center"/>
          </w:tcPr>
          <w:p>
            <w:pPr>
              <w:spacing w:line="240" w:lineRule="auto"/>
              <w:jc w:val="center"/>
              <w:rPr>
                <w:rFonts w:hint="default" w:eastAsia="宋体"/>
                <w:sz w:val="21"/>
                <w:szCs w:val="21"/>
                <w:lang w:val="en-US" w:eastAsia="zh-CN"/>
              </w:rPr>
            </w:pPr>
            <w:r>
              <w:rPr>
                <w:rFonts w:hint="eastAsia"/>
                <w:sz w:val="21"/>
                <w:szCs w:val="21"/>
                <w:lang w:val="en-US" w:eastAsia="zh-CN"/>
              </w:rPr>
              <w:t>54500</w:t>
            </w:r>
          </w:p>
        </w:tc>
        <w:tc>
          <w:tcPr>
            <w:tcW w:w="2218" w:type="dxa"/>
            <w:vAlign w:val="center"/>
          </w:tcPr>
          <w:p>
            <w:pPr>
              <w:spacing w:line="240" w:lineRule="auto"/>
              <w:jc w:val="center"/>
              <w:rPr>
                <w:rFonts w:hint="default"/>
                <w:sz w:val="21"/>
                <w:szCs w:val="21"/>
                <w:lang w:val="en-US"/>
              </w:rPr>
            </w:pPr>
            <w:r>
              <w:rPr>
                <w:rFonts w:hint="eastAsia"/>
                <w:sz w:val="21"/>
                <w:szCs w:val="21"/>
                <w:lang w:val="en-US" w:eastAsia="zh-CN"/>
              </w:rPr>
              <w:t>91</w:t>
            </w:r>
          </w:p>
        </w:tc>
      </w:tr>
    </w:tbl>
    <w:p>
      <w:pPr>
        <w:pStyle w:val="6"/>
        <w:keepNext/>
        <w:keepLines w:val="0"/>
        <w:pageBreakBefore w:val="0"/>
        <w:widowControl w:val="0"/>
        <w:kinsoku/>
        <w:wordWrap/>
        <w:overflowPunct/>
        <w:topLinePunct w:val="0"/>
        <w:autoSpaceDE/>
        <w:autoSpaceDN/>
        <w:bidi w:val="0"/>
        <w:adjustRightInd/>
        <w:snapToGrid/>
        <w:spacing w:beforeLines="0" w:afterLines="0"/>
        <w:textAlignment w:val="auto"/>
      </w:pPr>
      <w:bookmarkStart w:id="125" w:name="_Toc10183"/>
      <w:bookmarkStart w:id="126" w:name="_Toc28768"/>
      <w:bookmarkStart w:id="127" w:name="_Toc22112"/>
      <w:r>
        <w:rPr>
          <w:rFonts w:hint="eastAsia"/>
          <w:color w:val="auto"/>
          <w:sz w:val="32"/>
          <w:szCs w:val="32"/>
        </w:rPr>
        <w:t>9.2环保设施调试效果</w:t>
      </w:r>
      <w:bookmarkEnd w:id="125"/>
      <w:bookmarkEnd w:id="126"/>
      <w:bookmarkEnd w:id="127"/>
    </w:p>
    <w:p>
      <w:pPr>
        <w:spacing w:line="360" w:lineRule="auto"/>
        <w:ind w:firstLine="480" w:firstLineChars="200"/>
      </w:pPr>
      <w:r>
        <w:rPr>
          <w:rFonts w:hint="eastAsia"/>
        </w:rPr>
        <w:t>验</w:t>
      </w:r>
      <w:r>
        <w:t>收期间监测点位布置如图9.2-1所示。</w:t>
      </w:r>
    </w:p>
    <w:p/>
    <w:p>
      <w:pPr>
        <w:sectPr>
          <w:pgSz w:w="11907" w:h="16840"/>
          <w:pgMar w:top="1440" w:right="1800" w:bottom="1440" w:left="1800" w:header="794" w:footer="964" w:gutter="0"/>
          <w:pgNumType w:fmt="decimal"/>
          <w:cols w:space="720" w:num="1"/>
          <w:docGrid w:linePitch="395" w:charSpace="0"/>
        </w:sectPr>
      </w:pPr>
    </w:p>
    <w:p>
      <w:pPr>
        <w:jc w:val="center"/>
        <w:rPr>
          <w:rFonts w:hint="eastAsia" w:ascii="Times New Roman" w:hAnsi="Times New Roman" w:eastAsia="黑体" w:cs="Times New Roman"/>
          <w:b/>
          <w:bCs/>
          <w:sz w:val="21"/>
          <w:szCs w:val="21"/>
          <w:lang w:eastAsia="zh-CN"/>
        </w:rPr>
      </w:pPr>
      <w:r>
        <w:rPr>
          <w:rFonts w:hint="eastAsia" w:ascii="Times New Roman" w:hAnsi="Times New Roman" w:eastAsia="黑体" w:cs="Times New Roman"/>
          <w:b/>
          <w:bCs/>
          <w:sz w:val="21"/>
          <w:szCs w:val="21"/>
          <w:lang w:eastAsia="zh-CN"/>
        </w:rPr>
        <w:drawing>
          <wp:inline distT="0" distB="0" distL="114300" distR="114300">
            <wp:extent cx="6972300" cy="5372100"/>
            <wp:effectExtent l="0" t="0" r="0" b="0"/>
            <wp:docPr id="46" name="图片 46"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2"/>
                    <pic:cNvPicPr>
                      <a:picLocks noChangeAspect="1"/>
                    </pic:cNvPicPr>
                  </pic:nvPicPr>
                  <pic:blipFill>
                    <a:blip r:embed="rId47"/>
                    <a:stretch>
                      <a:fillRect/>
                    </a:stretch>
                  </pic:blipFill>
                  <pic:spPr>
                    <a:xfrm>
                      <a:off x="0" y="0"/>
                      <a:ext cx="6972300" cy="5372100"/>
                    </a:xfrm>
                    <a:prstGeom prst="rect">
                      <a:avLst/>
                    </a:prstGeom>
                  </pic:spPr>
                </pic:pic>
              </a:graphicData>
            </a:graphic>
          </wp:inline>
        </w:drawing>
      </w:r>
    </w:p>
    <w:p>
      <w:pPr>
        <w:jc w:val="center"/>
        <w:rPr>
          <w:rFonts w:hint="eastAsia" w:ascii="Times New Roman" w:hAnsi="Times New Roman" w:eastAsia="黑体" w:cs="Times New Roman"/>
          <w:b w:val="0"/>
          <w:bCs w:val="0"/>
          <w:sz w:val="21"/>
          <w:szCs w:val="21"/>
          <w:lang w:val="en-US" w:eastAsia="zh-CN"/>
        </w:rPr>
      </w:pPr>
      <w:r>
        <w:rPr>
          <w:rFonts w:hint="eastAsia" w:ascii="Times New Roman" w:hAnsi="Times New Roman" w:eastAsia="黑体" w:cs="Times New Roman"/>
          <w:b w:val="0"/>
          <w:bCs w:val="0"/>
          <w:sz w:val="21"/>
          <w:szCs w:val="21"/>
          <w:lang w:val="en-US" w:eastAsia="zh-CN"/>
        </w:rPr>
        <w:t>图9.2-1 验收期间监测点位布置图（</w:t>
      </w:r>
      <w:r>
        <w:rPr>
          <w:rFonts w:hint="eastAsia" w:eastAsia="黑体" w:cs="Times New Roman"/>
          <w:b w:val="0"/>
          <w:bCs w:val="0"/>
          <w:sz w:val="21"/>
          <w:szCs w:val="21"/>
          <w:lang w:val="en-US" w:eastAsia="zh-CN"/>
        </w:rPr>
        <w:t>12</w:t>
      </w:r>
      <w:r>
        <w:rPr>
          <w:rFonts w:hint="eastAsia" w:ascii="Times New Roman" w:hAnsi="Times New Roman" w:eastAsia="黑体" w:cs="Times New Roman"/>
          <w:b w:val="0"/>
          <w:bCs w:val="0"/>
          <w:sz w:val="21"/>
          <w:szCs w:val="21"/>
          <w:lang w:val="en-US" w:eastAsia="zh-CN"/>
        </w:rPr>
        <w:t>.</w:t>
      </w:r>
      <w:r>
        <w:rPr>
          <w:rFonts w:hint="eastAsia" w:eastAsia="黑体" w:cs="Times New Roman"/>
          <w:b w:val="0"/>
          <w:bCs w:val="0"/>
          <w:sz w:val="21"/>
          <w:szCs w:val="21"/>
          <w:lang w:val="en-US" w:eastAsia="zh-CN"/>
        </w:rPr>
        <w:t>13</w:t>
      </w:r>
      <w:r>
        <w:rPr>
          <w:rFonts w:hint="eastAsia" w:ascii="Times New Roman" w:hAnsi="Times New Roman" w:eastAsia="黑体" w:cs="Times New Roman"/>
          <w:b w:val="0"/>
          <w:bCs w:val="0"/>
          <w:sz w:val="21"/>
          <w:szCs w:val="21"/>
          <w:lang w:val="en-US" w:eastAsia="zh-CN"/>
        </w:rPr>
        <w:t>）</w:t>
      </w:r>
    </w:p>
    <w:p>
      <w:pPr>
        <w:rPr>
          <w:rFonts w:hint="eastAsia" w:eastAsia="宋体"/>
          <w:lang w:val="en-US" w:eastAsia="zh-CN"/>
        </w:rPr>
      </w:pPr>
      <w:r>
        <w:br w:type="page"/>
      </w:r>
    </w:p>
    <w:p>
      <w:pPr>
        <w:jc w:val="center"/>
        <w:rPr>
          <w:rFonts w:hint="eastAsia" w:ascii="Times New Roman" w:hAnsi="Times New Roman" w:eastAsia="黑体" w:cs="Times New Roman"/>
          <w:b/>
          <w:bCs/>
          <w:sz w:val="21"/>
          <w:szCs w:val="21"/>
          <w:lang w:eastAsia="zh-CN"/>
        </w:rPr>
      </w:pPr>
      <w:r>
        <w:rPr>
          <w:rFonts w:hint="eastAsia" w:ascii="Times New Roman" w:hAnsi="Times New Roman" w:eastAsia="黑体" w:cs="Times New Roman"/>
          <w:b/>
          <w:bCs/>
          <w:sz w:val="21"/>
          <w:szCs w:val="21"/>
          <w:lang w:eastAsia="zh-CN"/>
        </w:rPr>
        <w:drawing>
          <wp:inline distT="0" distB="0" distL="114300" distR="114300">
            <wp:extent cx="6905625" cy="5343525"/>
            <wp:effectExtent l="0" t="0" r="9525" b="9525"/>
            <wp:docPr id="42" name="图片 4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图片1"/>
                    <pic:cNvPicPr>
                      <a:picLocks noChangeAspect="1"/>
                    </pic:cNvPicPr>
                  </pic:nvPicPr>
                  <pic:blipFill>
                    <a:blip r:embed="rId48"/>
                    <a:stretch>
                      <a:fillRect/>
                    </a:stretch>
                  </pic:blipFill>
                  <pic:spPr>
                    <a:xfrm>
                      <a:off x="0" y="0"/>
                      <a:ext cx="6905625" cy="5343525"/>
                    </a:xfrm>
                    <a:prstGeom prst="rect">
                      <a:avLst/>
                    </a:prstGeom>
                  </pic:spPr>
                </pic:pic>
              </a:graphicData>
            </a:graphic>
          </wp:inline>
        </w:drawing>
      </w:r>
    </w:p>
    <w:p>
      <w:pPr>
        <w:jc w:val="center"/>
        <w:rPr>
          <w:rFonts w:hint="eastAsia" w:ascii="Times New Roman" w:hAnsi="Times New Roman" w:eastAsia="黑体" w:cs="Times New Roman"/>
          <w:b w:val="0"/>
          <w:bCs w:val="0"/>
          <w:sz w:val="21"/>
          <w:szCs w:val="21"/>
          <w:lang w:val="en-US" w:eastAsia="zh-CN"/>
        </w:rPr>
      </w:pPr>
      <w:r>
        <w:rPr>
          <w:rFonts w:hint="eastAsia" w:ascii="Times New Roman" w:hAnsi="Times New Roman" w:eastAsia="黑体" w:cs="Times New Roman"/>
          <w:b w:val="0"/>
          <w:bCs w:val="0"/>
          <w:sz w:val="21"/>
          <w:szCs w:val="21"/>
          <w:lang w:val="en-US" w:eastAsia="zh-CN"/>
        </w:rPr>
        <w:t>图9.2-2 验收期间监测点位布置图（</w:t>
      </w:r>
      <w:r>
        <w:rPr>
          <w:rFonts w:hint="eastAsia" w:eastAsia="黑体" w:cs="Times New Roman"/>
          <w:b w:val="0"/>
          <w:bCs w:val="0"/>
          <w:sz w:val="21"/>
          <w:szCs w:val="21"/>
          <w:lang w:val="en-US" w:eastAsia="zh-CN"/>
        </w:rPr>
        <w:t>12</w:t>
      </w:r>
      <w:r>
        <w:rPr>
          <w:rFonts w:hint="eastAsia" w:ascii="Times New Roman" w:hAnsi="Times New Roman" w:eastAsia="黑体" w:cs="Times New Roman"/>
          <w:b w:val="0"/>
          <w:bCs w:val="0"/>
          <w:sz w:val="21"/>
          <w:szCs w:val="21"/>
          <w:lang w:val="en-US" w:eastAsia="zh-CN"/>
        </w:rPr>
        <w:t>.</w:t>
      </w:r>
      <w:r>
        <w:rPr>
          <w:rFonts w:hint="eastAsia" w:eastAsia="黑体" w:cs="Times New Roman"/>
          <w:b w:val="0"/>
          <w:bCs w:val="0"/>
          <w:sz w:val="21"/>
          <w:szCs w:val="21"/>
          <w:lang w:val="en-US" w:eastAsia="zh-CN"/>
        </w:rPr>
        <w:t>14</w:t>
      </w:r>
      <w:r>
        <w:rPr>
          <w:rFonts w:hint="eastAsia" w:ascii="Times New Roman" w:hAnsi="Times New Roman" w:eastAsia="黑体" w:cs="Times New Roman"/>
          <w:b w:val="0"/>
          <w:bCs w:val="0"/>
          <w:sz w:val="21"/>
          <w:szCs w:val="21"/>
          <w:lang w:val="en-US" w:eastAsia="zh-CN"/>
        </w:rPr>
        <w:t>）</w:t>
      </w:r>
    </w:p>
    <w:p>
      <w:pPr>
        <w:jc w:val="center"/>
        <w:rPr>
          <w:rFonts w:hint="eastAsia" w:ascii="Times New Roman" w:hAnsi="Times New Roman" w:eastAsia="黑体" w:cs="Times New Roman"/>
          <w:b w:val="0"/>
          <w:bCs w:val="0"/>
          <w:sz w:val="21"/>
          <w:szCs w:val="21"/>
          <w:lang w:val="en-US" w:eastAsia="zh-CN"/>
        </w:rPr>
        <w:sectPr>
          <w:headerReference r:id="rId22" w:type="default"/>
          <w:pgSz w:w="16840" w:h="11907" w:orient="landscape"/>
          <w:pgMar w:top="1440" w:right="1800" w:bottom="1440" w:left="1800" w:header="850" w:footer="964" w:gutter="0"/>
          <w:pgNumType w:fmt="decimal"/>
          <w:cols w:space="720" w:num="1"/>
          <w:docGrid w:linePitch="395" w:charSpace="0"/>
        </w:sectPr>
      </w:pPr>
    </w:p>
    <w:p>
      <w:pPr>
        <w:pStyle w:val="7"/>
        <w:keepNext/>
        <w:keepLines/>
        <w:pageBreakBefore w:val="0"/>
        <w:widowControl w:val="0"/>
        <w:kinsoku/>
        <w:wordWrap/>
        <w:overflowPunct/>
        <w:topLinePunct w:val="0"/>
        <w:autoSpaceDE/>
        <w:autoSpaceDN/>
        <w:bidi w:val="0"/>
        <w:adjustRightInd/>
        <w:snapToGrid/>
        <w:spacing w:beforeLines="0" w:afterLines="0"/>
        <w:ind w:firstLine="301"/>
        <w:textAlignment w:val="auto"/>
        <w:rPr>
          <w:sz w:val="30"/>
          <w:szCs w:val="30"/>
        </w:rPr>
      </w:pPr>
      <w:r>
        <w:rPr>
          <w:rFonts w:hint="eastAsia"/>
          <w:sz w:val="30"/>
          <w:szCs w:val="30"/>
        </w:rPr>
        <w:t>9</w:t>
      </w:r>
      <w:r>
        <w:rPr>
          <w:sz w:val="30"/>
          <w:szCs w:val="30"/>
        </w:rPr>
        <w:t>.</w:t>
      </w:r>
      <w:r>
        <w:rPr>
          <w:rFonts w:hint="eastAsia"/>
          <w:sz w:val="30"/>
          <w:szCs w:val="30"/>
        </w:rPr>
        <w:t>2</w:t>
      </w:r>
      <w:r>
        <w:rPr>
          <w:sz w:val="30"/>
          <w:szCs w:val="30"/>
        </w:rPr>
        <w:t>.</w:t>
      </w:r>
      <w:r>
        <w:rPr>
          <w:rFonts w:hint="eastAsia"/>
          <w:sz w:val="30"/>
          <w:szCs w:val="30"/>
        </w:rPr>
        <w:t>1</w:t>
      </w:r>
      <w:r>
        <w:rPr>
          <w:sz w:val="30"/>
          <w:szCs w:val="30"/>
        </w:rPr>
        <w:t>废</w:t>
      </w:r>
      <w:r>
        <w:rPr>
          <w:rFonts w:hint="eastAsia"/>
          <w:sz w:val="30"/>
          <w:szCs w:val="30"/>
        </w:rPr>
        <w:t>气</w:t>
      </w:r>
    </w:p>
    <w:p>
      <w:pPr>
        <w:ind w:firstLine="480" w:firstLineChars="200"/>
      </w:pPr>
      <w:r>
        <w:rPr>
          <w:rFonts w:hint="eastAsia"/>
        </w:rPr>
        <w:t>（1）</w:t>
      </w:r>
      <w:r>
        <w:t>有组织废气监测结果</w:t>
      </w:r>
    </w:p>
    <w:p>
      <w:pPr>
        <w:ind w:firstLine="480" w:firstLineChars="200"/>
      </w:pPr>
      <w:r>
        <w:t>本次验收监测项目废气</w:t>
      </w:r>
      <w:r>
        <w:rPr>
          <w:bCs/>
          <w:kern w:val="0"/>
          <w:szCs w:val="20"/>
        </w:rPr>
        <w:t>排放情况如下所示。</w:t>
      </w:r>
    </w:p>
    <w:p>
      <w:pPr>
        <w:jc w:val="center"/>
        <w:rPr>
          <w:rFonts w:hint="eastAsia" w:ascii="Times New Roman" w:hAnsi="Times New Roman" w:eastAsia="黑体" w:cs="Times New Roman"/>
          <w:b w:val="0"/>
          <w:bCs w:val="0"/>
          <w:sz w:val="21"/>
          <w:szCs w:val="21"/>
          <w:lang w:val="en-US" w:eastAsia="zh-CN"/>
        </w:rPr>
      </w:pPr>
      <w:r>
        <w:rPr>
          <w:rFonts w:hint="eastAsia" w:ascii="Times New Roman" w:hAnsi="Times New Roman" w:eastAsia="黑体" w:cs="Times New Roman"/>
          <w:b w:val="0"/>
          <w:bCs w:val="0"/>
          <w:sz w:val="21"/>
          <w:szCs w:val="21"/>
          <w:lang w:val="en-US" w:eastAsia="zh-CN"/>
        </w:rPr>
        <w:t>表9.2-1 废气监测结果统计表</w:t>
      </w:r>
    </w:p>
    <w:tbl>
      <w:tblPr>
        <w:tblStyle w:val="18"/>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815"/>
        <w:gridCol w:w="2577"/>
        <w:gridCol w:w="1428"/>
        <w:gridCol w:w="1428"/>
        <w:gridCol w:w="1374"/>
        <w:gridCol w:w="1374"/>
        <w:gridCol w:w="1374"/>
        <w:gridCol w:w="1409"/>
        <w:gridCol w:w="810"/>
        <w:gridCol w:w="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1" w:hRule="atLeast"/>
          <w:tblHeader/>
          <w:jc w:val="center"/>
        </w:trPr>
        <w:tc>
          <w:tcPr>
            <w:tcW w:w="303" w:type="pct"/>
            <w:vMerge w:val="restart"/>
            <w:shd w:val="clear" w:color="auto" w:fill="auto"/>
            <w:noWrap w:val="0"/>
            <w:vAlign w:val="center"/>
          </w:tcPr>
          <w:p>
            <w:pPr>
              <w:jc w:val="center"/>
              <w:rPr>
                <w:b/>
                <w:color w:val="000000"/>
                <w:kern w:val="0"/>
                <w:sz w:val="21"/>
                <w:szCs w:val="21"/>
              </w:rPr>
            </w:pPr>
            <w:r>
              <w:rPr>
                <w:b/>
                <w:color w:val="000000"/>
                <w:kern w:val="0"/>
                <w:sz w:val="21"/>
                <w:szCs w:val="21"/>
              </w:rPr>
              <w:t>检测点位</w:t>
            </w:r>
          </w:p>
        </w:tc>
        <w:tc>
          <w:tcPr>
            <w:tcW w:w="958" w:type="pct"/>
            <w:vMerge w:val="restart"/>
            <w:tcBorders>
              <w:tr2bl w:val="single" w:color="auto" w:sz="4" w:space="0"/>
            </w:tcBorders>
            <w:shd w:val="clear" w:color="auto" w:fill="auto"/>
            <w:noWrap w:val="0"/>
            <w:vAlign w:val="center"/>
          </w:tcPr>
          <w:p>
            <w:pPr>
              <w:snapToGrid w:val="0"/>
              <w:jc w:val="left"/>
              <w:rPr>
                <w:b/>
                <w:color w:val="000000"/>
                <w:kern w:val="0"/>
                <w:sz w:val="21"/>
                <w:szCs w:val="21"/>
              </w:rPr>
            </w:pPr>
            <w:r>
              <w:rPr>
                <w:b/>
                <w:color w:val="000000"/>
                <w:kern w:val="0"/>
                <w:sz w:val="21"/>
                <w:szCs w:val="21"/>
              </w:rPr>
              <w:t>检测因子</w:t>
            </w:r>
          </w:p>
          <w:p>
            <w:pPr>
              <w:jc w:val="right"/>
              <w:rPr>
                <w:b/>
                <w:color w:val="000000"/>
                <w:kern w:val="0"/>
                <w:sz w:val="21"/>
                <w:szCs w:val="21"/>
              </w:rPr>
            </w:pPr>
            <w:r>
              <w:rPr>
                <w:b/>
                <w:color w:val="000000"/>
                <w:kern w:val="0"/>
                <w:sz w:val="21"/>
                <w:szCs w:val="21"/>
              </w:rPr>
              <w:t>日期/频次</w:t>
            </w:r>
          </w:p>
        </w:tc>
        <w:tc>
          <w:tcPr>
            <w:tcW w:w="1573" w:type="pct"/>
            <w:gridSpan w:val="3"/>
            <w:shd w:val="clear" w:color="auto" w:fill="auto"/>
            <w:noWrap w:val="0"/>
            <w:vAlign w:val="center"/>
          </w:tcPr>
          <w:p>
            <w:pPr>
              <w:spacing w:line="280" w:lineRule="exact"/>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rPr>
              <w:t>202</w:t>
            </w:r>
            <w:r>
              <w:rPr>
                <w:rFonts w:hint="eastAsia" w:ascii="Times New Roman" w:hAnsi="Times New Roman" w:eastAsia="宋体" w:cs="Times New Roman"/>
                <w:sz w:val="21"/>
                <w:szCs w:val="21"/>
                <w:lang w:val="en-US" w:eastAsia="zh-CN"/>
              </w:rPr>
              <w:t>2</w:t>
            </w:r>
            <w:r>
              <w:rPr>
                <w:rFonts w:hint="eastAsia" w:ascii="Times New Roman" w:hAnsi="Times New Roman" w:eastAsia="宋体" w:cs="Times New Roman"/>
                <w:sz w:val="21"/>
                <w:szCs w:val="21"/>
              </w:rPr>
              <w:t>-</w:t>
            </w:r>
            <w:r>
              <w:rPr>
                <w:rFonts w:hint="eastAsia" w:cs="Times New Roman"/>
                <w:sz w:val="21"/>
                <w:szCs w:val="21"/>
                <w:lang w:val="en-US" w:eastAsia="zh-CN"/>
              </w:rPr>
              <w:t>12</w:t>
            </w:r>
            <w:r>
              <w:rPr>
                <w:rFonts w:hint="eastAsia" w:ascii="Times New Roman" w:hAnsi="Times New Roman" w:eastAsia="宋体" w:cs="Times New Roman"/>
                <w:sz w:val="21"/>
                <w:szCs w:val="21"/>
              </w:rPr>
              <w:t>-</w:t>
            </w:r>
            <w:r>
              <w:rPr>
                <w:rFonts w:hint="eastAsia" w:cs="Times New Roman"/>
                <w:sz w:val="21"/>
                <w:szCs w:val="21"/>
                <w:lang w:val="en-US" w:eastAsia="zh-CN"/>
              </w:rPr>
              <w:t>13</w:t>
            </w:r>
          </w:p>
        </w:tc>
        <w:tc>
          <w:tcPr>
            <w:tcW w:w="1546" w:type="pct"/>
            <w:gridSpan w:val="3"/>
            <w:shd w:val="clear" w:color="auto" w:fill="auto"/>
            <w:noWrap w:val="0"/>
            <w:vAlign w:val="center"/>
          </w:tcPr>
          <w:p>
            <w:pPr>
              <w:spacing w:line="280" w:lineRule="exact"/>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rPr>
              <w:t>202</w:t>
            </w:r>
            <w:r>
              <w:rPr>
                <w:rFonts w:hint="eastAsia" w:ascii="Times New Roman" w:hAnsi="Times New Roman" w:eastAsia="宋体" w:cs="Times New Roman"/>
                <w:sz w:val="21"/>
                <w:szCs w:val="21"/>
                <w:lang w:val="en-US" w:eastAsia="zh-CN"/>
              </w:rPr>
              <w:t>2</w:t>
            </w:r>
            <w:r>
              <w:rPr>
                <w:rFonts w:hint="eastAsia" w:ascii="Times New Roman" w:hAnsi="Times New Roman" w:eastAsia="宋体" w:cs="Times New Roman"/>
                <w:sz w:val="21"/>
                <w:szCs w:val="21"/>
              </w:rPr>
              <w:t>-</w:t>
            </w:r>
            <w:r>
              <w:rPr>
                <w:rFonts w:hint="eastAsia" w:cs="Times New Roman"/>
                <w:sz w:val="21"/>
                <w:szCs w:val="21"/>
                <w:lang w:val="en-US" w:eastAsia="zh-CN"/>
              </w:rPr>
              <w:t>12</w:t>
            </w:r>
            <w:r>
              <w:rPr>
                <w:rFonts w:hint="eastAsia" w:ascii="Times New Roman" w:hAnsi="Times New Roman" w:eastAsia="宋体" w:cs="Times New Roman"/>
                <w:sz w:val="21"/>
                <w:szCs w:val="21"/>
              </w:rPr>
              <w:t>-1</w:t>
            </w:r>
            <w:r>
              <w:rPr>
                <w:rFonts w:hint="eastAsia" w:cs="Times New Roman"/>
                <w:sz w:val="21"/>
                <w:szCs w:val="21"/>
                <w:lang w:val="en-US" w:eastAsia="zh-CN"/>
              </w:rPr>
              <w:t>4</w:t>
            </w:r>
          </w:p>
        </w:tc>
        <w:tc>
          <w:tcPr>
            <w:tcW w:w="301" w:type="pct"/>
            <w:vMerge w:val="restart"/>
            <w:shd w:val="clear" w:color="auto" w:fill="auto"/>
            <w:noWrap w:val="0"/>
            <w:vAlign w:val="center"/>
          </w:tcPr>
          <w:p>
            <w:pPr>
              <w:jc w:val="center"/>
              <w:rPr>
                <w:b/>
                <w:color w:val="000000"/>
                <w:kern w:val="0"/>
                <w:sz w:val="21"/>
                <w:szCs w:val="21"/>
              </w:rPr>
            </w:pPr>
            <w:r>
              <w:rPr>
                <w:b/>
                <w:color w:val="000000"/>
                <w:kern w:val="0"/>
                <w:sz w:val="21"/>
                <w:szCs w:val="21"/>
              </w:rPr>
              <w:t>标准限值</w:t>
            </w:r>
          </w:p>
        </w:tc>
        <w:tc>
          <w:tcPr>
            <w:tcW w:w="317" w:type="pct"/>
            <w:vMerge w:val="restart"/>
            <w:shd w:val="clear" w:color="auto" w:fill="auto"/>
            <w:noWrap w:val="0"/>
            <w:vAlign w:val="center"/>
          </w:tcPr>
          <w:p>
            <w:pPr>
              <w:jc w:val="center"/>
              <w:rPr>
                <w:b/>
                <w:color w:val="000000"/>
                <w:kern w:val="0"/>
                <w:sz w:val="21"/>
                <w:szCs w:val="21"/>
              </w:rPr>
            </w:pPr>
            <w:r>
              <w:rPr>
                <w:b/>
                <w:color w:val="000000"/>
                <w:kern w:val="0"/>
                <w:sz w:val="21"/>
                <w:szCs w:val="21"/>
              </w:rPr>
              <w:t>是否达标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1" w:hRule="atLeast"/>
          <w:tblHeader/>
          <w:jc w:val="center"/>
        </w:trPr>
        <w:tc>
          <w:tcPr>
            <w:tcW w:w="303" w:type="pct"/>
            <w:vMerge w:val="continue"/>
            <w:shd w:val="clear" w:color="auto" w:fill="auto"/>
            <w:noWrap w:val="0"/>
            <w:vAlign w:val="center"/>
          </w:tcPr>
          <w:p>
            <w:pPr>
              <w:jc w:val="center"/>
              <w:rPr>
                <w:sz w:val="21"/>
                <w:szCs w:val="21"/>
              </w:rPr>
            </w:pPr>
          </w:p>
        </w:tc>
        <w:tc>
          <w:tcPr>
            <w:tcW w:w="958" w:type="pct"/>
            <w:vMerge w:val="continue"/>
            <w:shd w:val="clear" w:color="auto" w:fill="auto"/>
            <w:noWrap w:val="0"/>
            <w:vAlign w:val="center"/>
          </w:tcPr>
          <w:p>
            <w:pPr>
              <w:jc w:val="center"/>
              <w:rPr>
                <w:sz w:val="21"/>
                <w:szCs w:val="21"/>
              </w:rPr>
            </w:pPr>
          </w:p>
        </w:tc>
        <w:tc>
          <w:tcPr>
            <w:tcW w:w="531" w:type="pct"/>
            <w:shd w:val="clear" w:color="auto" w:fill="auto"/>
            <w:noWrap w:val="0"/>
            <w:vAlign w:val="center"/>
          </w:tcPr>
          <w:p>
            <w:pPr>
              <w:spacing w:line="280" w:lineRule="exact"/>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第一次</w:t>
            </w:r>
          </w:p>
        </w:tc>
        <w:tc>
          <w:tcPr>
            <w:tcW w:w="531" w:type="pct"/>
            <w:shd w:val="clear" w:color="auto" w:fill="auto"/>
            <w:noWrap w:val="0"/>
            <w:vAlign w:val="center"/>
          </w:tcPr>
          <w:p>
            <w:pPr>
              <w:spacing w:line="280" w:lineRule="exact"/>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第二次</w:t>
            </w:r>
          </w:p>
        </w:tc>
        <w:tc>
          <w:tcPr>
            <w:tcW w:w="511" w:type="pct"/>
            <w:shd w:val="clear" w:color="auto" w:fill="auto"/>
            <w:noWrap w:val="0"/>
            <w:vAlign w:val="center"/>
          </w:tcPr>
          <w:p>
            <w:pPr>
              <w:spacing w:line="280" w:lineRule="exact"/>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第三次</w:t>
            </w:r>
          </w:p>
        </w:tc>
        <w:tc>
          <w:tcPr>
            <w:tcW w:w="511" w:type="pct"/>
            <w:shd w:val="clear" w:color="auto" w:fill="auto"/>
            <w:noWrap w:val="0"/>
            <w:vAlign w:val="center"/>
          </w:tcPr>
          <w:p>
            <w:pPr>
              <w:spacing w:line="280" w:lineRule="exact"/>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第一次</w:t>
            </w:r>
          </w:p>
        </w:tc>
        <w:tc>
          <w:tcPr>
            <w:tcW w:w="511" w:type="pct"/>
            <w:shd w:val="clear" w:color="auto" w:fill="auto"/>
            <w:noWrap w:val="0"/>
            <w:vAlign w:val="center"/>
          </w:tcPr>
          <w:p>
            <w:pPr>
              <w:spacing w:line="280" w:lineRule="exact"/>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第二次</w:t>
            </w:r>
          </w:p>
        </w:tc>
        <w:tc>
          <w:tcPr>
            <w:tcW w:w="524" w:type="pct"/>
            <w:shd w:val="clear" w:color="auto" w:fill="auto"/>
            <w:noWrap w:val="0"/>
            <w:vAlign w:val="center"/>
          </w:tcPr>
          <w:p>
            <w:pPr>
              <w:spacing w:line="280" w:lineRule="exact"/>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第三次</w:t>
            </w:r>
          </w:p>
        </w:tc>
        <w:tc>
          <w:tcPr>
            <w:tcW w:w="301" w:type="pct"/>
            <w:vMerge w:val="continue"/>
            <w:shd w:val="clear" w:color="auto" w:fill="auto"/>
            <w:noWrap w:val="0"/>
            <w:vAlign w:val="center"/>
          </w:tcPr>
          <w:p>
            <w:pPr>
              <w:jc w:val="center"/>
              <w:rPr>
                <w:b/>
                <w:color w:val="000000"/>
                <w:kern w:val="0"/>
                <w:sz w:val="21"/>
                <w:szCs w:val="21"/>
              </w:rPr>
            </w:pPr>
          </w:p>
        </w:tc>
        <w:tc>
          <w:tcPr>
            <w:tcW w:w="317" w:type="pct"/>
            <w:vMerge w:val="continue"/>
            <w:shd w:val="clear" w:color="auto" w:fill="auto"/>
            <w:noWrap w:val="0"/>
            <w:vAlign w:val="center"/>
          </w:tcPr>
          <w:p>
            <w:pPr>
              <w:jc w:val="center"/>
              <w:rPr>
                <w:b/>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0" w:hRule="atLeast"/>
          <w:jc w:val="center"/>
        </w:trPr>
        <w:tc>
          <w:tcPr>
            <w:tcW w:w="303" w:type="pct"/>
            <w:vMerge w:val="restart"/>
            <w:shd w:val="clear" w:color="auto" w:fill="auto"/>
            <w:noWrap w:val="0"/>
            <w:vAlign w:val="center"/>
          </w:tcPr>
          <w:p>
            <w:pPr>
              <w:widowControl/>
              <w:adjustRightInd w:val="0"/>
              <w:snapToGrid w:val="0"/>
              <w:jc w:val="center"/>
              <w:rPr>
                <w:rFonts w:hint="default" w:eastAsia="宋体"/>
                <w:bCs/>
                <w:color w:val="000000"/>
                <w:kern w:val="0"/>
                <w:sz w:val="21"/>
                <w:szCs w:val="21"/>
                <w:lang w:val="en-US" w:eastAsia="zh-CN"/>
              </w:rPr>
            </w:pPr>
            <w:r>
              <w:rPr>
                <w:rFonts w:hint="eastAsia" w:cs="Times New Roman"/>
                <w:color w:val="auto"/>
                <w:sz w:val="21"/>
                <w:szCs w:val="21"/>
                <w:lang w:val="en-US" w:eastAsia="zh-CN"/>
              </w:rPr>
              <w:t>2</w:t>
            </w:r>
            <w:r>
              <w:rPr>
                <w:rFonts w:hint="eastAsia" w:ascii="Times New Roman" w:hAnsi="Times New Roman" w:cs="Times New Roman"/>
                <w:color w:val="auto"/>
                <w:sz w:val="21"/>
                <w:szCs w:val="21"/>
                <w:lang w:val="en-US" w:eastAsia="zh-CN"/>
              </w:rPr>
              <w:t>#厂房废气进口</w:t>
            </w:r>
          </w:p>
        </w:tc>
        <w:tc>
          <w:tcPr>
            <w:tcW w:w="958" w:type="pct"/>
            <w:shd w:val="clear" w:color="auto" w:fill="auto"/>
            <w:noWrap w:val="0"/>
            <w:vAlign w:val="center"/>
          </w:tcPr>
          <w:p>
            <w:pPr>
              <w:spacing w:line="280" w:lineRule="exact"/>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标杆流量m</w:t>
            </w:r>
            <w:r>
              <w:rPr>
                <w:rFonts w:hint="eastAsia" w:ascii="Times New Roman" w:hAnsi="Times New Roman" w:eastAsia="宋体" w:cs="Times New Roman"/>
                <w:sz w:val="21"/>
                <w:szCs w:val="21"/>
                <w:vertAlign w:val="superscript"/>
              </w:rPr>
              <w:t>3</w:t>
            </w:r>
            <w:r>
              <w:rPr>
                <w:rFonts w:hint="eastAsia" w:ascii="Times New Roman" w:hAnsi="Times New Roman" w:eastAsia="宋体" w:cs="Times New Roman"/>
                <w:sz w:val="21"/>
                <w:szCs w:val="21"/>
              </w:rPr>
              <w:t>/h</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51282</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49347</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48781</w:t>
            </w:r>
          </w:p>
        </w:tc>
        <w:tc>
          <w:tcPr>
            <w:tcW w:w="511" w:type="pct"/>
            <w:shd w:val="clear" w:color="auto" w:fill="auto"/>
            <w:noWrap w:val="0"/>
            <w:vAlign w:val="center"/>
          </w:tcPr>
          <w:p>
            <w:pPr>
              <w:spacing w:line="240" w:lineRule="auto"/>
              <w:jc w:val="center"/>
              <w:rPr>
                <w:rFonts w:hint="default"/>
                <w:sz w:val="21"/>
                <w:szCs w:val="21"/>
                <w:lang w:val="en-US" w:eastAsia="zh-CN"/>
              </w:rPr>
            </w:pPr>
            <w:r>
              <w:rPr>
                <w:rFonts w:hint="default"/>
                <w:sz w:val="21"/>
                <w:szCs w:val="21"/>
                <w:lang w:val="en-US" w:eastAsia="zh-CN"/>
              </w:rPr>
              <w:t>32896</w:t>
            </w:r>
          </w:p>
        </w:tc>
        <w:tc>
          <w:tcPr>
            <w:tcW w:w="511" w:type="pct"/>
            <w:shd w:val="clear" w:color="auto" w:fill="auto"/>
            <w:noWrap w:val="0"/>
            <w:vAlign w:val="center"/>
          </w:tcPr>
          <w:p>
            <w:pPr>
              <w:spacing w:line="240" w:lineRule="auto"/>
              <w:jc w:val="center"/>
              <w:rPr>
                <w:rFonts w:hint="default"/>
                <w:sz w:val="21"/>
                <w:szCs w:val="21"/>
                <w:lang w:val="en-US" w:eastAsia="zh-CN"/>
              </w:rPr>
            </w:pPr>
            <w:r>
              <w:rPr>
                <w:rFonts w:hint="default"/>
                <w:sz w:val="21"/>
                <w:szCs w:val="21"/>
                <w:lang w:val="en-US" w:eastAsia="zh-CN"/>
              </w:rPr>
              <w:t>29285</w:t>
            </w:r>
          </w:p>
        </w:tc>
        <w:tc>
          <w:tcPr>
            <w:tcW w:w="524" w:type="pct"/>
            <w:shd w:val="clear" w:color="auto" w:fill="auto"/>
            <w:noWrap w:val="0"/>
            <w:vAlign w:val="center"/>
          </w:tcPr>
          <w:p>
            <w:pPr>
              <w:spacing w:line="240" w:lineRule="auto"/>
              <w:jc w:val="center"/>
              <w:rPr>
                <w:rFonts w:hint="default"/>
                <w:sz w:val="21"/>
                <w:szCs w:val="21"/>
                <w:lang w:val="en-US" w:eastAsia="zh-CN"/>
              </w:rPr>
            </w:pPr>
            <w:r>
              <w:rPr>
                <w:rFonts w:hint="default"/>
                <w:sz w:val="21"/>
                <w:szCs w:val="21"/>
                <w:lang w:val="en-US" w:eastAsia="zh-CN"/>
              </w:rPr>
              <w:t>29698</w:t>
            </w:r>
          </w:p>
        </w:tc>
        <w:tc>
          <w:tcPr>
            <w:tcW w:w="301" w:type="pct"/>
            <w:shd w:val="clear" w:color="auto" w:fill="auto"/>
            <w:noWrap w:val="0"/>
            <w:vAlign w:val="center"/>
          </w:tcPr>
          <w:p>
            <w:pPr>
              <w:spacing w:line="240" w:lineRule="auto"/>
              <w:jc w:val="center"/>
              <w:rPr>
                <w:rFonts w:hint="default"/>
                <w:sz w:val="21"/>
                <w:szCs w:val="21"/>
                <w:lang w:val="en-US" w:eastAsia="zh-CN"/>
              </w:rPr>
            </w:pPr>
            <w:r>
              <w:rPr>
                <w:rFonts w:hint="eastAsia"/>
                <w:sz w:val="21"/>
                <w:szCs w:val="21"/>
                <w:lang w:val="en-US" w:eastAsia="zh-CN"/>
              </w:rPr>
              <w:t>/</w:t>
            </w:r>
          </w:p>
        </w:tc>
        <w:tc>
          <w:tcPr>
            <w:tcW w:w="317" w:type="pct"/>
            <w:shd w:val="clear" w:color="auto" w:fill="auto"/>
            <w:noWrap w:val="0"/>
            <w:vAlign w:val="center"/>
          </w:tcPr>
          <w:p>
            <w:pPr>
              <w:spacing w:line="240" w:lineRule="auto"/>
              <w:jc w:val="center"/>
              <w:rPr>
                <w:rFonts w:hint="default"/>
                <w:sz w:val="21"/>
                <w:szCs w:val="21"/>
                <w:lang w:val="en-US" w:eastAsia="zh-CN"/>
              </w:rPr>
            </w:pPr>
            <w:r>
              <w:rPr>
                <w:rFonts w:hint="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0" w:hRule="atLeast"/>
          <w:jc w:val="center"/>
        </w:trPr>
        <w:tc>
          <w:tcPr>
            <w:tcW w:w="303" w:type="pct"/>
            <w:vMerge w:val="continue"/>
            <w:shd w:val="clear" w:color="auto" w:fill="auto"/>
            <w:noWrap w:val="0"/>
            <w:vAlign w:val="center"/>
          </w:tcPr>
          <w:p>
            <w:pPr>
              <w:jc w:val="center"/>
              <w:rPr>
                <w:bCs/>
                <w:color w:val="000000"/>
                <w:kern w:val="0"/>
                <w:sz w:val="21"/>
                <w:szCs w:val="21"/>
              </w:rPr>
            </w:pPr>
          </w:p>
        </w:tc>
        <w:tc>
          <w:tcPr>
            <w:tcW w:w="958" w:type="pct"/>
            <w:shd w:val="clear" w:color="auto" w:fill="auto"/>
            <w:noWrap w:val="0"/>
            <w:vAlign w:val="center"/>
          </w:tcPr>
          <w:p>
            <w:pPr>
              <w:spacing w:line="280" w:lineRule="exact"/>
              <w:jc w:val="center"/>
              <w:rPr>
                <w:rFonts w:hint="eastAsia" w:ascii="Times New Roman" w:hAnsi="Times New Roman" w:eastAsia="宋体" w:cs="Times New Roman"/>
                <w:sz w:val="21"/>
                <w:szCs w:val="21"/>
              </w:rPr>
            </w:pPr>
            <w:r>
              <w:rPr>
                <w:rFonts w:hint="eastAsia" w:ascii="Times New Roman" w:hAnsi="Times New Roman" w:cs="Times New Roman"/>
                <w:b w:val="0"/>
                <w:bCs w:val="0"/>
                <w:color w:val="000000" w:themeColor="text1"/>
                <w:kern w:val="2"/>
                <w:sz w:val="21"/>
                <w:szCs w:val="21"/>
                <w:lang w:val="en-US" w:eastAsia="zh-CN" w:bidi="ar-SA"/>
                <w14:textFill>
                  <w14:solidFill>
                    <w14:schemeClr w14:val="tx1"/>
                  </w14:solidFill>
                </w14:textFill>
              </w:rPr>
              <w:t>颗粒物</w:t>
            </w:r>
            <w:r>
              <w:rPr>
                <w:rFonts w:hint="eastAsia" w:ascii="Times New Roman" w:hAnsi="Times New Roman" w:eastAsia="宋体" w:cs="Times New Roman"/>
                <w:sz w:val="21"/>
                <w:szCs w:val="21"/>
              </w:rPr>
              <w:t>mg/m</w:t>
            </w:r>
            <w:r>
              <w:rPr>
                <w:rFonts w:hint="eastAsia" w:ascii="Times New Roman" w:hAnsi="Times New Roman" w:eastAsia="宋体" w:cs="Times New Roman"/>
                <w:sz w:val="21"/>
                <w:szCs w:val="21"/>
                <w:vertAlign w:val="superscript"/>
              </w:rPr>
              <w:t>3</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32.5</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34.3</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31.4</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32.4</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33.5</w:t>
            </w:r>
          </w:p>
        </w:tc>
        <w:tc>
          <w:tcPr>
            <w:tcW w:w="524"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32.6</w:t>
            </w:r>
          </w:p>
        </w:tc>
        <w:tc>
          <w:tcPr>
            <w:tcW w:w="301" w:type="pct"/>
            <w:shd w:val="clear" w:color="auto" w:fill="auto"/>
            <w:noWrap w:val="0"/>
            <w:vAlign w:val="center"/>
          </w:tcPr>
          <w:p>
            <w:pPr>
              <w:spacing w:line="240" w:lineRule="auto"/>
              <w:jc w:val="center"/>
              <w:rPr>
                <w:rFonts w:hint="default"/>
                <w:sz w:val="21"/>
                <w:szCs w:val="21"/>
                <w:lang w:val="en-US" w:eastAsia="zh-CN"/>
              </w:rPr>
            </w:pPr>
            <w:r>
              <w:rPr>
                <w:rFonts w:hint="eastAsia"/>
                <w:sz w:val="21"/>
                <w:szCs w:val="21"/>
                <w:lang w:val="en-US" w:eastAsia="zh-CN"/>
              </w:rPr>
              <w:t>/</w:t>
            </w:r>
          </w:p>
        </w:tc>
        <w:tc>
          <w:tcPr>
            <w:tcW w:w="317" w:type="pct"/>
            <w:shd w:val="clear" w:color="auto" w:fill="auto"/>
            <w:noWrap w:val="0"/>
            <w:vAlign w:val="center"/>
          </w:tcPr>
          <w:p>
            <w:pPr>
              <w:spacing w:line="240" w:lineRule="auto"/>
              <w:jc w:val="center"/>
              <w:rPr>
                <w:rFonts w:hint="default"/>
                <w:sz w:val="21"/>
                <w:szCs w:val="21"/>
                <w:lang w:val="en-US" w:eastAsia="zh-CN"/>
              </w:rPr>
            </w:pPr>
            <w:r>
              <w:rPr>
                <w:rFonts w:hint="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66" w:hRule="atLeast"/>
          <w:jc w:val="center"/>
        </w:trPr>
        <w:tc>
          <w:tcPr>
            <w:tcW w:w="303" w:type="pct"/>
            <w:vMerge w:val="continue"/>
            <w:shd w:val="clear" w:color="auto" w:fill="auto"/>
            <w:noWrap w:val="0"/>
            <w:vAlign w:val="center"/>
          </w:tcPr>
          <w:p>
            <w:pPr>
              <w:jc w:val="center"/>
              <w:rPr>
                <w:bCs/>
                <w:color w:val="000000"/>
                <w:kern w:val="0"/>
                <w:sz w:val="21"/>
                <w:szCs w:val="21"/>
              </w:rPr>
            </w:pPr>
          </w:p>
        </w:tc>
        <w:tc>
          <w:tcPr>
            <w:tcW w:w="958" w:type="pct"/>
            <w:shd w:val="clear" w:color="auto" w:fill="auto"/>
            <w:noWrap w:val="0"/>
            <w:vAlign w:val="center"/>
          </w:tcPr>
          <w:p>
            <w:pPr>
              <w:spacing w:line="280" w:lineRule="exact"/>
              <w:jc w:val="center"/>
              <w:rPr>
                <w:rFonts w:hint="eastAsia" w:ascii="Times New Roman" w:hAnsi="Times New Roman" w:eastAsia="宋体" w:cs="Times New Roman"/>
                <w:sz w:val="21"/>
                <w:szCs w:val="21"/>
              </w:rPr>
            </w:pPr>
            <w:r>
              <w:rPr>
                <w:rFonts w:hint="eastAsia" w:ascii="Times New Roman" w:hAnsi="Times New Roman" w:cs="Times New Roman"/>
                <w:b w:val="0"/>
                <w:bCs w:val="0"/>
                <w:color w:val="000000" w:themeColor="text1"/>
                <w:kern w:val="2"/>
                <w:sz w:val="21"/>
                <w:szCs w:val="21"/>
                <w:lang w:val="en-US" w:eastAsia="zh-CN" w:bidi="ar-SA"/>
                <w14:textFill>
                  <w14:solidFill>
                    <w14:schemeClr w14:val="tx1"/>
                  </w14:solidFill>
                </w14:textFill>
              </w:rPr>
              <w:t>颗粒物</w:t>
            </w:r>
            <w:r>
              <w:rPr>
                <w:rFonts w:hint="eastAsia" w:ascii="Times New Roman" w:hAnsi="Times New Roman" w:eastAsia="宋体" w:cs="Times New Roman"/>
                <w:sz w:val="21"/>
                <w:szCs w:val="21"/>
                <w:lang w:eastAsia="zh-CN"/>
              </w:rPr>
              <w:t>排放速率</w:t>
            </w:r>
            <w:r>
              <w:rPr>
                <w:rFonts w:hint="eastAsia" w:ascii="Times New Roman" w:hAnsi="Times New Roman" w:eastAsia="宋体" w:cs="Times New Roman"/>
                <w:sz w:val="21"/>
                <w:szCs w:val="21"/>
              </w:rPr>
              <w:t>kg/h</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w:t>
            </w:r>
            <w:r>
              <w:rPr>
                <w:rFonts w:hint="eastAsia"/>
                <w:sz w:val="21"/>
                <w:szCs w:val="21"/>
                <w:lang w:val="en-US" w:eastAsia="zh-CN"/>
              </w:rPr>
              <w:t>.</w:t>
            </w:r>
            <w:r>
              <w:rPr>
                <w:rFonts w:hint="default"/>
                <w:sz w:val="21"/>
                <w:szCs w:val="21"/>
                <w:lang w:val="en-US" w:eastAsia="zh-CN"/>
              </w:rPr>
              <w:t>6</w:t>
            </w:r>
            <w:r>
              <w:rPr>
                <w:rFonts w:hint="eastAsia"/>
                <w:sz w:val="21"/>
                <w:szCs w:val="21"/>
                <w:lang w:val="en-US" w:eastAsia="zh-CN"/>
              </w:rPr>
              <w:t>7</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w:t>
            </w:r>
            <w:r>
              <w:rPr>
                <w:rFonts w:hint="eastAsia"/>
                <w:sz w:val="21"/>
                <w:szCs w:val="21"/>
                <w:lang w:val="en-US" w:eastAsia="zh-CN"/>
              </w:rPr>
              <w:t>.</w:t>
            </w:r>
            <w:r>
              <w:rPr>
                <w:rFonts w:hint="default"/>
                <w:sz w:val="21"/>
                <w:szCs w:val="21"/>
                <w:lang w:val="en-US" w:eastAsia="zh-CN"/>
              </w:rPr>
              <w:t>69</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w:t>
            </w:r>
            <w:r>
              <w:rPr>
                <w:rFonts w:hint="eastAsia"/>
                <w:sz w:val="21"/>
                <w:szCs w:val="21"/>
                <w:lang w:val="en-US" w:eastAsia="zh-CN"/>
              </w:rPr>
              <w:t>.</w:t>
            </w:r>
            <w:r>
              <w:rPr>
                <w:rFonts w:hint="default"/>
                <w:sz w:val="21"/>
                <w:szCs w:val="21"/>
                <w:lang w:val="en-US" w:eastAsia="zh-CN"/>
              </w:rPr>
              <w:t>53</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w:t>
            </w:r>
            <w:r>
              <w:rPr>
                <w:rFonts w:hint="eastAsia"/>
                <w:sz w:val="21"/>
                <w:szCs w:val="21"/>
                <w:lang w:val="en-US" w:eastAsia="zh-CN"/>
              </w:rPr>
              <w:t>.</w:t>
            </w:r>
            <w:r>
              <w:rPr>
                <w:rFonts w:hint="default"/>
                <w:sz w:val="21"/>
                <w:szCs w:val="21"/>
                <w:lang w:val="en-US" w:eastAsia="zh-CN"/>
              </w:rPr>
              <w:t>06</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w:t>
            </w:r>
            <w:r>
              <w:rPr>
                <w:rFonts w:hint="default"/>
                <w:sz w:val="21"/>
                <w:szCs w:val="21"/>
                <w:lang w:val="en-US" w:eastAsia="zh-CN"/>
              </w:rPr>
              <w:t>981</w:t>
            </w:r>
          </w:p>
        </w:tc>
        <w:tc>
          <w:tcPr>
            <w:tcW w:w="524"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w:t>
            </w:r>
            <w:r>
              <w:rPr>
                <w:rFonts w:hint="default"/>
                <w:sz w:val="21"/>
                <w:szCs w:val="21"/>
                <w:lang w:val="en-US" w:eastAsia="zh-CN"/>
              </w:rPr>
              <w:t>968</w:t>
            </w:r>
          </w:p>
        </w:tc>
        <w:tc>
          <w:tcPr>
            <w:tcW w:w="301" w:type="pct"/>
            <w:shd w:val="clear" w:color="auto" w:fill="auto"/>
            <w:noWrap w:val="0"/>
            <w:vAlign w:val="center"/>
          </w:tcPr>
          <w:p>
            <w:pPr>
              <w:spacing w:line="240" w:lineRule="auto"/>
              <w:jc w:val="center"/>
              <w:rPr>
                <w:rFonts w:hint="default"/>
                <w:sz w:val="21"/>
                <w:szCs w:val="21"/>
                <w:lang w:val="en-US" w:eastAsia="zh-CN"/>
              </w:rPr>
            </w:pPr>
            <w:r>
              <w:rPr>
                <w:rFonts w:hint="eastAsia"/>
                <w:sz w:val="21"/>
                <w:szCs w:val="21"/>
                <w:lang w:val="en-US" w:eastAsia="zh-CN"/>
              </w:rPr>
              <w:t>/</w:t>
            </w:r>
          </w:p>
        </w:tc>
        <w:tc>
          <w:tcPr>
            <w:tcW w:w="317" w:type="pct"/>
            <w:shd w:val="clear" w:color="auto" w:fill="auto"/>
            <w:noWrap w:val="0"/>
            <w:vAlign w:val="center"/>
          </w:tcPr>
          <w:p>
            <w:pPr>
              <w:spacing w:line="240" w:lineRule="auto"/>
              <w:jc w:val="center"/>
              <w:rPr>
                <w:rFonts w:hint="default"/>
                <w:sz w:val="21"/>
                <w:szCs w:val="21"/>
                <w:lang w:val="en-US" w:eastAsia="zh-CN"/>
              </w:rPr>
            </w:pPr>
            <w:r>
              <w:rPr>
                <w:rFonts w:hint="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0" w:hRule="atLeast"/>
          <w:jc w:val="center"/>
        </w:trPr>
        <w:tc>
          <w:tcPr>
            <w:tcW w:w="303" w:type="pct"/>
            <w:vMerge w:val="continue"/>
            <w:shd w:val="clear" w:color="auto" w:fill="auto"/>
            <w:noWrap w:val="0"/>
            <w:vAlign w:val="center"/>
          </w:tcPr>
          <w:p>
            <w:pPr>
              <w:jc w:val="center"/>
              <w:rPr>
                <w:bCs/>
                <w:color w:val="000000"/>
                <w:kern w:val="0"/>
                <w:sz w:val="21"/>
                <w:szCs w:val="21"/>
              </w:rPr>
            </w:pPr>
          </w:p>
        </w:tc>
        <w:tc>
          <w:tcPr>
            <w:tcW w:w="958" w:type="pct"/>
            <w:shd w:val="clear" w:color="auto" w:fill="auto"/>
            <w:noWrap w:val="0"/>
            <w:vAlign w:val="center"/>
          </w:tcPr>
          <w:p>
            <w:pPr>
              <w:spacing w:line="280" w:lineRule="exact"/>
              <w:jc w:val="center"/>
              <w:rPr>
                <w:rFonts w:hint="eastAsia" w:ascii="Times New Roman" w:hAnsi="Times New Roman" w:eastAsia="宋体" w:cs="Times New Roman"/>
                <w:sz w:val="21"/>
                <w:szCs w:val="21"/>
                <w:lang w:eastAsia="zh-CN"/>
              </w:rPr>
            </w:pPr>
            <w:r>
              <w:rPr>
                <w:rFonts w:hint="eastAsia" w:ascii="Times New Roman" w:hAnsi="Times New Roman" w:cs="Times New Roman"/>
                <w:b w:val="0"/>
                <w:bCs w:val="0"/>
                <w:color w:val="000000" w:themeColor="text1"/>
                <w:kern w:val="2"/>
                <w:sz w:val="21"/>
                <w:szCs w:val="21"/>
                <w:lang w:val="en-US" w:eastAsia="zh-CN" w:bidi="ar-SA"/>
                <w14:textFill>
                  <w14:solidFill>
                    <w14:schemeClr w14:val="tx1"/>
                  </w14:solidFill>
                </w14:textFill>
              </w:rPr>
              <w:t>甲苯</w:t>
            </w:r>
            <w:r>
              <w:rPr>
                <w:rFonts w:hint="eastAsia" w:ascii="Times New Roman" w:hAnsi="Times New Roman" w:eastAsia="宋体" w:cs="Times New Roman"/>
                <w:sz w:val="21"/>
                <w:szCs w:val="21"/>
              </w:rPr>
              <w:t>mg/m</w:t>
            </w:r>
            <w:r>
              <w:rPr>
                <w:rFonts w:hint="eastAsia" w:ascii="Times New Roman" w:hAnsi="Times New Roman" w:eastAsia="宋体" w:cs="Times New Roman"/>
                <w:sz w:val="21"/>
                <w:szCs w:val="21"/>
                <w:vertAlign w:val="superscript"/>
              </w:rPr>
              <w:t>3</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207</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172</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208</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200</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205</w:t>
            </w:r>
          </w:p>
        </w:tc>
        <w:tc>
          <w:tcPr>
            <w:tcW w:w="524"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199</w:t>
            </w:r>
          </w:p>
        </w:tc>
        <w:tc>
          <w:tcPr>
            <w:tcW w:w="301" w:type="pct"/>
            <w:shd w:val="clear" w:color="auto" w:fill="auto"/>
            <w:noWrap w:val="0"/>
            <w:vAlign w:val="center"/>
          </w:tcPr>
          <w:p>
            <w:pPr>
              <w:spacing w:line="240" w:lineRule="auto"/>
              <w:jc w:val="center"/>
              <w:rPr>
                <w:rFonts w:hint="default"/>
                <w:sz w:val="21"/>
                <w:szCs w:val="21"/>
                <w:lang w:val="en-US" w:eastAsia="zh-CN"/>
              </w:rPr>
            </w:pPr>
            <w:r>
              <w:rPr>
                <w:rFonts w:hint="eastAsia"/>
                <w:sz w:val="21"/>
                <w:szCs w:val="21"/>
                <w:lang w:val="en-US" w:eastAsia="zh-CN"/>
              </w:rPr>
              <w:t>/</w:t>
            </w:r>
          </w:p>
        </w:tc>
        <w:tc>
          <w:tcPr>
            <w:tcW w:w="317" w:type="pct"/>
            <w:shd w:val="clear" w:color="auto" w:fill="auto"/>
            <w:noWrap w:val="0"/>
            <w:vAlign w:val="center"/>
          </w:tcPr>
          <w:p>
            <w:pPr>
              <w:spacing w:line="240" w:lineRule="auto"/>
              <w:jc w:val="center"/>
              <w:rPr>
                <w:rFonts w:hint="default"/>
                <w:sz w:val="21"/>
                <w:szCs w:val="21"/>
                <w:lang w:val="en-US" w:eastAsia="zh-CN"/>
              </w:rPr>
            </w:pPr>
            <w:r>
              <w:rPr>
                <w:rFonts w:hint="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0" w:hRule="atLeast"/>
          <w:jc w:val="center"/>
        </w:trPr>
        <w:tc>
          <w:tcPr>
            <w:tcW w:w="303" w:type="pct"/>
            <w:vMerge w:val="continue"/>
            <w:shd w:val="clear" w:color="auto" w:fill="auto"/>
            <w:noWrap w:val="0"/>
            <w:vAlign w:val="center"/>
          </w:tcPr>
          <w:p>
            <w:pPr>
              <w:jc w:val="center"/>
              <w:rPr>
                <w:bCs/>
                <w:color w:val="000000"/>
                <w:kern w:val="0"/>
                <w:sz w:val="21"/>
                <w:szCs w:val="21"/>
              </w:rPr>
            </w:pPr>
          </w:p>
        </w:tc>
        <w:tc>
          <w:tcPr>
            <w:tcW w:w="958" w:type="pct"/>
            <w:shd w:val="clear" w:color="auto" w:fill="auto"/>
            <w:noWrap w:val="0"/>
            <w:vAlign w:val="center"/>
          </w:tcPr>
          <w:p>
            <w:pPr>
              <w:spacing w:line="280" w:lineRule="exact"/>
              <w:jc w:val="center"/>
              <w:rPr>
                <w:rFonts w:hint="eastAsia" w:ascii="Times New Roman" w:hAnsi="Times New Roman" w:eastAsia="宋体" w:cs="Times New Roman"/>
                <w:sz w:val="21"/>
                <w:szCs w:val="21"/>
                <w:lang w:eastAsia="zh-CN"/>
              </w:rPr>
            </w:pPr>
            <w:r>
              <w:rPr>
                <w:rFonts w:hint="eastAsia" w:ascii="Times New Roman" w:hAnsi="Times New Roman" w:cs="Times New Roman"/>
                <w:b w:val="0"/>
                <w:bCs w:val="0"/>
                <w:color w:val="000000" w:themeColor="text1"/>
                <w:kern w:val="2"/>
                <w:sz w:val="21"/>
                <w:szCs w:val="21"/>
                <w:lang w:val="en-US" w:eastAsia="zh-CN" w:bidi="ar-SA"/>
                <w14:textFill>
                  <w14:solidFill>
                    <w14:schemeClr w14:val="tx1"/>
                  </w14:solidFill>
                </w14:textFill>
              </w:rPr>
              <w:t>甲苯</w:t>
            </w:r>
            <w:r>
              <w:rPr>
                <w:rFonts w:hint="eastAsia" w:ascii="Times New Roman" w:hAnsi="Times New Roman" w:eastAsia="宋体" w:cs="Times New Roman"/>
                <w:sz w:val="21"/>
                <w:szCs w:val="21"/>
                <w:lang w:eastAsia="zh-CN"/>
              </w:rPr>
              <w:t>排放速率</w:t>
            </w:r>
            <w:r>
              <w:rPr>
                <w:rFonts w:hint="eastAsia" w:ascii="Times New Roman" w:hAnsi="Times New Roman" w:eastAsia="宋体" w:cs="Times New Roman"/>
                <w:sz w:val="21"/>
                <w:szCs w:val="21"/>
              </w:rPr>
              <w:t>kg/h</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10</w:t>
            </w:r>
            <w:r>
              <w:rPr>
                <w:rFonts w:hint="eastAsia"/>
                <w:sz w:val="21"/>
                <w:szCs w:val="21"/>
                <w:lang w:val="en-US" w:eastAsia="zh-CN"/>
              </w:rPr>
              <w:t>.</w:t>
            </w:r>
            <w:r>
              <w:rPr>
                <w:rFonts w:hint="default"/>
                <w:sz w:val="21"/>
                <w:szCs w:val="21"/>
                <w:lang w:val="en-US" w:eastAsia="zh-CN"/>
              </w:rPr>
              <w:t>6</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8</w:t>
            </w:r>
            <w:r>
              <w:rPr>
                <w:rFonts w:hint="eastAsia"/>
                <w:sz w:val="21"/>
                <w:szCs w:val="21"/>
                <w:lang w:val="en-US" w:eastAsia="zh-CN"/>
              </w:rPr>
              <w:t>.49</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10</w:t>
            </w:r>
            <w:r>
              <w:rPr>
                <w:rFonts w:hint="eastAsia"/>
                <w:sz w:val="21"/>
                <w:szCs w:val="21"/>
                <w:lang w:val="en-US" w:eastAsia="zh-CN"/>
              </w:rPr>
              <w:t>.</w:t>
            </w:r>
            <w:r>
              <w:rPr>
                <w:rFonts w:hint="default"/>
                <w:sz w:val="21"/>
                <w:szCs w:val="21"/>
                <w:lang w:val="en-US" w:eastAsia="zh-CN"/>
              </w:rPr>
              <w:t>1</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6</w:t>
            </w:r>
            <w:r>
              <w:rPr>
                <w:rFonts w:hint="eastAsia"/>
                <w:sz w:val="21"/>
                <w:szCs w:val="21"/>
                <w:lang w:val="en-US" w:eastAsia="zh-CN"/>
              </w:rPr>
              <w:t>.</w:t>
            </w:r>
            <w:r>
              <w:rPr>
                <w:rFonts w:hint="default"/>
                <w:sz w:val="21"/>
                <w:szCs w:val="21"/>
                <w:lang w:val="en-US" w:eastAsia="zh-CN"/>
              </w:rPr>
              <w:t>5</w:t>
            </w:r>
            <w:r>
              <w:rPr>
                <w:rFonts w:hint="eastAsia"/>
                <w:sz w:val="21"/>
                <w:szCs w:val="21"/>
                <w:lang w:val="en-US" w:eastAsia="zh-CN"/>
              </w:rPr>
              <w:t>8</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6</w:t>
            </w:r>
            <w:r>
              <w:rPr>
                <w:rFonts w:hint="eastAsia"/>
                <w:sz w:val="21"/>
                <w:szCs w:val="21"/>
                <w:lang w:val="en-US" w:eastAsia="zh-CN"/>
              </w:rPr>
              <w:t>.</w:t>
            </w:r>
            <w:r>
              <w:rPr>
                <w:rFonts w:hint="default"/>
                <w:sz w:val="21"/>
                <w:szCs w:val="21"/>
                <w:lang w:val="en-US" w:eastAsia="zh-CN"/>
              </w:rPr>
              <w:t>003</w:t>
            </w:r>
          </w:p>
        </w:tc>
        <w:tc>
          <w:tcPr>
            <w:tcW w:w="524"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5</w:t>
            </w:r>
            <w:r>
              <w:rPr>
                <w:rFonts w:hint="eastAsia"/>
                <w:sz w:val="21"/>
                <w:szCs w:val="21"/>
                <w:lang w:val="en-US" w:eastAsia="zh-CN"/>
              </w:rPr>
              <w:t>.</w:t>
            </w:r>
            <w:r>
              <w:rPr>
                <w:rFonts w:hint="default"/>
                <w:sz w:val="21"/>
                <w:szCs w:val="21"/>
                <w:lang w:val="en-US" w:eastAsia="zh-CN"/>
              </w:rPr>
              <w:t>9</w:t>
            </w:r>
            <w:r>
              <w:rPr>
                <w:rFonts w:hint="eastAsia"/>
                <w:sz w:val="21"/>
                <w:szCs w:val="21"/>
                <w:lang w:val="en-US" w:eastAsia="zh-CN"/>
              </w:rPr>
              <w:t>1</w:t>
            </w:r>
          </w:p>
        </w:tc>
        <w:tc>
          <w:tcPr>
            <w:tcW w:w="301" w:type="pct"/>
            <w:shd w:val="clear" w:color="auto" w:fill="auto"/>
            <w:noWrap w:val="0"/>
            <w:vAlign w:val="center"/>
          </w:tcPr>
          <w:p>
            <w:pPr>
              <w:spacing w:line="240" w:lineRule="auto"/>
              <w:jc w:val="center"/>
              <w:rPr>
                <w:rFonts w:hint="default"/>
                <w:sz w:val="21"/>
                <w:szCs w:val="21"/>
                <w:lang w:val="en-US" w:eastAsia="zh-CN"/>
              </w:rPr>
            </w:pPr>
            <w:r>
              <w:rPr>
                <w:rFonts w:hint="eastAsia"/>
                <w:sz w:val="21"/>
                <w:szCs w:val="21"/>
                <w:lang w:val="en-US" w:eastAsia="zh-CN"/>
              </w:rPr>
              <w:t>/</w:t>
            </w:r>
          </w:p>
        </w:tc>
        <w:tc>
          <w:tcPr>
            <w:tcW w:w="317" w:type="pct"/>
            <w:shd w:val="clear" w:color="auto" w:fill="auto"/>
            <w:noWrap w:val="0"/>
            <w:vAlign w:val="center"/>
          </w:tcPr>
          <w:p>
            <w:pPr>
              <w:spacing w:line="240" w:lineRule="auto"/>
              <w:jc w:val="center"/>
              <w:rPr>
                <w:rFonts w:hint="default"/>
                <w:sz w:val="21"/>
                <w:szCs w:val="21"/>
                <w:lang w:val="en-US" w:eastAsia="zh-CN"/>
              </w:rPr>
            </w:pPr>
            <w:r>
              <w:rPr>
                <w:rFonts w:hint="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0" w:hRule="atLeast"/>
          <w:jc w:val="center"/>
        </w:trPr>
        <w:tc>
          <w:tcPr>
            <w:tcW w:w="303" w:type="pct"/>
            <w:vMerge w:val="continue"/>
            <w:shd w:val="clear" w:color="auto" w:fill="auto"/>
            <w:noWrap w:val="0"/>
            <w:vAlign w:val="center"/>
          </w:tcPr>
          <w:p>
            <w:pPr>
              <w:jc w:val="center"/>
              <w:rPr>
                <w:bCs/>
                <w:color w:val="000000"/>
                <w:kern w:val="0"/>
                <w:sz w:val="21"/>
                <w:szCs w:val="21"/>
              </w:rPr>
            </w:pPr>
          </w:p>
        </w:tc>
        <w:tc>
          <w:tcPr>
            <w:tcW w:w="958" w:type="pct"/>
            <w:shd w:val="clear" w:color="auto" w:fill="auto"/>
            <w:noWrap w:val="0"/>
            <w:vAlign w:val="center"/>
          </w:tcPr>
          <w:p>
            <w:pPr>
              <w:spacing w:line="280" w:lineRule="exact"/>
              <w:jc w:val="center"/>
              <w:rPr>
                <w:rFonts w:hint="eastAsia" w:ascii="Times New Roman" w:hAnsi="Times New Roman" w:eastAsia="宋体" w:cs="Times New Roman"/>
                <w:sz w:val="21"/>
                <w:szCs w:val="21"/>
              </w:rPr>
            </w:pPr>
            <w:r>
              <w:rPr>
                <w:rFonts w:hint="eastAsia" w:ascii="Times New Roman" w:hAnsi="Times New Roman" w:cs="Times New Roman"/>
                <w:color w:val="auto"/>
                <w:sz w:val="21"/>
                <w:szCs w:val="21"/>
                <w:lang w:eastAsia="zh-CN"/>
              </w:rPr>
              <w:t>非甲烷总烃</w:t>
            </w:r>
            <w:r>
              <w:rPr>
                <w:rFonts w:hint="eastAsia" w:ascii="Times New Roman" w:hAnsi="Times New Roman" w:eastAsia="宋体" w:cs="Times New Roman"/>
                <w:sz w:val="21"/>
                <w:szCs w:val="21"/>
              </w:rPr>
              <w:t>mg/m</w:t>
            </w:r>
            <w:r>
              <w:rPr>
                <w:rFonts w:hint="eastAsia" w:ascii="Times New Roman" w:hAnsi="Times New Roman" w:eastAsia="宋体" w:cs="Times New Roman"/>
                <w:sz w:val="21"/>
                <w:szCs w:val="21"/>
                <w:vertAlign w:val="superscript"/>
              </w:rPr>
              <w:t>3</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226</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226</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222</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258</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252</w:t>
            </w:r>
          </w:p>
        </w:tc>
        <w:tc>
          <w:tcPr>
            <w:tcW w:w="524"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239</w:t>
            </w:r>
          </w:p>
        </w:tc>
        <w:tc>
          <w:tcPr>
            <w:tcW w:w="301" w:type="pct"/>
            <w:shd w:val="clear" w:color="auto" w:fill="auto"/>
            <w:noWrap w:val="0"/>
            <w:vAlign w:val="center"/>
          </w:tcPr>
          <w:p>
            <w:pPr>
              <w:spacing w:line="240" w:lineRule="auto"/>
              <w:jc w:val="center"/>
              <w:rPr>
                <w:rFonts w:hint="default"/>
                <w:sz w:val="21"/>
                <w:szCs w:val="21"/>
                <w:lang w:val="en-US" w:eastAsia="zh-CN"/>
              </w:rPr>
            </w:pPr>
            <w:r>
              <w:rPr>
                <w:rFonts w:hint="eastAsia"/>
                <w:sz w:val="21"/>
                <w:szCs w:val="21"/>
                <w:lang w:val="en-US" w:eastAsia="zh-CN"/>
              </w:rPr>
              <w:t>/</w:t>
            </w:r>
          </w:p>
        </w:tc>
        <w:tc>
          <w:tcPr>
            <w:tcW w:w="317" w:type="pct"/>
            <w:shd w:val="clear" w:color="auto" w:fill="auto"/>
            <w:noWrap w:val="0"/>
            <w:vAlign w:val="center"/>
          </w:tcPr>
          <w:p>
            <w:pPr>
              <w:spacing w:line="240" w:lineRule="auto"/>
              <w:jc w:val="center"/>
              <w:rPr>
                <w:rFonts w:hint="default"/>
                <w:sz w:val="21"/>
                <w:szCs w:val="21"/>
                <w:lang w:val="en-US" w:eastAsia="zh-CN"/>
              </w:rPr>
            </w:pPr>
            <w:r>
              <w:rPr>
                <w:rFonts w:hint="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0" w:hRule="atLeast"/>
          <w:jc w:val="center"/>
        </w:trPr>
        <w:tc>
          <w:tcPr>
            <w:tcW w:w="303" w:type="pct"/>
            <w:vMerge w:val="continue"/>
            <w:shd w:val="clear" w:color="auto" w:fill="auto"/>
            <w:noWrap w:val="0"/>
            <w:vAlign w:val="center"/>
          </w:tcPr>
          <w:p>
            <w:pPr>
              <w:jc w:val="center"/>
              <w:rPr>
                <w:bCs/>
                <w:color w:val="000000"/>
                <w:kern w:val="0"/>
                <w:sz w:val="21"/>
                <w:szCs w:val="21"/>
              </w:rPr>
            </w:pPr>
          </w:p>
        </w:tc>
        <w:tc>
          <w:tcPr>
            <w:tcW w:w="958" w:type="pct"/>
            <w:shd w:val="clear" w:color="auto" w:fill="auto"/>
            <w:noWrap w:val="0"/>
            <w:vAlign w:val="center"/>
          </w:tcPr>
          <w:p>
            <w:pPr>
              <w:spacing w:line="280" w:lineRule="exact"/>
              <w:jc w:val="center"/>
              <w:rPr>
                <w:rFonts w:hint="eastAsia" w:ascii="Times New Roman" w:hAnsi="Times New Roman" w:eastAsia="宋体" w:cs="Times New Roman"/>
                <w:sz w:val="21"/>
                <w:szCs w:val="21"/>
              </w:rPr>
            </w:pPr>
            <w:r>
              <w:rPr>
                <w:rFonts w:hint="eastAsia" w:ascii="Times New Roman" w:hAnsi="Times New Roman" w:cs="Times New Roman"/>
                <w:color w:val="auto"/>
                <w:sz w:val="21"/>
                <w:szCs w:val="21"/>
                <w:lang w:eastAsia="zh-CN"/>
              </w:rPr>
              <w:t>非甲烷总烃</w:t>
            </w:r>
            <w:r>
              <w:rPr>
                <w:rFonts w:hint="eastAsia" w:ascii="Times New Roman" w:hAnsi="Times New Roman" w:eastAsia="宋体" w:cs="Times New Roman"/>
                <w:sz w:val="21"/>
                <w:szCs w:val="21"/>
                <w:lang w:eastAsia="zh-CN"/>
              </w:rPr>
              <w:t>排放</w:t>
            </w:r>
            <w:r>
              <w:rPr>
                <w:rFonts w:hint="eastAsia" w:ascii="Times New Roman" w:hAnsi="Times New Roman" w:eastAsia="宋体" w:cs="Times New Roman"/>
                <w:sz w:val="21"/>
                <w:szCs w:val="21"/>
              </w:rPr>
              <w:t>速率kg/h</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11</w:t>
            </w:r>
            <w:r>
              <w:rPr>
                <w:rFonts w:hint="eastAsia"/>
                <w:sz w:val="21"/>
                <w:szCs w:val="21"/>
                <w:lang w:val="en-US" w:eastAsia="zh-CN"/>
              </w:rPr>
              <w:t>.6</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11</w:t>
            </w:r>
            <w:r>
              <w:rPr>
                <w:rFonts w:hint="eastAsia"/>
                <w:sz w:val="21"/>
                <w:szCs w:val="21"/>
                <w:lang w:val="en-US" w:eastAsia="zh-CN"/>
              </w:rPr>
              <w:t>.</w:t>
            </w:r>
            <w:r>
              <w:rPr>
                <w:rFonts w:hint="default"/>
                <w:sz w:val="21"/>
                <w:szCs w:val="21"/>
                <w:lang w:val="en-US" w:eastAsia="zh-CN"/>
              </w:rPr>
              <w:t>1</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10</w:t>
            </w:r>
            <w:r>
              <w:rPr>
                <w:rFonts w:hint="eastAsia"/>
                <w:sz w:val="21"/>
                <w:szCs w:val="21"/>
                <w:lang w:val="en-US" w:eastAsia="zh-CN"/>
              </w:rPr>
              <w:t>.</w:t>
            </w:r>
            <w:r>
              <w:rPr>
                <w:rFonts w:hint="default"/>
                <w:sz w:val="21"/>
                <w:szCs w:val="21"/>
                <w:lang w:val="en-US" w:eastAsia="zh-CN"/>
              </w:rPr>
              <w:t>8</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8</w:t>
            </w:r>
            <w:r>
              <w:rPr>
                <w:rFonts w:hint="eastAsia"/>
                <w:sz w:val="21"/>
                <w:szCs w:val="21"/>
                <w:lang w:val="en-US" w:eastAsia="zh-CN"/>
              </w:rPr>
              <w:t>.</w:t>
            </w:r>
            <w:r>
              <w:rPr>
                <w:rFonts w:hint="default"/>
                <w:sz w:val="21"/>
                <w:szCs w:val="21"/>
                <w:lang w:val="en-US" w:eastAsia="zh-CN"/>
              </w:rPr>
              <w:t>4</w:t>
            </w:r>
            <w:r>
              <w:rPr>
                <w:rFonts w:hint="eastAsia"/>
                <w:sz w:val="21"/>
                <w:szCs w:val="21"/>
                <w:lang w:val="en-US" w:eastAsia="zh-CN"/>
              </w:rPr>
              <w:t>9</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7</w:t>
            </w:r>
            <w:r>
              <w:rPr>
                <w:rFonts w:hint="eastAsia"/>
                <w:sz w:val="21"/>
                <w:szCs w:val="21"/>
                <w:lang w:val="en-US" w:eastAsia="zh-CN"/>
              </w:rPr>
              <w:t>.</w:t>
            </w:r>
            <w:r>
              <w:rPr>
                <w:rFonts w:hint="default"/>
                <w:sz w:val="21"/>
                <w:szCs w:val="21"/>
                <w:lang w:val="en-US" w:eastAsia="zh-CN"/>
              </w:rPr>
              <w:t>3</w:t>
            </w:r>
            <w:r>
              <w:rPr>
                <w:rFonts w:hint="eastAsia"/>
                <w:sz w:val="21"/>
                <w:szCs w:val="21"/>
                <w:lang w:val="en-US" w:eastAsia="zh-CN"/>
              </w:rPr>
              <w:t>8</w:t>
            </w:r>
          </w:p>
        </w:tc>
        <w:tc>
          <w:tcPr>
            <w:tcW w:w="524"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7</w:t>
            </w:r>
            <w:r>
              <w:rPr>
                <w:rFonts w:hint="eastAsia"/>
                <w:sz w:val="21"/>
                <w:szCs w:val="21"/>
                <w:lang w:val="en-US" w:eastAsia="zh-CN"/>
              </w:rPr>
              <w:t>.</w:t>
            </w:r>
            <w:r>
              <w:rPr>
                <w:rFonts w:hint="default"/>
                <w:sz w:val="21"/>
                <w:szCs w:val="21"/>
                <w:lang w:val="en-US" w:eastAsia="zh-CN"/>
              </w:rPr>
              <w:t>09</w:t>
            </w:r>
            <w:r>
              <w:rPr>
                <w:rFonts w:hint="eastAsia"/>
                <w:sz w:val="21"/>
                <w:szCs w:val="21"/>
                <w:lang w:val="en-US" w:eastAsia="zh-CN"/>
              </w:rPr>
              <w:t>8</w:t>
            </w:r>
          </w:p>
        </w:tc>
        <w:tc>
          <w:tcPr>
            <w:tcW w:w="301" w:type="pct"/>
            <w:shd w:val="clear" w:color="auto" w:fill="auto"/>
            <w:noWrap w:val="0"/>
            <w:vAlign w:val="center"/>
          </w:tcPr>
          <w:p>
            <w:pPr>
              <w:spacing w:line="240" w:lineRule="auto"/>
              <w:jc w:val="center"/>
              <w:rPr>
                <w:rFonts w:hint="default"/>
                <w:sz w:val="21"/>
                <w:szCs w:val="21"/>
                <w:lang w:val="en-US" w:eastAsia="zh-CN"/>
              </w:rPr>
            </w:pPr>
            <w:r>
              <w:rPr>
                <w:rFonts w:hint="default"/>
                <w:sz w:val="21"/>
                <w:szCs w:val="21"/>
                <w:lang w:val="en-US" w:eastAsia="zh-CN"/>
              </w:rPr>
              <w:t>/</w:t>
            </w:r>
          </w:p>
        </w:tc>
        <w:tc>
          <w:tcPr>
            <w:tcW w:w="317" w:type="pct"/>
            <w:shd w:val="clear" w:color="auto" w:fill="auto"/>
            <w:noWrap w:val="0"/>
            <w:vAlign w:val="center"/>
          </w:tcPr>
          <w:p>
            <w:pPr>
              <w:spacing w:line="240" w:lineRule="auto"/>
              <w:jc w:val="center"/>
              <w:rPr>
                <w:rFonts w:hint="default"/>
                <w:sz w:val="21"/>
                <w:szCs w:val="21"/>
                <w:lang w:val="en-US" w:eastAsia="zh-CN"/>
              </w:rPr>
            </w:pPr>
            <w:r>
              <w:rPr>
                <w:rFonts w:hint="default"/>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0" w:hRule="atLeast"/>
          <w:jc w:val="center"/>
        </w:trPr>
        <w:tc>
          <w:tcPr>
            <w:tcW w:w="303" w:type="pct"/>
            <w:vMerge w:val="continue"/>
            <w:shd w:val="clear" w:color="auto" w:fill="auto"/>
            <w:noWrap w:val="0"/>
            <w:vAlign w:val="center"/>
          </w:tcPr>
          <w:p>
            <w:pPr>
              <w:jc w:val="center"/>
              <w:rPr>
                <w:bCs/>
                <w:color w:val="000000"/>
                <w:kern w:val="0"/>
                <w:sz w:val="21"/>
                <w:szCs w:val="21"/>
              </w:rPr>
            </w:pPr>
          </w:p>
        </w:tc>
        <w:tc>
          <w:tcPr>
            <w:tcW w:w="958" w:type="pct"/>
            <w:shd w:val="clear" w:color="auto" w:fill="auto"/>
            <w:noWrap w:val="0"/>
            <w:vAlign w:val="center"/>
          </w:tcPr>
          <w:p>
            <w:pPr>
              <w:spacing w:line="280" w:lineRule="exact"/>
              <w:jc w:val="center"/>
              <w:rPr>
                <w:rFonts w:hint="eastAsia" w:ascii="Times New Roman" w:hAnsi="Times New Roman" w:eastAsia="宋体" w:cs="Times New Roman"/>
                <w:sz w:val="21"/>
                <w:szCs w:val="21"/>
                <w:lang w:eastAsia="zh-CN"/>
              </w:rPr>
            </w:pPr>
            <w:r>
              <w:rPr>
                <w:rFonts w:hint="eastAsia" w:ascii="Times New Roman" w:hAnsi="Times New Roman" w:cs="Times New Roman"/>
                <w:b w:val="0"/>
                <w:bCs w:val="0"/>
                <w:color w:val="000000" w:themeColor="text1"/>
                <w:kern w:val="2"/>
                <w:sz w:val="21"/>
                <w:szCs w:val="21"/>
                <w:lang w:val="en-US" w:eastAsia="zh-CN" w:bidi="ar-SA"/>
                <w14:textFill>
                  <w14:solidFill>
                    <w14:schemeClr w14:val="tx1"/>
                  </w14:solidFill>
                </w14:textFill>
              </w:rPr>
              <w:t>乙酸乙酯</w:t>
            </w:r>
            <w:r>
              <w:rPr>
                <w:rFonts w:hint="eastAsia" w:ascii="Times New Roman" w:hAnsi="Times New Roman" w:eastAsia="宋体" w:cs="Times New Roman"/>
                <w:sz w:val="21"/>
                <w:szCs w:val="21"/>
              </w:rPr>
              <w:t>mg/m</w:t>
            </w:r>
            <w:r>
              <w:rPr>
                <w:rFonts w:hint="eastAsia" w:ascii="Times New Roman" w:hAnsi="Times New Roman" w:eastAsia="宋体" w:cs="Times New Roman"/>
                <w:sz w:val="21"/>
                <w:szCs w:val="21"/>
                <w:vertAlign w:val="superscript"/>
              </w:rPr>
              <w:t>3</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158</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209</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178</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74.3</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73.3</w:t>
            </w:r>
          </w:p>
        </w:tc>
        <w:tc>
          <w:tcPr>
            <w:tcW w:w="524"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64.3</w:t>
            </w:r>
          </w:p>
        </w:tc>
        <w:tc>
          <w:tcPr>
            <w:tcW w:w="301" w:type="pct"/>
            <w:shd w:val="clear" w:color="auto" w:fill="auto"/>
            <w:noWrap w:val="0"/>
            <w:vAlign w:val="center"/>
          </w:tcPr>
          <w:p>
            <w:pPr>
              <w:spacing w:line="240" w:lineRule="auto"/>
              <w:jc w:val="center"/>
              <w:rPr>
                <w:rFonts w:hint="default"/>
                <w:sz w:val="21"/>
                <w:szCs w:val="21"/>
                <w:lang w:val="en-US" w:eastAsia="zh-CN"/>
              </w:rPr>
            </w:pPr>
            <w:r>
              <w:rPr>
                <w:rFonts w:hint="default"/>
                <w:sz w:val="21"/>
                <w:szCs w:val="21"/>
                <w:lang w:val="en-US" w:eastAsia="zh-CN"/>
              </w:rPr>
              <w:t>/</w:t>
            </w:r>
          </w:p>
        </w:tc>
        <w:tc>
          <w:tcPr>
            <w:tcW w:w="317" w:type="pct"/>
            <w:shd w:val="clear" w:color="auto" w:fill="auto"/>
            <w:noWrap w:val="0"/>
            <w:vAlign w:val="center"/>
          </w:tcPr>
          <w:p>
            <w:pPr>
              <w:spacing w:line="240" w:lineRule="auto"/>
              <w:jc w:val="center"/>
              <w:rPr>
                <w:rFonts w:hint="default"/>
                <w:sz w:val="21"/>
                <w:szCs w:val="21"/>
                <w:lang w:val="en-US" w:eastAsia="zh-CN"/>
              </w:rPr>
            </w:pPr>
            <w:r>
              <w:rPr>
                <w:rFonts w:hint="default"/>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0" w:hRule="atLeast"/>
          <w:jc w:val="center"/>
        </w:trPr>
        <w:tc>
          <w:tcPr>
            <w:tcW w:w="303" w:type="pct"/>
            <w:vMerge w:val="continue"/>
            <w:shd w:val="clear" w:color="auto" w:fill="auto"/>
            <w:noWrap w:val="0"/>
            <w:vAlign w:val="center"/>
          </w:tcPr>
          <w:p>
            <w:pPr>
              <w:jc w:val="center"/>
              <w:rPr>
                <w:bCs/>
                <w:color w:val="000000"/>
                <w:kern w:val="0"/>
                <w:sz w:val="21"/>
                <w:szCs w:val="21"/>
              </w:rPr>
            </w:pPr>
          </w:p>
        </w:tc>
        <w:tc>
          <w:tcPr>
            <w:tcW w:w="958" w:type="pct"/>
            <w:shd w:val="clear" w:color="auto" w:fill="auto"/>
            <w:noWrap w:val="0"/>
            <w:vAlign w:val="center"/>
          </w:tcPr>
          <w:p>
            <w:pPr>
              <w:spacing w:line="280" w:lineRule="exact"/>
              <w:jc w:val="center"/>
              <w:rPr>
                <w:rFonts w:hint="eastAsia" w:ascii="Times New Roman" w:hAnsi="Times New Roman" w:eastAsia="宋体" w:cs="Times New Roman"/>
                <w:sz w:val="21"/>
                <w:szCs w:val="21"/>
                <w:lang w:eastAsia="zh-CN"/>
              </w:rPr>
            </w:pPr>
            <w:r>
              <w:rPr>
                <w:rFonts w:hint="eastAsia" w:ascii="Times New Roman" w:hAnsi="Times New Roman" w:cs="Times New Roman"/>
                <w:b w:val="0"/>
                <w:bCs w:val="0"/>
                <w:color w:val="000000" w:themeColor="text1"/>
                <w:kern w:val="2"/>
                <w:sz w:val="21"/>
                <w:szCs w:val="21"/>
                <w:lang w:val="en-US" w:eastAsia="zh-CN" w:bidi="ar-SA"/>
                <w14:textFill>
                  <w14:solidFill>
                    <w14:schemeClr w14:val="tx1"/>
                  </w14:solidFill>
                </w14:textFill>
              </w:rPr>
              <w:t>乙酸乙酯</w:t>
            </w:r>
            <w:r>
              <w:rPr>
                <w:rFonts w:hint="eastAsia" w:ascii="Times New Roman" w:hAnsi="Times New Roman" w:eastAsia="宋体" w:cs="Times New Roman"/>
                <w:sz w:val="21"/>
                <w:szCs w:val="21"/>
                <w:lang w:eastAsia="zh-CN"/>
              </w:rPr>
              <w:t>排放速率</w:t>
            </w:r>
            <w:r>
              <w:rPr>
                <w:rFonts w:hint="eastAsia" w:ascii="Times New Roman" w:hAnsi="Times New Roman" w:eastAsia="宋体" w:cs="Times New Roman"/>
                <w:sz w:val="21"/>
                <w:szCs w:val="21"/>
              </w:rPr>
              <w:t>kg/h</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8</w:t>
            </w:r>
            <w:r>
              <w:rPr>
                <w:rFonts w:hint="eastAsia"/>
                <w:sz w:val="21"/>
                <w:szCs w:val="21"/>
                <w:lang w:val="en-US" w:eastAsia="zh-CN"/>
              </w:rPr>
              <w:t>.</w:t>
            </w:r>
            <w:r>
              <w:rPr>
                <w:rFonts w:hint="default"/>
                <w:sz w:val="21"/>
                <w:szCs w:val="21"/>
                <w:lang w:val="en-US" w:eastAsia="zh-CN"/>
              </w:rPr>
              <w:t>10</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10</w:t>
            </w:r>
            <w:r>
              <w:rPr>
                <w:rFonts w:hint="eastAsia"/>
                <w:sz w:val="21"/>
                <w:szCs w:val="21"/>
                <w:lang w:val="en-US" w:eastAsia="zh-CN"/>
              </w:rPr>
              <w:t>.</w:t>
            </w:r>
            <w:r>
              <w:rPr>
                <w:rFonts w:hint="default"/>
                <w:sz w:val="21"/>
                <w:szCs w:val="21"/>
                <w:lang w:val="en-US" w:eastAsia="zh-CN"/>
              </w:rPr>
              <w:t>3</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8</w:t>
            </w:r>
            <w:r>
              <w:rPr>
                <w:rFonts w:hint="eastAsia"/>
                <w:sz w:val="21"/>
                <w:szCs w:val="21"/>
                <w:lang w:val="en-US" w:eastAsia="zh-CN"/>
              </w:rPr>
              <w:t>.</w:t>
            </w:r>
            <w:r>
              <w:rPr>
                <w:rFonts w:hint="default"/>
                <w:sz w:val="21"/>
                <w:szCs w:val="21"/>
                <w:lang w:val="en-US" w:eastAsia="zh-CN"/>
              </w:rPr>
              <w:t>68</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2</w:t>
            </w:r>
            <w:r>
              <w:rPr>
                <w:rFonts w:hint="eastAsia"/>
                <w:sz w:val="21"/>
                <w:szCs w:val="21"/>
                <w:lang w:val="en-US" w:eastAsia="zh-CN"/>
              </w:rPr>
              <w:t>.</w:t>
            </w:r>
            <w:r>
              <w:rPr>
                <w:rFonts w:hint="default"/>
                <w:sz w:val="21"/>
                <w:szCs w:val="21"/>
                <w:lang w:val="en-US" w:eastAsia="zh-CN"/>
              </w:rPr>
              <w:t>44</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2</w:t>
            </w:r>
            <w:r>
              <w:rPr>
                <w:rFonts w:hint="eastAsia"/>
                <w:sz w:val="21"/>
                <w:szCs w:val="21"/>
                <w:lang w:val="en-US" w:eastAsia="zh-CN"/>
              </w:rPr>
              <w:t>.</w:t>
            </w:r>
            <w:r>
              <w:rPr>
                <w:rFonts w:hint="default"/>
                <w:sz w:val="21"/>
                <w:szCs w:val="21"/>
                <w:lang w:val="en-US" w:eastAsia="zh-CN"/>
              </w:rPr>
              <w:t>1</w:t>
            </w:r>
            <w:r>
              <w:rPr>
                <w:rFonts w:hint="eastAsia"/>
                <w:sz w:val="21"/>
                <w:szCs w:val="21"/>
                <w:lang w:val="en-US" w:eastAsia="zh-CN"/>
              </w:rPr>
              <w:t>5</w:t>
            </w:r>
          </w:p>
        </w:tc>
        <w:tc>
          <w:tcPr>
            <w:tcW w:w="524"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w:t>
            </w:r>
            <w:r>
              <w:rPr>
                <w:rFonts w:hint="eastAsia"/>
                <w:sz w:val="21"/>
                <w:szCs w:val="21"/>
                <w:lang w:val="en-US" w:eastAsia="zh-CN"/>
              </w:rPr>
              <w:t>.</w:t>
            </w:r>
            <w:r>
              <w:rPr>
                <w:rFonts w:hint="default"/>
                <w:sz w:val="21"/>
                <w:szCs w:val="21"/>
                <w:lang w:val="en-US" w:eastAsia="zh-CN"/>
              </w:rPr>
              <w:t>9</w:t>
            </w:r>
            <w:r>
              <w:rPr>
                <w:rFonts w:hint="eastAsia"/>
                <w:sz w:val="21"/>
                <w:szCs w:val="21"/>
                <w:lang w:val="en-US" w:eastAsia="zh-CN"/>
              </w:rPr>
              <w:t>1</w:t>
            </w:r>
          </w:p>
        </w:tc>
        <w:tc>
          <w:tcPr>
            <w:tcW w:w="301" w:type="pct"/>
            <w:shd w:val="clear" w:color="auto" w:fill="auto"/>
            <w:noWrap w:val="0"/>
            <w:vAlign w:val="center"/>
          </w:tcPr>
          <w:p>
            <w:pPr>
              <w:spacing w:line="240" w:lineRule="auto"/>
              <w:jc w:val="center"/>
              <w:rPr>
                <w:rFonts w:hint="default"/>
                <w:sz w:val="21"/>
                <w:szCs w:val="21"/>
                <w:lang w:val="en-US" w:eastAsia="zh-CN"/>
              </w:rPr>
            </w:pPr>
            <w:r>
              <w:rPr>
                <w:rFonts w:hint="default"/>
                <w:sz w:val="21"/>
                <w:szCs w:val="21"/>
                <w:lang w:val="en-US" w:eastAsia="zh-CN"/>
              </w:rPr>
              <w:t>/</w:t>
            </w:r>
          </w:p>
        </w:tc>
        <w:tc>
          <w:tcPr>
            <w:tcW w:w="317" w:type="pct"/>
            <w:shd w:val="clear" w:color="auto" w:fill="auto"/>
            <w:noWrap w:val="0"/>
            <w:vAlign w:val="center"/>
          </w:tcPr>
          <w:p>
            <w:pPr>
              <w:spacing w:line="240" w:lineRule="auto"/>
              <w:jc w:val="center"/>
              <w:rPr>
                <w:rFonts w:hint="default"/>
                <w:sz w:val="21"/>
                <w:szCs w:val="21"/>
                <w:lang w:val="en-US" w:eastAsia="zh-CN"/>
              </w:rPr>
            </w:pPr>
            <w:r>
              <w:rPr>
                <w:rFonts w:hint="default"/>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0" w:hRule="atLeast"/>
          <w:jc w:val="center"/>
        </w:trPr>
        <w:tc>
          <w:tcPr>
            <w:tcW w:w="303" w:type="pct"/>
            <w:vMerge w:val="restart"/>
            <w:shd w:val="clear" w:color="auto" w:fill="auto"/>
            <w:noWrap w:val="0"/>
            <w:vAlign w:val="center"/>
          </w:tcPr>
          <w:p>
            <w:pPr>
              <w:jc w:val="center"/>
              <w:rPr>
                <w:bCs/>
                <w:color w:val="000000"/>
                <w:kern w:val="0"/>
                <w:sz w:val="21"/>
                <w:szCs w:val="21"/>
              </w:rPr>
            </w:pPr>
            <w:r>
              <w:rPr>
                <w:rFonts w:hint="eastAsia" w:cs="Times New Roman"/>
                <w:color w:val="auto"/>
                <w:sz w:val="21"/>
                <w:szCs w:val="21"/>
                <w:lang w:val="en-US" w:eastAsia="zh-CN"/>
              </w:rPr>
              <w:t>2</w:t>
            </w:r>
            <w:r>
              <w:rPr>
                <w:rFonts w:hint="eastAsia" w:ascii="Times New Roman" w:hAnsi="Times New Roman" w:cs="Times New Roman"/>
                <w:color w:val="auto"/>
                <w:sz w:val="21"/>
                <w:szCs w:val="21"/>
                <w:lang w:val="en-US" w:eastAsia="zh-CN"/>
              </w:rPr>
              <w:t>#厂房废气出口</w:t>
            </w:r>
          </w:p>
        </w:tc>
        <w:tc>
          <w:tcPr>
            <w:tcW w:w="958" w:type="pct"/>
            <w:shd w:val="clear" w:color="auto" w:fill="auto"/>
            <w:noWrap w:val="0"/>
            <w:vAlign w:val="center"/>
          </w:tcPr>
          <w:p>
            <w:pPr>
              <w:spacing w:line="280" w:lineRule="exact"/>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标杆流量m</w:t>
            </w:r>
            <w:r>
              <w:rPr>
                <w:rFonts w:hint="eastAsia" w:ascii="Times New Roman" w:hAnsi="Times New Roman" w:eastAsia="宋体" w:cs="Times New Roman"/>
                <w:sz w:val="21"/>
                <w:szCs w:val="21"/>
                <w:vertAlign w:val="superscript"/>
              </w:rPr>
              <w:t>3</w:t>
            </w:r>
            <w:r>
              <w:rPr>
                <w:rFonts w:hint="eastAsia" w:ascii="Times New Roman" w:hAnsi="Times New Roman" w:eastAsia="宋体" w:cs="Times New Roman"/>
                <w:sz w:val="21"/>
                <w:szCs w:val="21"/>
              </w:rPr>
              <w:t>/h</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10243</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16272</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14196</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8910</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10303</w:t>
            </w:r>
          </w:p>
        </w:tc>
        <w:tc>
          <w:tcPr>
            <w:tcW w:w="524"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9470</w:t>
            </w:r>
          </w:p>
        </w:tc>
        <w:tc>
          <w:tcPr>
            <w:tcW w:w="301" w:type="pct"/>
            <w:shd w:val="clear" w:color="auto" w:fill="auto"/>
            <w:noWrap w:val="0"/>
            <w:vAlign w:val="center"/>
          </w:tcPr>
          <w:p>
            <w:pPr>
              <w:spacing w:line="240" w:lineRule="auto"/>
              <w:jc w:val="center"/>
              <w:rPr>
                <w:rFonts w:hint="default"/>
                <w:sz w:val="21"/>
                <w:szCs w:val="21"/>
                <w:lang w:val="en-US" w:eastAsia="zh-CN"/>
              </w:rPr>
            </w:pPr>
            <w:r>
              <w:rPr>
                <w:rFonts w:hint="eastAsia"/>
                <w:sz w:val="21"/>
                <w:szCs w:val="21"/>
                <w:lang w:val="en-US" w:eastAsia="zh-CN"/>
              </w:rPr>
              <w:t>/</w:t>
            </w:r>
          </w:p>
        </w:tc>
        <w:tc>
          <w:tcPr>
            <w:tcW w:w="317" w:type="pct"/>
            <w:shd w:val="clear" w:color="auto" w:fill="auto"/>
            <w:noWrap w:val="0"/>
            <w:vAlign w:val="center"/>
          </w:tcPr>
          <w:p>
            <w:pPr>
              <w:spacing w:line="240" w:lineRule="auto"/>
              <w:jc w:val="center"/>
              <w:rPr>
                <w:rFonts w:hint="default"/>
                <w:sz w:val="21"/>
                <w:szCs w:val="21"/>
                <w:lang w:val="en-US" w:eastAsia="zh-CN"/>
              </w:rPr>
            </w:pPr>
            <w:r>
              <w:rPr>
                <w:rFonts w:hint="default"/>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0" w:hRule="atLeast"/>
          <w:jc w:val="center"/>
        </w:trPr>
        <w:tc>
          <w:tcPr>
            <w:tcW w:w="303" w:type="pct"/>
            <w:vMerge w:val="continue"/>
            <w:shd w:val="clear" w:color="auto" w:fill="auto"/>
            <w:noWrap w:val="0"/>
            <w:vAlign w:val="center"/>
          </w:tcPr>
          <w:p>
            <w:pPr>
              <w:jc w:val="center"/>
              <w:rPr>
                <w:bCs/>
                <w:color w:val="000000"/>
                <w:kern w:val="0"/>
                <w:sz w:val="21"/>
                <w:szCs w:val="21"/>
              </w:rPr>
            </w:pPr>
          </w:p>
        </w:tc>
        <w:tc>
          <w:tcPr>
            <w:tcW w:w="958" w:type="pct"/>
            <w:shd w:val="clear" w:color="auto" w:fill="auto"/>
            <w:noWrap w:val="0"/>
            <w:vAlign w:val="center"/>
          </w:tcPr>
          <w:p>
            <w:pPr>
              <w:spacing w:line="280" w:lineRule="exact"/>
              <w:jc w:val="center"/>
              <w:rPr>
                <w:rFonts w:hint="eastAsia" w:ascii="Times New Roman" w:hAnsi="Times New Roman" w:eastAsia="宋体" w:cs="Times New Roman"/>
                <w:sz w:val="21"/>
                <w:szCs w:val="21"/>
              </w:rPr>
            </w:pPr>
            <w:r>
              <w:rPr>
                <w:rFonts w:hint="eastAsia" w:ascii="Times New Roman" w:hAnsi="Times New Roman" w:cs="Times New Roman"/>
                <w:b w:val="0"/>
                <w:bCs w:val="0"/>
                <w:color w:val="000000" w:themeColor="text1"/>
                <w:kern w:val="2"/>
                <w:sz w:val="21"/>
                <w:szCs w:val="21"/>
                <w:lang w:val="en-US" w:eastAsia="zh-CN" w:bidi="ar-SA"/>
                <w14:textFill>
                  <w14:solidFill>
                    <w14:schemeClr w14:val="tx1"/>
                  </w14:solidFill>
                </w14:textFill>
              </w:rPr>
              <w:t>颗粒物</w:t>
            </w:r>
            <w:r>
              <w:rPr>
                <w:rFonts w:hint="eastAsia" w:ascii="Times New Roman" w:hAnsi="Times New Roman" w:eastAsia="宋体" w:cs="Times New Roman"/>
                <w:sz w:val="21"/>
                <w:szCs w:val="21"/>
              </w:rPr>
              <w:t>mg/m</w:t>
            </w:r>
            <w:r>
              <w:rPr>
                <w:rFonts w:hint="eastAsia" w:ascii="Times New Roman" w:hAnsi="Times New Roman" w:eastAsia="宋体" w:cs="Times New Roman"/>
                <w:sz w:val="21"/>
                <w:szCs w:val="21"/>
                <w:vertAlign w:val="superscript"/>
              </w:rPr>
              <w:t>3</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1.5</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1.4</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1.5</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1.7</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1.5</w:t>
            </w:r>
          </w:p>
        </w:tc>
        <w:tc>
          <w:tcPr>
            <w:tcW w:w="524"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1.9</w:t>
            </w:r>
          </w:p>
        </w:tc>
        <w:tc>
          <w:tcPr>
            <w:tcW w:w="301" w:type="pct"/>
            <w:shd w:val="clear" w:color="auto" w:fill="auto"/>
            <w:noWrap w:val="0"/>
            <w:vAlign w:val="center"/>
          </w:tcPr>
          <w:p>
            <w:pPr>
              <w:spacing w:line="240" w:lineRule="auto"/>
              <w:jc w:val="center"/>
              <w:rPr>
                <w:rFonts w:hint="default"/>
                <w:sz w:val="21"/>
                <w:szCs w:val="21"/>
                <w:lang w:val="en-US" w:eastAsia="zh-CN"/>
              </w:rPr>
            </w:pPr>
            <w:r>
              <w:rPr>
                <w:rFonts w:hint="eastAsia"/>
                <w:sz w:val="21"/>
                <w:szCs w:val="21"/>
                <w:lang w:val="en-US" w:eastAsia="zh-CN"/>
              </w:rPr>
              <w:t>120</w:t>
            </w:r>
          </w:p>
        </w:tc>
        <w:tc>
          <w:tcPr>
            <w:tcW w:w="317" w:type="pct"/>
            <w:shd w:val="clear" w:color="auto" w:fill="auto"/>
            <w:noWrap w:val="0"/>
            <w:vAlign w:val="center"/>
          </w:tcPr>
          <w:p>
            <w:pPr>
              <w:spacing w:line="240" w:lineRule="auto"/>
              <w:jc w:val="center"/>
              <w:rPr>
                <w:rFonts w:hint="default"/>
                <w:sz w:val="21"/>
                <w:szCs w:val="21"/>
                <w:lang w:val="en-US" w:eastAsia="zh-CN"/>
              </w:rPr>
            </w:pPr>
            <w:r>
              <w:rPr>
                <w:rFonts w:hint="eastAsia"/>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0" w:hRule="atLeast"/>
          <w:jc w:val="center"/>
        </w:trPr>
        <w:tc>
          <w:tcPr>
            <w:tcW w:w="303" w:type="pct"/>
            <w:vMerge w:val="continue"/>
            <w:shd w:val="clear" w:color="auto" w:fill="auto"/>
            <w:noWrap w:val="0"/>
            <w:vAlign w:val="center"/>
          </w:tcPr>
          <w:p>
            <w:pPr>
              <w:jc w:val="center"/>
              <w:rPr>
                <w:bCs/>
                <w:color w:val="000000"/>
                <w:kern w:val="0"/>
                <w:sz w:val="21"/>
                <w:szCs w:val="21"/>
              </w:rPr>
            </w:pPr>
          </w:p>
        </w:tc>
        <w:tc>
          <w:tcPr>
            <w:tcW w:w="958" w:type="pct"/>
            <w:shd w:val="clear" w:color="auto" w:fill="auto"/>
            <w:noWrap w:val="0"/>
            <w:vAlign w:val="center"/>
          </w:tcPr>
          <w:p>
            <w:pPr>
              <w:spacing w:line="280" w:lineRule="exact"/>
              <w:jc w:val="center"/>
              <w:rPr>
                <w:rFonts w:hint="eastAsia" w:ascii="Times New Roman" w:hAnsi="Times New Roman" w:eastAsia="宋体" w:cs="Times New Roman"/>
                <w:sz w:val="21"/>
                <w:szCs w:val="21"/>
              </w:rPr>
            </w:pPr>
            <w:r>
              <w:rPr>
                <w:rFonts w:hint="eastAsia" w:ascii="Times New Roman" w:hAnsi="Times New Roman" w:cs="Times New Roman"/>
                <w:b w:val="0"/>
                <w:bCs w:val="0"/>
                <w:color w:val="000000" w:themeColor="text1"/>
                <w:kern w:val="2"/>
                <w:sz w:val="21"/>
                <w:szCs w:val="21"/>
                <w:lang w:val="en-US" w:eastAsia="zh-CN" w:bidi="ar-SA"/>
                <w14:textFill>
                  <w14:solidFill>
                    <w14:schemeClr w14:val="tx1"/>
                  </w14:solidFill>
                </w14:textFill>
              </w:rPr>
              <w:t>颗粒物</w:t>
            </w:r>
            <w:r>
              <w:rPr>
                <w:rFonts w:hint="eastAsia" w:ascii="Times New Roman" w:hAnsi="Times New Roman" w:eastAsia="宋体" w:cs="Times New Roman"/>
                <w:sz w:val="21"/>
                <w:szCs w:val="21"/>
                <w:lang w:eastAsia="zh-CN"/>
              </w:rPr>
              <w:t>排放速率</w:t>
            </w:r>
            <w:r>
              <w:rPr>
                <w:rFonts w:hint="eastAsia" w:ascii="Times New Roman" w:hAnsi="Times New Roman" w:eastAsia="宋体" w:cs="Times New Roman"/>
                <w:sz w:val="21"/>
                <w:szCs w:val="21"/>
              </w:rPr>
              <w:t>kg/h</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w:t>
            </w:r>
            <w:r>
              <w:rPr>
                <w:rFonts w:hint="default"/>
                <w:sz w:val="21"/>
                <w:szCs w:val="21"/>
                <w:lang w:val="en-US" w:eastAsia="zh-CN"/>
              </w:rPr>
              <w:t>153</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w:t>
            </w:r>
            <w:r>
              <w:rPr>
                <w:rFonts w:hint="default"/>
                <w:sz w:val="21"/>
                <w:szCs w:val="21"/>
                <w:lang w:val="en-US" w:eastAsia="zh-CN"/>
              </w:rPr>
              <w:t>22</w:t>
            </w:r>
            <w:r>
              <w:rPr>
                <w:rFonts w:hint="eastAsia"/>
                <w:sz w:val="21"/>
                <w:szCs w:val="21"/>
                <w:lang w:val="en-US" w:eastAsia="zh-CN"/>
              </w:rPr>
              <w:t>8</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w:t>
            </w:r>
            <w:r>
              <w:rPr>
                <w:rFonts w:hint="default"/>
                <w:sz w:val="21"/>
                <w:szCs w:val="21"/>
                <w:lang w:val="en-US" w:eastAsia="zh-CN"/>
              </w:rPr>
              <w:t>21</w:t>
            </w:r>
            <w:r>
              <w:rPr>
                <w:rFonts w:hint="eastAsia"/>
                <w:sz w:val="21"/>
                <w:szCs w:val="21"/>
                <w:lang w:val="en-US" w:eastAsia="zh-CN"/>
              </w:rPr>
              <w:t>3</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w:t>
            </w:r>
            <w:r>
              <w:rPr>
                <w:rFonts w:hint="default"/>
                <w:sz w:val="21"/>
                <w:szCs w:val="21"/>
                <w:lang w:val="en-US" w:eastAsia="zh-CN"/>
              </w:rPr>
              <w:t>151</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w:t>
            </w:r>
            <w:r>
              <w:rPr>
                <w:rFonts w:hint="default"/>
                <w:sz w:val="21"/>
                <w:szCs w:val="21"/>
                <w:lang w:val="en-US" w:eastAsia="zh-CN"/>
              </w:rPr>
              <w:t>154</w:t>
            </w:r>
          </w:p>
        </w:tc>
        <w:tc>
          <w:tcPr>
            <w:tcW w:w="524"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w:t>
            </w:r>
            <w:r>
              <w:rPr>
                <w:rFonts w:hint="default"/>
                <w:sz w:val="21"/>
                <w:szCs w:val="21"/>
                <w:lang w:val="en-US" w:eastAsia="zh-CN"/>
              </w:rPr>
              <w:t>1</w:t>
            </w:r>
            <w:r>
              <w:rPr>
                <w:rFonts w:hint="eastAsia"/>
                <w:sz w:val="21"/>
                <w:szCs w:val="21"/>
                <w:lang w:val="en-US" w:eastAsia="zh-CN"/>
              </w:rPr>
              <w:t>80</w:t>
            </w:r>
          </w:p>
        </w:tc>
        <w:tc>
          <w:tcPr>
            <w:tcW w:w="301" w:type="pct"/>
            <w:shd w:val="clear" w:color="auto" w:fill="auto"/>
            <w:noWrap w:val="0"/>
            <w:vAlign w:val="center"/>
          </w:tcPr>
          <w:p>
            <w:pPr>
              <w:spacing w:line="240" w:lineRule="auto"/>
              <w:jc w:val="center"/>
              <w:rPr>
                <w:rFonts w:hint="default"/>
                <w:sz w:val="21"/>
                <w:szCs w:val="21"/>
                <w:lang w:val="en-US" w:eastAsia="zh-CN"/>
              </w:rPr>
            </w:pPr>
            <w:r>
              <w:rPr>
                <w:rFonts w:hint="eastAsia"/>
                <w:sz w:val="21"/>
                <w:szCs w:val="21"/>
                <w:lang w:val="en-US" w:eastAsia="zh-CN"/>
              </w:rPr>
              <w:t>3.5</w:t>
            </w:r>
          </w:p>
        </w:tc>
        <w:tc>
          <w:tcPr>
            <w:tcW w:w="317" w:type="pct"/>
            <w:shd w:val="clear" w:color="auto" w:fill="auto"/>
            <w:noWrap w:val="0"/>
            <w:vAlign w:val="center"/>
          </w:tcPr>
          <w:p>
            <w:pPr>
              <w:spacing w:line="240" w:lineRule="auto"/>
              <w:jc w:val="center"/>
              <w:rPr>
                <w:rFonts w:hint="default"/>
                <w:sz w:val="21"/>
                <w:szCs w:val="21"/>
                <w:lang w:val="en-US" w:eastAsia="zh-CN"/>
              </w:rPr>
            </w:pPr>
            <w:r>
              <w:rPr>
                <w:rFonts w:hint="eastAsia"/>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0" w:hRule="atLeast"/>
          <w:jc w:val="center"/>
        </w:trPr>
        <w:tc>
          <w:tcPr>
            <w:tcW w:w="303" w:type="pct"/>
            <w:vMerge w:val="continue"/>
            <w:shd w:val="clear" w:color="auto" w:fill="auto"/>
            <w:noWrap w:val="0"/>
            <w:vAlign w:val="center"/>
          </w:tcPr>
          <w:p>
            <w:pPr>
              <w:jc w:val="center"/>
              <w:rPr>
                <w:bCs/>
                <w:color w:val="000000"/>
                <w:kern w:val="0"/>
                <w:sz w:val="21"/>
                <w:szCs w:val="21"/>
              </w:rPr>
            </w:pPr>
          </w:p>
        </w:tc>
        <w:tc>
          <w:tcPr>
            <w:tcW w:w="958" w:type="pct"/>
            <w:shd w:val="clear" w:color="auto" w:fill="auto"/>
            <w:noWrap w:val="0"/>
            <w:vAlign w:val="center"/>
          </w:tcPr>
          <w:p>
            <w:pPr>
              <w:spacing w:line="280" w:lineRule="exact"/>
              <w:jc w:val="center"/>
              <w:rPr>
                <w:rFonts w:hint="eastAsia" w:ascii="Times New Roman" w:hAnsi="Times New Roman" w:eastAsia="宋体" w:cs="Times New Roman"/>
                <w:sz w:val="21"/>
                <w:szCs w:val="21"/>
              </w:rPr>
            </w:pPr>
            <w:r>
              <w:rPr>
                <w:rFonts w:hint="eastAsia" w:ascii="Times New Roman" w:hAnsi="Times New Roman" w:cs="Times New Roman"/>
                <w:b w:val="0"/>
                <w:bCs w:val="0"/>
                <w:color w:val="000000" w:themeColor="text1"/>
                <w:kern w:val="2"/>
                <w:sz w:val="21"/>
                <w:szCs w:val="21"/>
                <w:lang w:val="en-US" w:eastAsia="zh-CN" w:bidi="ar-SA"/>
                <w14:textFill>
                  <w14:solidFill>
                    <w14:schemeClr w14:val="tx1"/>
                  </w14:solidFill>
                </w14:textFill>
              </w:rPr>
              <w:t>甲苯</w:t>
            </w:r>
            <w:r>
              <w:rPr>
                <w:rFonts w:hint="eastAsia" w:ascii="Times New Roman" w:hAnsi="Times New Roman" w:eastAsia="宋体" w:cs="Times New Roman"/>
                <w:sz w:val="21"/>
                <w:szCs w:val="21"/>
              </w:rPr>
              <w:t>mg/m</w:t>
            </w:r>
            <w:r>
              <w:rPr>
                <w:rFonts w:hint="eastAsia" w:ascii="Times New Roman" w:hAnsi="Times New Roman" w:eastAsia="宋体" w:cs="Times New Roman"/>
                <w:sz w:val="21"/>
                <w:szCs w:val="21"/>
                <w:vertAlign w:val="superscript"/>
              </w:rPr>
              <w:t>3</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2.13</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2.02</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1.99</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1.71</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1.66</w:t>
            </w:r>
          </w:p>
        </w:tc>
        <w:tc>
          <w:tcPr>
            <w:tcW w:w="524"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1.69</w:t>
            </w:r>
          </w:p>
        </w:tc>
        <w:tc>
          <w:tcPr>
            <w:tcW w:w="301" w:type="pct"/>
            <w:shd w:val="clear" w:color="auto" w:fill="auto"/>
            <w:noWrap w:val="0"/>
            <w:vAlign w:val="center"/>
          </w:tcPr>
          <w:p>
            <w:pPr>
              <w:spacing w:line="240" w:lineRule="auto"/>
              <w:jc w:val="center"/>
              <w:rPr>
                <w:rFonts w:hint="default"/>
                <w:sz w:val="21"/>
                <w:szCs w:val="21"/>
                <w:lang w:val="en-US" w:eastAsia="zh-CN"/>
              </w:rPr>
            </w:pPr>
            <w:r>
              <w:rPr>
                <w:rFonts w:hint="eastAsia"/>
                <w:sz w:val="21"/>
                <w:szCs w:val="21"/>
                <w:lang w:val="en-US" w:eastAsia="zh-CN"/>
              </w:rPr>
              <w:t>40</w:t>
            </w:r>
          </w:p>
        </w:tc>
        <w:tc>
          <w:tcPr>
            <w:tcW w:w="317" w:type="pct"/>
            <w:shd w:val="clear" w:color="auto" w:fill="auto"/>
            <w:noWrap w:val="0"/>
            <w:vAlign w:val="center"/>
          </w:tcPr>
          <w:p>
            <w:pPr>
              <w:spacing w:line="240" w:lineRule="auto"/>
              <w:jc w:val="center"/>
              <w:rPr>
                <w:rFonts w:hint="default"/>
                <w:sz w:val="21"/>
                <w:szCs w:val="21"/>
                <w:lang w:val="en-US" w:eastAsia="zh-CN"/>
              </w:rPr>
            </w:pPr>
            <w:r>
              <w:rPr>
                <w:rFonts w:hint="eastAsia"/>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0" w:hRule="atLeast"/>
          <w:jc w:val="center"/>
        </w:trPr>
        <w:tc>
          <w:tcPr>
            <w:tcW w:w="303" w:type="pct"/>
            <w:vMerge w:val="continue"/>
            <w:shd w:val="clear" w:color="auto" w:fill="auto"/>
            <w:noWrap w:val="0"/>
            <w:vAlign w:val="center"/>
          </w:tcPr>
          <w:p>
            <w:pPr>
              <w:jc w:val="center"/>
              <w:rPr>
                <w:bCs/>
                <w:color w:val="000000"/>
                <w:kern w:val="0"/>
                <w:sz w:val="21"/>
                <w:szCs w:val="21"/>
              </w:rPr>
            </w:pPr>
          </w:p>
        </w:tc>
        <w:tc>
          <w:tcPr>
            <w:tcW w:w="958" w:type="pct"/>
            <w:shd w:val="clear" w:color="auto" w:fill="auto"/>
            <w:noWrap w:val="0"/>
            <w:vAlign w:val="center"/>
          </w:tcPr>
          <w:p>
            <w:pPr>
              <w:spacing w:line="280" w:lineRule="exact"/>
              <w:jc w:val="center"/>
              <w:rPr>
                <w:rFonts w:hint="eastAsia" w:ascii="Times New Roman" w:hAnsi="Times New Roman" w:eastAsia="宋体" w:cs="Times New Roman"/>
                <w:sz w:val="21"/>
                <w:szCs w:val="21"/>
              </w:rPr>
            </w:pPr>
            <w:r>
              <w:rPr>
                <w:rFonts w:hint="eastAsia" w:ascii="Times New Roman" w:hAnsi="Times New Roman" w:cs="Times New Roman"/>
                <w:b w:val="0"/>
                <w:bCs w:val="0"/>
                <w:color w:val="000000" w:themeColor="text1"/>
                <w:kern w:val="2"/>
                <w:sz w:val="21"/>
                <w:szCs w:val="21"/>
                <w:lang w:val="en-US" w:eastAsia="zh-CN" w:bidi="ar-SA"/>
                <w14:textFill>
                  <w14:solidFill>
                    <w14:schemeClr w14:val="tx1"/>
                  </w14:solidFill>
                </w14:textFill>
              </w:rPr>
              <w:t>甲苯</w:t>
            </w:r>
            <w:r>
              <w:rPr>
                <w:rFonts w:hint="eastAsia" w:ascii="Times New Roman" w:hAnsi="Times New Roman" w:eastAsia="宋体" w:cs="Times New Roman"/>
                <w:sz w:val="21"/>
                <w:szCs w:val="21"/>
                <w:lang w:eastAsia="zh-CN"/>
              </w:rPr>
              <w:t>排放速率</w:t>
            </w:r>
            <w:r>
              <w:rPr>
                <w:rFonts w:hint="eastAsia" w:ascii="Times New Roman" w:hAnsi="Times New Roman" w:eastAsia="宋体" w:cs="Times New Roman"/>
                <w:sz w:val="21"/>
                <w:szCs w:val="21"/>
              </w:rPr>
              <w:t>kg/h</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w:t>
            </w:r>
            <w:r>
              <w:rPr>
                <w:rFonts w:hint="default"/>
                <w:sz w:val="21"/>
                <w:szCs w:val="21"/>
                <w:lang w:val="en-US" w:eastAsia="zh-CN"/>
              </w:rPr>
              <w:t>218</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w:t>
            </w:r>
            <w:r>
              <w:rPr>
                <w:rFonts w:hint="default"/>
                <w:sz w:val="21"/>
                <w:szCs w:val="21"/>
                <w:lang w:val="en-US" w:eastAsia="zh-CN"/>
              </w:rPr>
              <w:t>32</w:t>
            </w:r>
            <w:r>
              <w:rPr>
                <w:rFonts w:hint="eastAsia"/>
                <w:sz w:val="21"/>
                <w:szCs w:val="21"/>
                <w:lang w:val="en-US" w:eastAsia="zh-CN"/>
              </w:rPr>
              <w:t>9</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w:t>
            </w:r>
            <w:r>
              <w:rPr>
                <w:rFonts w:hint="default"/>
                <w:sz w:val="21"/>
                <w:szCs w:val="21"/>
                <w:lang w:val="en-US" w:eastAsia="zh-CN"/>
              </w:rPr>
              <w:t>282</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w:t>
            </w:r>
            <w:r>
              <w:rPr>
                <w:rFonts w:hint="default"/>
                <w:sz w:val="21"/>
                <w:szCs w:val="21"/>
                <w:lang w:val="en-US" w:eastAsia="zh-CN"/>
              </w:rPr>
              <w:t>152</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w:t>
            </w:r>
            <w:r>
              <w:rPr>
                <w:rFonts w:hint="default"/>
                <w:sz w:val="21"/>
                <w:szCs w:val="21"/>
                <w:lang w:val="en-US" w:eastAsia="zh-CN"/>
              </w:rPr>
              <w:t>171</w:t>
            </w:r>
          </w:p>
        </w:tc>
        <w:tc>
          <w:tcPr>
            <w:tcW w:w="524"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w:t>
            </w:r>
            <w:r>
              <w:rPr>
                <w:rFonts w:hint="default"/>
                <w:sz w:val="21"/>
                <w:szCs w:val="21"/>
                <w:lang w:val="en-US" w:eastAsia="zh-CN"/>
              </w:rPr>
              <w:t>160</w:t>
            </w:r>
          </w:p>
        </w:tc>
        <w:tc>
          <w:tcPr>
            <w:tcW w:w="301" w:type="pct"/>
            <w:shd w:val="clear" w:color="auto" w:fill="auto"/>
            <w:noWrap w:val="0"/>
            <w:vAlign w:val="center"/>
          </w:tcPr>
          <w:p>
            <w:pPr>
              <w:spacing w:line="240" w:lineRule="auto"/>
              <w:jc w:val="center"/>
              <w:rPr>
                <w:rFonts w:hint="default"/>
                <w:sz w:val="21"/>
                <w:szCs w:val="21"/>
                <w:lang w:val="en-US" w:eastAsia="zh-CN"/>
              </w:rPr>
            </w:pPr>
            <w:r>
              <w:rPr>
                <w:rFonts w:hint="eastAsia"/>
                <w:sz w:val="21"/>
                <w:szCs w:val="21"/>
                <w:lang w:val="en-US" w:eastAsia="zh-CN"/>
              </w:rPr>
              <w:t>3.1</w:t>
            </w:r>
          </w:p>
        </w:tc>
        <w:tc>
          <w:tcPr>
            <w:tcW w:w="317"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0" w:hRule="atLeast"/>
          <w:jc w:val="center"/>
        </w:trPr>
        <w:tc>
          <w:tcPr>
            <w:tcW w:w="303" w:type="pct"/>
            <w:vMerge w:val="continue"/>
            <w:shd w:val="clear" w:color="auto" w:fill="auto"/>
            <w:noWrap w:val="0"/>
            <w:vAlign w:val="center"/>
          </w:tcPr>
          <w:p>
            <w:pPr>
              <w:jc w:val="center"/>
              <w:rPr>
                <w:bCs/>
                <w:color w:val="000000"/>
                <w:kern w:val="0"/>
                <w:sz w:val="21"/>
                <w:szCs w:val="21"/>
              </w:rPr>
            </w:pPr>
          </w:p>
        </w:tc>
        <w:tc>
          <w:tcPr>
            <w:tcW w:w="958" w:type="pct"/>
            <w:shd w:val="clear" w:color="auto" w:fill="auto"/>
            <w:noWrap w:val="0"/>
            <w:vAlign w:val="center"/>
          </w:tcPr>
          <w:p>
            <w:pPr>
              <w:spacing w:line="280" w:lineRule="exact"/>
              <w:jc w:val="center"/>
              <w:rPr>
                <w:rFonts w:hint="eastAsia" w:ascii="Times New Roman" w:hAnsi="Times New Roman" w:eastAsia="宋体" w:cs="Times New Roman"/>
                <w:sz w:val="21"/>
                <w:szCs w:val="21"/>
              </w:rPr>
            </w:pPr>
            <w:r>
              <w:rPr>
                <w:rFonts w:hint="eastAsia" w:ascii="Times New Roman" w:hAnsi="Times New Roman" w:cs="Times New Roman"/>
                <w:color w:val="auto"/>
                <w:sz w:val="21"/>
                <w:szCs w:val="21"/>
                <w:lang w:eastAsia="zh-CN"/>
              </w:rPr>
              <w:t>非甲烷总烃</w:t>
            </w:r>
            <w:r>
              <w:rPr>
                <w:rFonts w:hint="eastAsia" w:ascii="Times New Roman" w:hAnsi="Times New Roman" w:eastAsia="宋体" w:cs="Times New Roman"/>
                <w:sz w:val="21"/>
                <w:szCs w:val="21"/>
              </w:rPr>
              <w:t>mg/m</w:t>
            </w:r>
            <w:r>
              <w:rPr>
                <w:rFonts w:hint="eastAsia" w:ascii="Times New Roman" w:hAnsi="Times New Roman" w:eastAsia="宋体" w:cs="Times New Roman"/>
                <w:sz w:val="21"/>
                <w:szCs w:val="21"/>
                <w:vertAlign w:val="superscript"/>
              </w:rPr>
              <w:t>3</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2.87</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2.94</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3.07</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3.14</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3.28</w:t>
            </w:r>
          </w:p>
        </w:tc>
        <w:tc>
          <w:tcPr>
            <w:tcW w:w="524"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3.32</w:t>
            </w:r>
          </w:p>
        </w:tc>
        <w:tc>
          <w:tcPr>
            <w:tcW w:w="301" w:type="pct"/>
            <w:shd w:val="clear" w:color="auto" w:fill="auto"/>
            <w:noWrap w:val="0"/>
            <w:vAlign w:val="center"/>
          </w:tcPr>
          <w:p>
            <w:pPr>
              <w:spacing w:line="240" w:lineRule="auto"/>
              <w:jc w:val="center"/>
              <w:rPr>
                <w:rFonts w:hint="default"/>
                <w:sz w:val="21"/>
                <w:szCs w:val="21"/>
                <w:lang w:val="en-US" w:eastAsia="zh-CN"/>
              </w:rPr>
            </w:pPr>
            <w:r>
              <w:rPr>
                <w:rFonts w:hint="eastAsia"/>
                <w:sz w:val="21"/>
                <w:szCs w:val="21"/>
                <w:lang w:val="en-US" w:eastAsia="zh-CN"/>
              </w:rPr>
              <w:t>120</w:t>
            </w:r>
          </w:p>
        </w:tc>
        <w:tc>
          <w:tcPr>
            <w:tcW w:w="317"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0" w:hRule="atLeast"/>
          <w:jc w:val="center"/>
        </w:trPr>
        <w:tc>
          <w:tcPr>
            <w:tcW w:w="303" w:type="pct"/>
            <w:vMerge w:val="continue"/>
            <w:shd w:val="clear" w:color="auto" w:fill="auto"/>
            <w:noWrap w:val="0"/>
            <w:vAlign w:val="center"/>
          </w:tcPr>
          <w:p>
            <w:pPr>
              <w:jc w:val="center"/>
              <w:rPr>
                <w:bCs/>
                <w:color w:val="000000"/>
                <w:kern w:val="0"/>
                <w:sz w:val="21"/>
                <w:szCs w:val="21"/>
              </w:rPr>
            </w:pPr>
          </w:p>
        </w:tc>
        <w:tc>
          <w:tcPr>
            <w:tcW w:w="958" w:type="pct"/>
            <w:shd w:val="clear" w:color="auto" w:fill="auto"/>
            <w:noWrap w:val="0"/>
            <w:vAlign w:val="center"/>
          </w:tcPr>
          <w:p>
            <w:pPr>
              <w:spacing w:line="280" w:lineRule="exact"/>
              <w:jc w:val="center"/>
              <w:rPr>
                <w:rFonts w:hint="eastAsia" w:ascii="Times New Roman" w:hAnsi="Times New Roman" w:eastAsia="宋体" w:cs="Times New Roman"/>
                <w:sz w:val="21"/>
                <w:szCs w:val="21"/>
              </w:rPr>
            </w:pPr>
            <w:r>
              <w:rPr>
                <w:rFonts w:hint="eastAsia" w:ascii="Times New Roman" w:hAnsi="Times New Roman" w:cs="Times New Roman"/>
                <w:color w:val="auto"/>
                <w:sz w:val="21"/>
                <w:szCs w:val="21"/>
                <w:lang w:eastAsia="zh-CN"/>
              </w:rPr>
              <w:t>非甲烷总烃</w:t>
            </w:r>
            <w:r>
              <w:rPr>
                <w:rFonts w:hint="eastAsia" w:ascii="Times New Roman" w:hAnsi="Times New Roman" w:eastAsia="宋体" w:cs="Times New Roman"/>
                <w:sz w:val="21"/>
                <w:szCs w:val="21"/>
                <w:lang w:eastAsia="zh-CN"/>
              </w:rPr>
              <w:t>排放</w:t>
            </w:r>
            <w:r>
              <w:rPr>
                <w:rFonts w:hint="eastAsia" w:ascii="Times New Roman" w:hAnsi="Times New Roman" w:eastAsia="宋体" w:cs="Times New Roman"/>
                <w:sz w:val="21"/>
                <w:szCs w:val="21"/>
              </w:rPr>
              <w:t>速率kg/h</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w:t>
            </w:r>
            <w:r>
              <w:rPr>
                <w:rFonts w:hint="default"/>
                <w:sz w:val="21"/>
                <w:szCs w:val="21"/>
                <w:lang w:val="en-US" w:eastAsia="zh-CN"/>
              </w:rPr>
              <w:t>29</w:t>
            </w:r>
            <w:r>
              <w:rPr>
                <w:rFonts w:hint="eastAsia"/>
                <w:sz w:val="21"/>
                <w:szCs w:val="21"/>
                <w:lang w:val="en-US" w:eastAsia="zh-CN"/>
              </w:rPr>
              <w:t>4</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w:t>
            </w:r>
            <w:r>
              <w:rPr>
                <w:rFonts w:hint="default"/>
                <w:sz w:val="21"/>
                <w:szCs w:val="21"/>
                <w:lang w:val="en-US" w:eastAsia="zh-CN"/>
              </w:rPr>
              <w:t>478</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w:t>
            </w:r>
            <w:r>
              <w:rPr>
                <w:rFonts w:hint="default"/>
                <w:sz w:val="21"/>
                <w:szCs w:val="21"/>
                <w:lang w:val="en-US" w:eastAsia="zh-CN"/>
              </w:rPr>
              <w:t>43</w:t>
            </w:r>
            <w:r>
              <w:rPr>
                <w:rFonts w:hint="eastAsia"/>
                <w:sz w:val="21"/>
                <w:szCs w:val="21"/>
                <w:lang w:val="en-US" w:eastAsia="zh-CN"/>
              </w:rPr>
              <w:t>6</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w:t>
            </w:r>
            <w:r>
              <w:rPr>
                <w:rFonts w:hint="default"/>
                <w:sz w:val="21"/>
                <w:szCs w:val="21"/>
                <w:lang w:val="en-US" w:eastAsia="zh-CN"/>
              </w:rPr>
              <w:t>2</w:t>
            </w:r>
            <w:r>
              <w:rPr>
                <w:rFonts w:hint="eastAsia"/>
                <w:sz w:val="21"/>
                <w:szCs w:val="21"/>
                <w:lang w:val="en-US" w:eastAsia="zh-CN"/>
              </w:rPr>
              <w:t>80</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w:t>
            </w:r>
            <w:r>
              <w:rPr>
                <w:rFonts w:hint="default"/>
                <w:sz w:val="21"/>
                <w:szCs w:val="21"/>
                <w:lang w:val="en-US" w:eastAsia="zh-CN"/>
              </w:rPr>
              <w:t>33</w:t>
            </w:r>
            <w:r>
              <w:rPr>
                <w:rFonts w:hint="eastAsia"/>
                <w:sz w:val="21"/>
                <w:szCs w:val="21"/>
                <w:lang w:val="en-US" w:eastAsia="zh-CN"/>
              </w:rPr>
              <w:t>8</w:t>
            </w:r>
          </w:p>
        </w:tc>
        <w:tc>
          <w:tcPr>
            <w:tcW w:w="524"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w:t>
            </w:r>
            <w:r>
              <w:rPr>
                <w:rFonts w:hint="default"/>
                <w:sz w:val="21"/>
                <w:szCs w:val="21"/>
                <w:lang w:val="en-US" w:eastAsia="zh-CN"/>
              </w:rPr>
              <w:t>314</w:t>
            </w:r>
          </w:p>
        </w:tc>
        <w:tc>
          <w:tcPr>
            <w:tcW w:w="301" w:type="pct"/>
            <w:shd w:val="clear" w:color="auto" w:fill="auto"/>
            <w:noWrap w:val="0"/>
            <w:vAlign w:val="center"/>
          </w:tcPr>
          <w:p>
            <w:pPr>
              <w:spacing w:line="240" w:lineRule="auto"/>
              <w:jc w:val="center"/>
              <w:rPr>
                <w:rFonts w:hint="default"/>
                <w:sz w:val="21"/>
                <w:szCs w:val="21"/>
                <w:lang w:val="en-US" w:eastAsia="zh-CN"/>
              </w:rPr>
            </w:pPr>
            <w:r>
              <w:rPr>
                <w:rFonts w:hint="eastAsia"/>
                <w:sz w:val="21"/>
                <w:szCs w:val="21"/>
                <w:lang w:val="en-US" w:eastAsia="zh-CN"/>
              </w:rPr>
              <w:t>10</w:t>
            </w:r>
          </w:p>
        </w:tc>
        <w:tc>
          <w:tcPr>
            <w:tcW w:w="317"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0" w:hRule="atLeast"/>
          <w:jc w:val="center"/>
        </w:trPr>
        <w:tc>
          <w:tcPr>
            <w:tcW w:w="303" w:type="pct"/>
            <w:vMerge w:val="continue"/>
            <w:shd w:val="clear" w:color="auto" w:fill="auto"/>
            <w:noWrap w:val="0"/>
            <w:vAlign w:val="center"/>
          </w:tcPr>
          <w:p>
            <w:pPr>
              <w:jc w:val="center"/>
              <w:rPr>
                <w:bCs/>
                <w:color w:val="000000"/>
                <w:kern w:val="0"/>
                <w:sz w:val="21"/>
                <w:szCs w:val="21"/>
              </w:rPr>
            </w:pPr>
          </w:p>
        </w:tc>
        <w:tc>
          <w:tcPr>
            <w:tcW w:w="958" w:type="pct"/>
            <w:shd w:val="clear" w:color="auto" w:fill="auto"/>
            <w:noWrap w:val="0"/>
            <w:vAlign w:val="center"/>
          </w:tcPr>
          <w:p>
            <w:pPr>
              <w:spacing w:line="280" w:lineRule="exact"/>
              <w:jc w:val="center"/>
              <w:rPr>
                <w:rFonts w:hint="eastAsia" w:ascii="Times New Roman" w:hAnsi="Times New Roman" w:eastAsia="宋体" w:cs="Times New Roman"/>
                <w:sz w:val="21"/>
                <w:szCs w:val="21"/>
              </w:rPr>
            </w:pPr>
            <w:r>
              <w:rPr>
                <w:rFonts w:hint="eastAsia" w:ascii="Times New Roman" w:hAnsi="Times New Roman" w:cs="Times New Roman"/>
                <w:b w:val="0"/>
                <w:bCs w:val="0"/>
                <w:color w:val="000000" w:themeColor="text1"/>
                <w:kern w:val="2"/>
                <w:sz w:val="21"/>
                <w:szCs w:val="21"/>
                <w:lang w:val="en-US" w:eastAsia="zh-CN" w:bidi="ar-SA"/>
                <w14:textFill>
                  <w14:solidFill>
                    <w14:schemeClr w14:val="tx1"/>
                  </w14:solidFill>
                </w14:textFill>
              </w:rPr>
              <w:t>乙酸乙酯</w:t>
            </w:r>
            <w:r>
              <w:rPr>
                <w:rFonts w:hint="eastAsia" w:ascii="Times New Roman" w:hAnsi="Times New Roman" w:eastAsia="宋体" w:cs="Times New Roman"/>
                <w:sz w:val="21"/>
                <w:szCs w:val="21"/>
              </w:rPr>
              <w:t>mg/m</w:t>
            </w:r>
            <w:r>
              <w:rPr>
                <w:rFonts w:hint="eastAsia" w:ascii="Times New Roman" w:hAnsi="Times New Roman" w:eastAsia="宋体" w:cs="Times New Roman"/>
                <w:sz w:val="21"/>
                <w:szCs w:val="21"/>
                <w:vertAlign w:val="superscript"/>
              </w:rPr>
              <w:t>3</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2.07</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2.92</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2.36</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0.515</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0.45</w:t>
            </w:r>
          </w:p>
        </w:tc>
        <w:tc>
          <w:tcPr>
            <w:tcW w:w="524"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0.525</w:t>
            </w:r>
          </w:p>
        </w:tc>
        <w:tc>
          <w:tcPr>
            <w:tcW w:w="30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200</w:t>
            </w:r>
          </w:p>
        </w:tc>
        <w:tc>
          <w:tcPr>
            <w:tcW w:w="317"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0" w:hRule="atLeast"/>
          <w:jc w:val="center"/>
        </w:trPr>
        <w:tc>
          <w:tcPr>
            <w:tcW w:w="303" w:type="pct"/>
            <w:vMerge w:val="continue"/>
            <w:shd w:val="clear" w:color="auto" w:fill="auto"/>
            <w:noWrap w:val="0"/>
            <w:vAlign w:val="center"/>
          </w:tcPr>
          <w:p>
            <w:pPr>
              <w:jc w:val="center"/>
              <w:rPr>
                <w:bCs/>
                <w:color w:val="000000"/>
                <w:kern w:val="0"/>
                <w:sz w:val="21"/>
                <w:szCs w:val="21"/>
              </w:rPr>
            </w:pPr>
          </w:p>
        </w:tc>
        <w:tc>
          <w:tcPr>
            <w:tcW w:w="958" w:type="pct"/>
            <w:shd w:val="clear" w:color="auto" w:fill="auto"/>
            <w:noWrap w:val="0"/>
            <w:vAlign w:val="center"/>
          </w:tcPr>
          <w:p>
            <w:pPr>
              <w:spacing w:line="280" w:lineRule="exact"/>
              <w:jc w:val="center"/>
              <w:rPr>
                <w:rFonts w:hint="eastAsia" w:ascii="Times New Roman" w:hAnsi="Times New Roman" w:eastAsia="宋体" w:cs="Times New Roman"/>
                <w:sz w:val="21"/>
                <w:szCs w:val="21"/>
              </w:rPr>
            </w:pPr>
            <w:r>
              <w:rPr>
                <w:rFonts w:hint="eastAsia" w:ascii="Times New Roman" w:hAnsi="Times New Roman" w:cs="Times New Roman"/>
                <w:b w:val="0"/>
                <w:bCs w:val="0"/>
                <w:color w:val="000000" w:themeColor="text1"/>
                <w:kern w:val="2"/>
                <w:sz w:val="21"/>
                <w:szCs w:val="21"/>
                <w:lang w:val="en-US" w:eastAsia="zh-CN" w:bidi="ar-SA"/>
                <w14:textFill>
                  <w14:solidFill>
                    <w14:schemeClr w14:val="tx1"/>
                  </w14:solidFill>
                </w14:textFill>
              </w:rPr>
              <w:t>乙酸乙酯</w:t>
            </w:r>
            <w:r>
              <w:rPr>
                <w:rFonts w:hint="eastAsia" w:ascii="Times New Roman" w:hAnsi="Times New Roman" w:eastAsia="宋体" w:cs="Times New Roman"/>
                <w:sz w:val="21"/>
                <w:szCs w:val="21"/>
                <w:lang w:eastAsia="zh-CN"/>
              </w:rPr>
              <w:t>排放速率</w:t>
            </w:r>
            <w:r>
              <w:rPr>
                <w:rFonts w:hint="eastAsia" w:ascii="Times New Roman" w:hAnsi="Times New Roman" w:eastAsia="宋体" w:cs="Times New Roman"/>
                <w:sz w:val="21"/>
                <w:szCs w:val="21"/>
              </w:rPr>
              <w:t>kg/h</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w:t>
            </w:r>
            <w:r>
              <w:rPr>
                <w:rFonts w:hint="default"/>
                <w:sz w:val="21"/>
                <w:szCs w:val="21"/>
                <w:lang w:val="en-US" w:eastAsia="zh-CN"/>
              </w:rPr>
              <w:t>212</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w:t>
            </w:r>
            <w:r>
              <w:rPr>
                <w:rFonts w:hint="default"/>
                <w:sz w:val="21"/>
                <w:szCs w:val="21"/>
                <w:lang w:val="en-US" w:eastAsia="zh-CN"/>
              </w:rPr>
              <w:t>475</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w:t>
            </w:r>
            <w:r>
              <w:rPr>
                <w:rFonts w:hint="default"/>
                <w:sz w:val="21"/>
                <w:szCs w:val="21"/>
                <w:lang w:val="en-US" w:eastAsia="zh-CN"/>
              </w:rPr>
              <w:t>335</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0.00</w:t>
            </w:r>
            <w:r>
              <w:rPr>
                <w:rFonts w:hint="default"/>
                <w:sz w:val="21"/>
                <w:szCs w:val="21"/>
                <w:lang w:val="en-US" w:eastAsia="zh-CN"/>
              </w:rPr>
              <w:t>45</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0.00</w:t>
            </w:r>
            <w:r>
              <w:rPr>
                <w:rFonts w:hint="default"/>
                <w:sz w:val="21"/>
                <w:szCs w:val="21"/>
                <w:lang w:val="en-US" w:eastAsia="zh-CN"/>
              </w:rPr>
              <w:t>46</w:t>
            </w:r>
          </w:p>
        </w:tc>
        <w:tc>
          <w:tcPr>
            <w:tcW w:w="524"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0.0050</w:t>
            </w:r>
          </w:p>
        </w:tc>
        <w:tc>
          <w:tcPr>
            <w:tcW w:w="30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w:t>
            </w:r>
          </w:p>
        </w:tc>
        <w:tc>
          <w:tcPr>
            <w:tcW w:w="317"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0" w:hRule="atLeast"/>
          <w:jc w:val="center"/>
        </w:trPr>
        <w:tc>
          <w:tcPr>
            <w:tcW w:w="303" w:type="pct"/>
            <w:vMerge w:val="restart"/>
            <w:shd w:val="clear" w:color="auto" w:fill="auto"/>
            <w:noWrap w:val="0"/>
            <w:vAlign w:val="center"/>
          </w:tcPr>
          <w:p>
            <w:pPr>
              <w:jc w:val="center"/>
              <w:rPr>
                <w:bCs/>
                <w:color w:val="000000"/>
                <w:kern w:val="0"/>
                <w:sz w:val="21"/>
                <w:szCs w:val="21"/>
              </w:rPr>
            </w:pPr>
            <w:r>
              <w:rPr>
                <w:rFonts w:hint="eastAsia" w:ascii="Times New Roman" w:eastAsia="宋体"/>
                <w:kern w:val="0"/>
                <w:sz w:val="21"/>
                <w:szCs w:val="21"/>
                <w:lang w:val="en-US" w:eastAsia="zh-CN"/>
              </w:rPr>
              <w:t>2#厂房涂胶废气</w:t>
            </w:r>
            <w:r>
              <w:rPr>
                <w:rFonts w:hint="eastAsia"/>
                <w:kern w:val="0"/>
                <w:sz w:val="21"/>
                <w:szCs w:val="21"/>
                <w:lang w:val="en-US" w:eastAsia="zh-CN"/>
              </w:rPr>
              <w:t>进口</w:t>
            </w:r>
          </w:p>
        </w:tc>
        <w:tc>
          <w:tcPr>
            <w:tcW w:w="958" w:type="pct"/>
            <w:shd w:val="clear" w:color="auto" w:fill="auto"/>
            <w:noWrap w:val="0"/>
            <w:vAlign w:val="center"/>
          </w:tcPr>
          <w:p>
            <w:pPr>
              <w:spacing w:line="280" w:lineRule="exact"/>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标杆流量m</w:t>
            </w:r>
            <w:r>
              <w:rPr>
                <w:rFonts w:hint="eastAsia" w:ascii="Times New Roman" w:hAnsi="Times New Roman" w:eastAsia="宋体" w:cs="Times New Roman"/>
                <w:sz w:val="21"/>
                <w:szCs w:val="21"/>
                <w:vertAlign w:val="superscript"/>
              </w:rPr>
              <w:t>3</w:t>
            </w:r>
            <w:r>
              <w:rPr>
                <w:rFonts w:hint="eastAsia" w:ascii="Times New Roman" w:hAnsi="Times New Roman" w:eastAsia="宋体" w:cs="Times New Roman"/>
                <w:sz w:val="21"/>
                <w:szCs w:val="21"/>
              </w:rPr>
              <w:t>/h</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2088</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2145</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2146</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1586</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1677</w:t>
            </w:r>
          </w:p>
        </w:tc>
        <w:tc>
          <w:tcPr>
            <w:tcW w:w="524"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1947</w:t>
            </w:r>
          </w:p>
        </w:tc>
        <w:tc>
          <w:tcPr>
            <w:tcW w:w="30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w:t>
            </w:r>
          </w:p>
        </w:tc>
        <w:tc>
          <w:tcPr>
            <w:tcW w:w="317"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0" w:hRule="atLeast"/>
          <w:jc w:val="center"/>
        </w:trPr>
        <w:tc>
          <w:tcPr>
            <w:tcW w:w="303" w:type="pct"/>
            <w:vMerge w:val="continue"/>
            <w:shd w:val="clear" w:color="auto" w:fill="auto"/>
            <w:noWrap w:val="0"/>
            <w:vAlign w:val="center"/>
          </w:tcPr>
          <w:p>
            <w:pPr>
              <w:jc w:val="center"/>
              <w:rPr>
                <w:bCs/>
                <w:color w:val="000000"/>
                <w:kern w:val="0"/>
                <w:sz w:val="21"/>
                <w:szCs w:val="21"/>
              </w:rPr>
            </w:pPr>
          </w:p>
        </w:tc>
        <w:tc>
          <w:tcPr>
            <w:tcW w:w="958" w:type="pct"/>
            <w:shd w:val="clear" w:color="auto" w:fill="auto"/>
            <w:noWrap w:val="0"/>
            <w:vAlign w:val="center"/>
          </w:tcPr>
          <w:p>
            <w:pPr>
              <w:spacing w:line="280" w:lineRule="exact"/>
              <w:jc w:val="center"/>
              <w:rPr>
                <w:rFonts w:hint="eastAsia" w:ascii="Times New Roman" w:hAnsi="Times New Roman" w:eastAsia="宋体" w:cs="Times New Roman"/>
                <w:sz w:val="21"/>
                <w:szCs w:val="21"/>
              </w:rPr>
            </w:pPr>
            <w:r>
              <w:rPr>
                <w:rFonts w:hint="eastAsia" w:ascii="Times New Roman" w:hAnsi="Times New Roman" w:cs="Times New Roman"/>
                <w:b w:val="0"/>
                <w:bCs w:val="0"/>
                <w:color w:val="000000" w:themeColor="text1"/>
                <w:kern w:val="2"/>
                <w:sz w:val="21"/>
                <w:szCs w:val="21"/>
                <w:lang w:val="en-US" w:eastAsia="zh-CN" w:bidi="ar-SA"/>
                <w14:textFill>
                  <w14:solidFill>
                    <w14:schemeClr w14:val="tx1"/>
                  </w14:solidFill>
                </w14:textFill>
              </w:rPr>
              <w:t>甲苯</w:t>
            </w:r>
            <w:r>
              <w:rPr>
                <w:rFonts w:hint="eastAsia" w:ascii="Times New Roman" w:hAnsi="Times New Roman" w:eastAsia="宋体" w:cs="Times New Roman"/>
                <w:sz w:val="21"/>
                <w:szCs w:val="21"/>
              </w:rPr>
              <w:t>mg/m</w:t>
            </w:r>
            <w:r>
              <w:rPr>
                <w:rFonts w:hint="eastAsia" w:ascii="Times New Roman" w:hAnsi="Times New Roman" w:eastAsia="宋体" w:cs="Times New Roman"/>
                <w:sz w:val="21"/>
                <w:szCs w:val="21"/>
                <w:vertAlign w:val="superscript"/>
              </w:rPr>
              <w:t>3</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11.3</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15.5</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12.2</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10.4</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11.3</w:t>
            </w:r>
          </w:p>
        </w:tc>
        <w:tc>
          <w:tcPr>
            <w:tcW w:w="524"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13.1</w:t>
            </w:r>
          </w:p>
        </w:tc>
        <w:tc>
          <w:tcPr>
            <w:tcW w:w="30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w:t>
            </w:r>
          </w:p>
        </w:tc>
        <w:tc>
          <w:tcPr>
            <w:tcW w:w="317"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303" w:type="pct"/>
            <w:vMerge w:val="continue"/>
            <w:shd w:val="clear" w:color="auto" w:fill="auto"/>
            <w:noWrap w:val="0"/>
            <w:vAlign w:val="center"/>
          </w:tcPr>
          <w:p>
            <w:pPr>
              <w:jc w:val="center"/>
              <w:rPr>
                <w:bCs/>
                <w:color w:val="000000"/>
                <w:kern w:val="0"/>
                <w:sz w:val="21"/>
                <w:szCs w:val="21"/>
              </w:rPr>
            </w:pPr>
          </w:p>
        </w:tc>
        <w:tc>
          <w:tcPr>
            <w:tcW w:w="958" w:type="pct"/>
            <w:shd w:val="clear" w:color="auto" w:fill="auto"/>
            <w:noWrap w:val="0"/>
            <w:vAlign w:val="center"/>
          </w:tcPr>
          <w:p>
            <w:pPr>
              <w:spacing w:line="280" w:lineRule="exact"/>
              <w:jc w:val="center"/>
              <w:rPr>
                <w:rFonts w:hint="eastAsia" w:ascii="Times New Roman" w:hAnsi="Times New Roman" w:eastAsia="宋体" w:cs="Times New Roman"/>
                <w:sz w:val="21"/>
                <w:szCs w:val="21"/>
              </w:rPr>
            </w:pPr>
            <w:r>
              <w:rPr>
                <w:rFonts w:hint="eastAsia" w:ascii="Times New Roman" w:hAnsi="Times New Roman" w:cs="Times New Roman"/>
                <w:b w:val="0"/>
                <w:bCs w:val="0"/>
                <w:color w:val="000000" w:themeColor="text1"/>
                <w:kern w:val="2"/>
                <w:sz w:val="21"/>
                <w:szCs w:val="21"/>
                <w:lang w:val="en-US" w:eastAsia="zh-CN" w:bidi="ar-SA"/>
                <w14:textFill>
                  <w14:solidFill>
                    <w14:schemeClr w14:val="tx1"/>
                  </w14:solidFill>
                </w14:textFill>
              </w:rPr>
              <w:t>甲苯</w:t>
            </w:r>
            <w:r>
              <w:rPr>
                <w:rFonts w:hint="eastAsia" w:ascii="Times New Roman" w:hAnsi="Times New Roman" w:eastAsia="宋体" w:cs="Times New Roman"/>
                <w:sz w:val="21"/>
                <w:szCs w:val="21"/>
                <w:lang w:eastAsia="zh-CN"/>
              </w:rPr>
              <w:t>排放速率</w:t>
            </w:r>
            <w:r>
              <w:rPr>
                <w:rFonts w:hint="eastAsia" w:ascii="Times New Roman" w:hAnsi="Times New Roman" w:eastAsia="宋体" w:cs="Times New Roman"/>
                <w:sz w:val="21"/>
                <w:szCs w:val="21"/>
              </w:rPr>
              <w:t>kg/h</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w:t>
            </w:r>
            <w:r>
              <w:rPr>
                <w:rFonts w:hint="default"/>
                <w:sz w:val="21"/>
                <w:szCs w:val="21"/>
                <w:lang w:val="en-US" w:eastAsia="zh-CN"/>
              </w:rPr>
              <w:t>23</w:t>
            </w:r>
            <w:r>
              <w:rPr>
                <w:rFonts w:hint="eastAsia"/>
                <w:sz w:val="21"/>
                <w:szCs w:val="21"/>
                <w:lang w:val="en-US" w:eastAsia="zh-CN"/>
              </w:rPr>
              <w:t>6</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w:t>
            </w:r>
            <w:r>
              <w:rPr>
                <w:rFonts w:hint="default"/>
                <w:sz w:val="21"/>
                <w:szCs w:val="21"/>
                <w:lang w:val="en-US" w:eastAsia="zh-CN"/>
              </w:rPr>
              <w:t>332</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w:t>
            </w:r>
            <w:r>
              <w:rPr>
                <w:rFonts w:hint="default"/>
                <w:sz w:val="21"/>
                <w:szCs w:val="21"/>
                <w:lang w:val="en-US" w:eastAsia="zh-CN"/>
              </w:rPr>
              <w:t>26</w:t>
            </w:r>
            <w:r>
              <w:rPr>
                <w:rFonts w:hint="eastAsia"/>
                <w:sz w:val="21"/>
                <w:szCs w:val="21"/>
                <w:lang w:val="en-US" w:eastAsia="zh-CN"/>
              </w:rPr>
              <w:t>2</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w:t>
            </w:r>
            <w:r>
              <w:rPr>
                <w:rFonts w:hint="default"/>
                <w:sz w:val="21"/>
                <w:szCs w:val="21"/>
                <w:lang w:val="en-US" w:eastAsia="zh-CN"/>
              </w:rPr>
              <w:t>16</w:t>
            </w:r>
            <w:r>
              <w:rPr>
                <w:rFonts w:hint="eastAsia"/>
                <w:sz w:val="21"/>
                <w:szCs w:val="21"/>
                <w:lang w:val="en-US" w:eastAsia="zh-CN"/>
              </w:rPr>
              <w:t>5</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w:t>
            </w:r>
            <w:r>
              <w:rPr>
                <w:rFonts w:hint="default"/>
                <w:sz w:val="21"/>
                <w:szCs w:val="21"/>
                <w:lang w:val="en-US" w:eastAsia="zh-CN"/>
              </w:rPr>
              <w:t>189</w:t>
            </w:r>
          </w:p>
        </w:tc>
        <w:tc>
          <w:tcPr>
            <w:tcW w:w="524"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w:t>
            </w:r>
            <w:r>
              <w:rPr>
                <w:rFonts w:hint="default"/>
                <w:sz w:val="21"/>
                <w:szCs w:val="21"/>
                <w:lang w:val="en-US" w:eastAsia="zh-CN"/>
              </w:rPr>
              <w:t>255</w:t>
            </w:r>
          </w:p>
        </w:tc>
        <w:tc>
          <w:tcPr>
            <w:tcW w:w="30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w:t>
            </w:r>
          </w:p>
        </w:tc>
        <w:tc>
          <w:tcPr>
            <w:tcW w:w="317"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303" w:type="pct"/>
            <w:vMerge w:val="continue"/>
            <w:shd w:val="clear" w:color="auto" w:fill="auto"/>
            <w:noWrap w:val="0"/>
            <w:vAlign w:val="center"/>
          </w:tcPr>
          <w:p>
            <w:pPr>
              <w:jc w:val="center"/>
              <w:rPr>
                <w:bCs/>
                <w:color w:val="000000"/>
                <w:kern w:val="0"/>
                <w:sz w:val="21"/>
                <w:szCs w:val="21"/>
              </w:rPr>
            </w:pPr>
          </w:p>
        </w:tc>
        <w:tc>
          <w:tcPr>
            <w:tcW w:w="958" w:type="pct"/>
            <w:shd w:val="clear" w:color="auto" w:fill="auto"/>
            <w:noWrap w:val="0"/>
            <w:vAlign w:val="center"/>
          </w:tcPr>
          <w:p>
            <w:pPr>
              <w:spacing w:line="280" w:lineRule="exact"/>
              <w:jc w:val="center"/>
              <w:rPr>
                <w:rFonts w:hint="eastAsia" w:ascii="Times New Roman" w:hAnsi="Times New Roman" w:eastAsia="宋体" w:cs="Times New Roman"/>
                <w:sz w:val="21"/>
                <w:szCs w:val="21"/>
                <w:lang w:eastAsia="zh-CN"/>
              </w:rPr>
            </w:pPr>
            <w:r>
              <w:rPr>
                <w:rFonts w:hint="eastAsia" w:ascii="Times New Roman" w:hAnsi="Times New Roman" w:cs="Times New Roman"/>
                <w:b w:val="0"/>
                <w:bCs w:val="0"/>
                <w:color w:val="000000" w:themeColor="text1"/>
                <w:kern w:val="2"/>
                <w:sz w:val="21"/>
                <w:szCs w:val="21"/>
                <w:lang w:val="en-US" w:eastAsia="zh-CN" w:bidi="ar-SA"/>
                <w14:textFill>
                  <w14:solidFill>
                    <w14:schemeClr w14:val="tx1"/>
                  </w14:solidFill>
                </w14:textFill>
              </w:rPr>
              <w:t>乙酸乙酯</w:t>
            </w:r>
            <w:r>
              <w:rPr>
                <w:rFonts w:hint="eastAsia" w:ascii="Times New Roman" w:hAnsi="Times New Roman" w:eastAsia="宋体" w:cs="Times New Roman"/>
                <w:sz w:val="21"/>
                <w:szCs w:val="21"/>
              </w:rPr>
              <w:t>mg/m</w:t>
            </w:r>
            <w:r>
              <w:rPr>
                <w:rFonts w:hint="eastAsia" w:ascii="Times New Roman" w:hAnsi="Times New Roman" w:eastAsia="宋体" w:cs="Times New Roman"/>
                <w:sz w:val="21"/>
                <w:szCs w:val="21"/>
                <w:vertAlign w:val="superscript"/>
              </w:rPr>
              <w:t>3</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80.8</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89.7</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97.9</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2.87</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3.9</w:t>
            </w:r>
          </w:p>
        </w:tc>
        <w:tc>
          <w:tcPr>
            <w:tcW w:w="524"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3.6</w:t>
            </w:r>
          </w:p>
        </w:tc>
        <w:tc>
          <w:tcPr>
            <w:tcW w:w="30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w:t>
            </w:r>
          </w:p>
        </w:tc>
        <w:tc>
          <w:tcPr>
            <w:tcW w:w="317"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0" w:hRule="atLeast"/>
          <w:jc w:val="center"/>
        </w:trPr>
        <w:tc>
          <w:tcPr>
            <w:tcW w:w="303" w:type="pct"/>
            <w:vMerge w:val="continue"/>
            <w:shd w:val="clear" w:color="auto" w:fill="auto"/>
            <w:noWrap w:val="0"/>
            <w:vAlign w:val="center"/>
          </w:tcPr>
          <w:p>
            <w:pPr>
              <w:jc w:val="center"/>
              <w:rPr>
                <w:bCs/>
                <w:color w:val="000000"/>
                <w:kern w:val="0"/>
                <w:sz w:val="21"/>
                <w:szCs w:val="21"/>
              </w:rPr>
            </w:pPr>
          </w:p>
        </w:tc>
        <w:tc>
          <w:tcPr>
            <w:tcW w:w="958" w:type="pct"/>
            <w:shd w:val="clear" w:color="auto" w:fill="auto"/>
            <w:noWrap w:val="0"/>
            <w:vAlign w:val="center"/>
          </w:tcPr>
          <w:p>
            <w:pPr>
              <w:spacing w:line="280" w:lineRule="exact"/>
              <w:jc w:val="center"/>
              <w:rPr>
                <w:rFonts w:hint="eastAsia" w:ascii="Times New Roman" w:hAnsi="Times New Roman" w:eastAsia="宋体" w:cs="Times New Roman"/>
                <w:sz w:val="21"/>
                <w:szCs w:val="21"/>
              </w:rPr>
            </w:pPr>
            <w:r>
              <w:rPr>
                <w:rFonts w:hint="eastAsia" w:ascii="Times New Roman" w:hAnsi="Times New Roman" w:cs="Times New Roman"/>
                <w:b w:val="0"/>
                <w:bCs w:val="0"/>
                <w:color w:val="000000" w:themeColor="text1"/>
                <w:kern w:val="2"/>
                <w:sz w:val="21"/>
                <w:szCs w:val="21"/>
                <w:lang w:val="en-US" w:eastAsia="zh-CN" w:bidi="ar-SA"/>
                <w14:textFill>
                  <w14:solidFill>
                    <w14:schemeClr w14:val="tx1"/>
                  </w14:solidFill>
                </w14:textFill>
              </w:rPr>
              <w:t>乙酸乙酯</w:t>
            </w:r>
            <w:r>
              <w:rPr>
                <w:rFonts w:hint="eastAsia" w:ascii="Times New Roman" w:hAnsi="Times New Roman" w:eastAsia="宋体" w:cs="Times New Roman"/>
                <w:sz w:val="21"/>
                <w:szCs w:val="21"/>
                <w:lang w:eastAsia="zh-CN"/>
              </w:rPr>
              <w:t>排放速率</w:t>
            </w:r>
            <w:r>
              <w:rPr>
                <w:rFonts w:hint="eastAsia" w:ascii="Times New Roman" w:hAnsi="Times New Roman" w:eastAsia="宋体" w:cs="Times New Roman"/>
                <w:sz w:val="21"/>
                <w:szCs w:val="21"/>
              </w:rPr>
              <w:t>kg/h</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w:t>
            </w:r>
            <w:r>
              <w:rPr>
                <w:rFonts w:hint="default"/>
                <w:sz w:val="21"/>
                <w:szCs w:val="21"/>
                <w:lang w:val="en-US" w:eastAsia="zh-CN"/>
              </w:rPr>
              <w:t>16</w:t>
            </w:r>
            <w:r>
              <w:rPr>
                <w:rFonts w:hint="eastAsia"/>
                <w:sz w:val="21"/>
                <w:szCs w:val="21"/>
                <w:lang w:val="en-US" w:eastAsia="zh-CN"/>
              </w:rPr>
              <w:t>9</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w:t>
            </w:r>
            <w:r>
              <w:rPr>
                <w:rFonts w:hint="default"/>
                <w:sz w:val="21"/>
                <w:szCs w:val="21"/>
                <w:lang w:val="en-US" w:eastAsia="zh-CN"/>
              </w:rPr>
              <w:t>192</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w:t>
            </w:r>
            <w:r>
              <w:rPr>
                <w:rFonts w:hint="default"/>
                <w:sz w:val="21"/>
                <w:szCs w:val="21"/>
                <w:lang w:val="en-US" w:eastAsia="zh-CN"/>
              </w:rPr>
              <w:t>210</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0.00</w:t>
            </w:r>
            <w:r>
              <w:rPr>
                <w:rFonts w:hint="default"/>
                <w:sz w:val="21"/>
                <w:szCs w:val="21"/>
                <w:lang w:val="en-US" w:eastAsia="zh-CN"/>
              </w:rPr>
              <w:t>45</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0.00</w:t>
            </w:r>
            <w:r>
              <w:rPr>
                <w:rFonts w:hint="default"/>
                <w:sz w:val="21"/>
                <w:szCs w:val="21"/>
                <w:lang w:val="en-US" w:eastAsia="zh-CN"/>
              </w:rPr>
              <w:t>65</w:t>
            </w:r>
          </w:p>
        </w:tc>
        <w:tc>
          <w:tcPr>
            <w:tcW w:w="524"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0.00</w:t>
            </w:r>
            <w:r>
              <w:rPr>
                <w:rFonts w:hint="default"/>
                <w:sz w:val="21"/>
                <w:szCs w:val="21"/>
                <w:lang w:val="en-US" w:eastAsia="zh-CN"/>
              </w:rPr>
              <w:t>70</w:t>
            </w:r>
          </w:p>
        </w:tc>
        <w:tc>
          <w:tcPr>
            <w:tcW w:w="30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w:t>
            </w:r>
          </w:p>
        </w:tc>
        <w:tc>
          <w:tcPr>
            <w:tcW w:w="317"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303" w:type="pct"/>
            <w:vMerge w:val="restart"/>
            <w:shd w:val="clear" w:color="auto" w:fill="auto"/>
            <w:noWrap w:val="0"/>
            <w:vAlign w:val="center"/>
          </w:tcPr>
          <w:p>
            <w:pPr>
              <w:adjustRightInd w:val="0"/>
              <w:snapToGrid w:val="0"/>
              <w:jc w:val="center"/>
              <w:rPr>
                <w:bCs/>
                <w:color w:val="000000"/>
                <w:kern w:val="0"/>
                <w:sz w:val="21"/>
                <w:szCs w:val="21"/>
              </w:rPr>
            </w:pPr>
            <w:r>
              <w:rPr>
                <w:rFonts w:hint="eastAsia" w:ascii="Times New Roman" w:eastAsia="宋体"/>
                <w:kern w:val="0"/>
                <w:sz w:val="21"/>
                <w:szCs w:val="21"/>
                <w:lang w:val="en-US" w:eastAsia="zh-CN"/>
              </w:rPr>
              <w:t>2#厂房涂胶废气</w:t>
            </w:r>
            <w:r>
              <w:rPr>
                <w:rFonts w:hint="eastAsia"/>
                <w:kern w:val="0"/>
                <w:sz w:val="21"/>
                <w:szCs w:val="21"/>
                <w:lang w:val="en-US" w:eastAsia="zh-CN"/>
              </w:rPr>
              <w:t>出口</w:t>
            </w:r>
          </w:p>
        </w:tc>
        <w:tc>
          <w:tcPr>
            <w:tcW w:w="958" w:type="pct"/>
            <w:shd w:val="clear" w:color="auto" w:fill="auto"/>
            <w:noWrap w:val="0"/>
            <w:vAlign w:val="center"/>
          </w:tcPr>
          <w:p>
            <w:pPr>
              <w:spacing w:line="280" w:lineRule="exact"/>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标杆流量m</w:t>
            </w:r>
            <w:r>
              <w:rPr>
                <w:rFonts w:hint="eastAsia" w:ascii="Times New Roman" w:hAnsi="Times New Roman" w:eastAsia="宋体" w:cs="Times New Roman"/>
                <w:sz w:val="21"/>
                <w:szCs w:val="21"/>
                <w:vertAlign w:val="superscript"/>
              </w:rPr>
              <w:t>3</w:t>
            </w:r>
            <w:r>
              <w:rPr>
                <w:rFonts w:hint="eastAsia" w:ascii="Times New Roman" w:hAnsi="Times New Roman" w:eastAsia="宋体" w:cs="Times New Roman"/>
                <w:sz w:val="21"/>
                <w:szCs w:val="21"/>
              </w:rPr>
              <w:t>/h</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2146</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2117</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2147</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1679</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1650</w:t>
            </w:r>
          </w:p>
        </w:tc>
        <w:tc>
          <w:tcPr>
            <w:tcW w:w="524"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1740</w:t>
            </w:r>
          </w:p>
        </w:tc>
        <w:tc>
          <w:tcPr>
            <w:tcW w:w="30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w:t>
            </w:r>
          </w:p>
        </w:tc>
        <w:tc>
          <w:tcPr>
            <w:tcW w:w="317"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0" w:hRule="atLeast"/>
          <w:jc w:val="center"/>
        </w:trPr>
        <w:tc>
          <w:tcPr>
            <w:tcW w:w="303" w:type="pct"/>
            <w:vMerge w:val="continue"/>
            <w:shd w:val="clear" w:color="auto" w:fill="auto"/>
            <w:noWrap w:val="0"/>
            <w:vAlign w:val="center"/>
          </w:tcPr>
          <w:p>
            <w:pPr>
              <w:jc w:val="center"/>
              <w:rPr>
                <w:bCs/>
                <w:color w:val="000000"/>
                <w:kern w:val="0"/>
                <w:sz w:val="21"/>
                <w:szCs w:val="21"/>
              </w:rPr>
            </w:pPr>
          </w:p>
        </w:tc>
        <w:tc>
          <w:tcPr>
            <w:tcW w:w="958" w:type="pct"/>
            <w:shd w:val="clear" w:color="auto" w:fill="auto"/>
            <w:noWrap w:val="0"/>
            <w:vAlign w:val="center"/>
          </w:tcPr>
          <w:p>
            <w:pPr>
              <w:spacing w:line="280" w:lineRule="exact"/>
              <w:jc w:val="center"/>
              <w:rPr>
                <w:rFonts w:hint="eastAsia" w:ascii="Times New Roman" w:hAnsi="Times New Roman" w:eastAsia="宋体" w:cs="Times New Roman"/>
                <w:sz w:val="21"/>
                <w:szCs w:val="21"/>
              </w:rPr>
            </w:pPr>
            <w:r>
              <w:rPr>
                <w:rFonts w:hint="eastAsia" w:ascii="Times New Roman" w:hAnsi="Times New Roman" w:cs="Times New Roman"/>
                <w:b w:val="0"/>
                <w:bCs w:val="0"/>
                <w:color w:val="000000" w:themeColor="text1"/>
                <w:kern w:val="2"/>
                <w:sz w:val="21"/>
                <w:szCs w:val="21"/>
                <w:lang w:val="en-US" w:eastAsia="zh-CN" w:bidi="ar-SA"/>
                <w14:textFill>
                  <w14:solidFill>
                    <w14:schemeClr w14:val="tx1"/>
                  </w14:solidFill>
                </w14:textFill>
              </w:rPr>
              <w:t>甲苯</w:t>
            </w:r>
            <w:r>
              <w:rPr>
                <w:rFonts w:hint="eastAsia" w:ascii="Times New Roman" w:hAnsi="Times New Roman" w:eastAsia="宋体" w:cs="Times New Roman"/>
                <w:sz w:val="21"/>
                <w:szCs w:val="21"/>
              </w:rPr>
              <w:t>mg/m</w:t>
            </w:r>
            <w:r>
              <w:rPr>
                <w:rFonts w:hint="eastAsia" w:ascii="Times New Roman" w:hAnsi="Times New Roman" w:eastAsia="宋体" w:cs="Times New Roman"/>
                <w:sz w:val="21"/>
                <w:szCs w:val="21"/>
                <w:vertAlign w:val="superscript"/>
              </w:rPr>
              <w:t>3</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ND</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ND</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ND</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ND</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ND</w:t>
            </w:r>
          </w:p>
        </w:tc>
        <w:tc>
          <w:tcPr>
            <w:tcW w:w="524"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ND</w:t>
            </w:r>
          </w:p>
        </w:tc>
        <w:tc>
          <w:tcPr>
            <w:tcW w:w="30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40</w:t>
            </w:r>
          </w:p>
        </w:tc>
        <w:tc>
          <w:tcPr>
            <w:tcW w:w="317"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0" w:hRule="atLeast"/>
          <w:jc w:val="center"/>
        </w:trPr>
        <w:tc>
          <w:tcPr>
            <w:tcW w:w="303" w:type="pct"/>
            <w:vMerge w:val="continue"/>
            <w:shd w:val="clear" w:color="auto" w:fill="auto"/>
            <w:noWrap w:val="0"/>
            <w:vAlign w:val="center"/>
          </w:tcPr>
          <w:p>
            <w:pPr>
              <w:jc w:val="center"/>
              <w:rPr>
                <w:bCs/>
                <w:color w:val="000000"/>
                <w:kern w:val="0"/>
                <w:sz w:val="21"/>
                <w:szCs w:val="21"/>
              </w:rPr>
            </w:pPr>
          </w:p>
        </w:tc>
        <w:tc>
          <w:tcPr>
            <w:tcW w:w="958" w:type="pct"/>
            <w:shd w:val="clear" w:color="auto" w:fill="auto"/>
            <w:noWrap w:val="0"/>
            <w:vAlign w:val="center"/>
          </w:tcPr>
          <w:p>
            <w:pPr>
              <w:spacing w:line="280" w:lineRule="exact"/>
              <w:jc w:val="center"/>
              <w:rPr>
                <w:rFonts w:hint="eastAsia" w:ascii="Times New Roman" w:hAnsi="Times New Roman" w:eastAsia="宋体" w:cs="Times New Roman"/>
                <w:sz w:val="21"/>
                <w:szCs w:val="21"/>
              </w:rPr>
            </w:pPr>
            <w:r>
              <w:rPr>
                <w:rFonts w:hint="eastAsia" w:ascii="Times New Roman" w:hAnsi="Times New Roman" w:cs="Times New Roman"/>
                <w:b w:val="0"/>
                <w:bCs w:val="0"/>
                <w:color w:val="000000" w:themeColor="text1"/>
                <w:kern w:val="2"/>
                <w:sz w:val="21"/>
                <w:szCs w:val="21"/>
                <w:lang w:val="en-US" w:eastAsia="zh-CN" w:bidi="ar-SA"/>
                <w14:textFill>
                  <w14:solidFill>
                    <w14:schemeClr w14:val="tx1"/>
                  </w14:solidFill>
                </w14:textFill>
              </w:rPr>
              <w:t>甲苯</w:t>
            </w:r>
            <w:r>
              <w:rPr>
                <w:rFonts w:hint="eastAsia" w:ascii="Times New Roman" w:hAnsi="Times New Roman" w:eastAsia="宋体" w:cs="Times New Roman"/>
                <w:sz w:val="21"/>
                <w:szCs w:val="21"/>
                <w:lang w:eastAsia="zh-CN"/>
              </w:rPr>
              <w:t>排放速率</w:t>
            </w:r>
            <w:r>
              <w:rPr>
                <w:rFonts w:hint="eastAsia" w:ascii="Times New Roman" w:hAnsi="Times New Roman" w:eastAsia="宋体" w:cs="Times New Roman"/>
                <w:sz w:val="21"/>
                <w:szCs w:val="21"/>
              </w:rPr>
              <w:t>kg/h</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w:t>
            </w:r>
          </w:p>
        </w:tc>
        <w:tc>
          <w:tcPr>
            <w:tcW w:w="524"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w:t>
            </w:r>
          </w:p>
        </w:tc>
        <w:tc>
          <w:tcPr>
            <w:tcW w:w="30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3.1</w:t>
            </w:r>
          </w:p>
        </w:tc>
        <w:tc>
          <w:tcPr>
            <w:tcW w:w="317"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0" w:hRule="atLeast"/>
          <w:jc w:val="center"/>
        </w:trPr>
        <w:tc>
          <w:tcPr>
            <w:tcW w:w="303" w:type="pct"/>
            <w:vMerge w:val="continue"/>
            <w:shd w:val="clear" w:color="auto" w:fill="auto"/>
            <w:noWrap w:val="0"/>
            <w:vAlign w:val="center"/>
          </w:tcPr>
          <w:p>
            <w:pPr>
              <w:adjustRightInd w:val="0"/>
              <w:snapToGrid w:val="0"/>
              <w:jc w:val="center"/>
              <w:rPr>
                <w:bCs/>
                <w:color w:val="000000"/>
                <w:kern w:val="0"/>
                <w:sz w:val="21"/>
                <w:szCs w:val="21"/>
              </w:rPr>
            </w:pPr>
          </w:p>
        </w:tc>
        <w:tc>
          <w:tcPr>
            <w:tcW w:w="958" w:type="pct"/>
            <w:shd w:val="clear" w:color="auto" w:fill="auto"/>
            <w:noWrap w:val="0"/>
            <w:vAlign w:val="center"/>
          </w:tcPr>
          <w:p>
            <w:pPr>
              <w:spacing w:line="280" w:lineRule="exact"/>
              <w:jc w:val="center"/>
              <w:rPr>
                <w:rFonts w:hint="eastAsia" w:ascii="Times New Roman" w:hAnsi="Times New Roman" w:eastAsia="宋体" w:cs="Times New Roman"/>
                <w:sz w:val="21"/>
                <w:szCs w:val="21"/>
              </w:rPr>
            </w:pPr>
            <w:r>
              <w:rPr>
                <w:rFonts w:hint="eastAsia" w:ascii="Times New Roman" w:hAnsi="Times New Roman" w:cs="Times New Roman"/>
                <w:b w:val="0"/>
                <w:bCs w:val="0"/>
                <w:color w:val="000000" w:themeColor="text1"/>
                <w:kern w:val="2"/>
                <w:sz w:val="21"/>
                <w:szCs w:val="21"/>
                <w:lang w:val="en-US" w:eastAsia="zh-CN" w:bidi="ar-SA"/>
                <w14:textFill>
                  <w14:solidFill>
                    <w14:schemeClr w14:val="tx1"/>
                  </w14:solidFill>
                </w14:textFill>
              </w:rPr>
              <w:t>乙酸乙酯</w:t>
            </w:r>
            <w:r>
              <w:rPr>
                <w:rFonts w:hint="eastAsia" w:ascii="Times New Roman" w:hAnsi="Times New Roman" w:eastAsia="宋体" w:cs="Times New Roman"/>
                <w:sz w:val="21"/>
                <w:szCs w:val="21"/>
              </w:rPr>
              <w:t>mg/m</w:t>
            </w:r>
            <w:r>
              <w:rPr>
                <w:rFonts w:hint="eastAsia" w:ascii="Times New Roman" w:hAnsi="Times New Roman" w:eastAsia="宋体" w:cs="Times New Roman"/>
                <w:sz w:val="21"/>
                <w:szCs w:val="21"/>
                <w:vertAlign w:val="superscript"/>
              </w:rPr>
              <w:t>3</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1.06</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1.05</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1.1</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0.324</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0.342</w:t>
            </w:r>
          </w:p>
        </w:tc>
        <w:tc>
          <w:tcPr>
            <w:tcW w:w="524"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0.349</w:t>
            </w:r>
          </w:p>
        </w:tc>
        <w:tc>
          <w:tcPr>
            <w:tcW w:w="30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200</w:t>
            </w:r>
          </w:p>
        </w:tc>
        <w:tc>
          <w:tcPr>
            <w:tcW w:w="317"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0" w:hRule="atLeast"/>
          <w:jc w:val="center"/>
        </w:trPr>
        <w:tc>
          <w:tcPr>
            <w:tcW w:w="303" w:type="pct"/>
            <w:vMerge w:val="continue"/>
            <w:shd w:val="clear" w:color="auto" w:fill="auto"/>
            <w:noWrap w:val="0"/>
            <w:vAlign w:val="center"/>
          </w:tcPr>
          <w:p>
            <w:pPr>
              <w:jc w:val="center"/>
              <w:rPr>
                <w:bCs/>
                <w:color w:val="000000"/>
                <w:kern w:val="0"/>
                <w:sz w:val="21"/>
                <w:szCs w:val="21"/>
              </w:rPr>
            </w:pPr>
          </w:p>
        </w:tc>
        <w:tc>
          <w:tcPr>
            <w:tcW w:w="958" w:type="pct"/>
            <w:shd w:val="clear" w:color="auto" w:fill="auto"/>
            <w:noWrap w:val="0"/>
            <w:vAlign w:val="center"/>
          </w:tcPr>
          <w:p>
            <w:pPr>
              <w:spacing w:line="280" w:lineRule="exact"/>
              <w:jc w:val="center"/>
              <w:rPr>
                <w:rFonts w:hint="eastAsia" w:ascii="Times New Roman" w:hAnsi="Times New Roman" w:eastAsia="宋体" w:cs="Times New Roman"/>
                <w:sz w:val="21"/>
                <w:szCs w:val="21"/>
              </w:rPr>
            </w:pPr>
            <w:r>
              <w:rPr>
                <w:rFonts w:hint="eastAsia" w:ascii="Times New Roman" w:hAnsi="Times New Roman" w:cs="Times New Roman"/>
                <w:b w:val="0"/>
                <w:bCs w:val="0"/>
                <w:color w:val="000000" w:themeColor="text1"/>
                <w:kern w:val="2"/>
                <w:sz w:val="21"/>
                <w:szCs w:val="21"/>
                <w:lang w:val="en-US" w:eastAsia="zh-CN" w:bidi="ar-SA"/>
                <w14:textFill>
                  <w14:solidFill>
                    <w14:schemeClr w14:val="tx1"/>
                  </w14:solidFill>
                </w14:textFill>
              </w:rPr>
              <w:t>乙酸乙酯</w:t>
            </w:r>
            <w:r>
              <w:rPr>
                <w:rFonts w:hint="eastAsia" w:ascii="Times New Roman" w:hAnsi="Times New Roman" w:eastAsia="宋体" w:cs="Times New Roman"/>
                <w:sz w:val="21"/>
                <w:szCs w:val="21"/>
                <w:lang w:eastAsia="zh-CN"/>
              </w:rPr>
              <w:t>排放速率</w:t>
            </w:r>
            <w:r>
              <w:rPr>
                <w:rFonts w:hint="eastAsia" w:ascii="Times New Roman" w:hAnsi="Times New Roman" w:eastAsia="宋体" w:cs="Times New Roman"/>
                <w:sz w:val="21"/>
                <w:szCs w:val="21"/>
              </w:rPr>
              <w:t>kg/h</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0.00</w:t>
            </w:r>
            <w:r>
              <w:rPr>
                <w:rFonts w:hint="default"/>
                <w:sz w:val="21"/>
                <w:szCs w:val="21"/>
                <w:lang w:val="en-US" w:eastAsia="zh-CN"/>
              </w:rPr>
              <w:t>2</w:t>
            </w:r>
            <w:r>
              <w:rPr>
                <w:rFonts w:hint="eastAsia"/>
                <w:sz w:val="21"/>
                <w:szCs w:val="21"/>
                <w:lang w:val="en-US" w:eastAsia="zh-CN"/>
              </w:rPr>
              <w:t>3</w:t>
            </w:r>
          </w:p>
        </w:tc>
        <w:tc>
          <w:tcPr>
            <w:tcW w:w="53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0.00</w:t>
            </w:r>
            <w:r>
              <w:rPr>
                <w:rFonts w:hint="default"/>
                <w:sz w:val="21"/>
                <w:szCs w:val="21"/>
                <w:lang w:val="en-US" w:eastAsia="zh-CN"/>
              </w:rPr>
              <w:t>22</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0.00</w:t>
            </w:r>
            <w:r>
              <w:rPr>
                <w:rFonts w:hint="default"/>
                <w:sz w:val="21"/>
                <w:szCs w:val="21"/>
                <w:lang w:val="en-US" w:eastAsia="zh-CN"/>
              </w:rPr>
              <w:t>2</w:t>
            </w:r>
            <w:r>
              <w:rPr>
                <w:rFonts w:hint="eastAsia"/>
                <w:sz w:val="21"/>
                <w:szCs w:val="21"/>
                <w:lang w:val="en-US" w:eastAsia="zh-CN"/>
              </w:rPr>
              <w:t>4</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5</w:t>
            </w:r>
            <w:r>
              <w:rPr>
                <w:rFonts w:hint="eastAsia"/>
                <w:sz w:val="21"/>
                <w:szCs w:val="21"/>
                <w:lang w:val="en-US" w:eastAsia="zh-CN"/>
              </w:rPr>
              <w:t>.</w:t>
            </w:r>
            <w:r>
              <w:rPr>
                <w:rFonts w:hint="default"/>
                <w:sz w:val="21"/>
                <w:szCs w:val="21"/>
                <w:lang w:val="en-US" w:eastAsia="zh-CN"/>
              </w:rPr>
              <w:t>4×</w:t>
            </w:r>
            <w:r>
              <w:rPr>
                <w:rFonts w:hint="eastAsia"/>
                <w:sz w:val="21"/>
                <w:szCs w:val="21"/>
                <w:lang w:val="en-US" w:eastAsia="zh-CN"/>
              </w:rPr>
              <w:t>10</w:t>
            </w:r>
            <w:r>
              <w:rPr>
                <w:rFonts w:hint="eastAsia"/>
                <w:sz w:val="21"/>
                <w:szCs w:val="21"/>
                <w:vertAlign w:val="superscript"/>
                <w:lang w:val="en-US" w:eastAsia="zh-CN"/>
              </w:rPr>
              <w:t>-4</w:t>
            </w:r>
          </w:p>
        </w:tc>
        <w:tc>
          <w:tcPr>
            <w:tcW w:w="511"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5</w:t>
            </w:r>
            <w:r>
              <w:rPr>
                <w:rFonts w:hint="eastAsia"/>
                <w:sz w:val="21"/>
                <w:szCs w:val="21"/>
                <w:lang w:val="en-US" w:eastAsia="zh-CN"/>
              </w:rPr>
              <w:t>.</w:t>
            </w:r>
            <w:r>
              <w:rPr>
                <w:rFonts w:hint="default"/>
                <w:sz w:val="21"/>
                <w:szCs w:val="21"/>
                <w:lang w:val="en-US" w:eastAsia="zh-CN"/>
              </w:rPr>
              <w:t>6×</w:t>
            </w:r>
            <w:r>
              <w:rPr>
                <w:rFonts w:hint="eastAsia"/>
                <w:sz w:val="21"/>
                <w:szCs w:val="21"/>
                <w:lang w:val="en-US" w:eastAsia="zh-CN"/>
              </w:rPr>
              <w:t>10</w:t>
            </w:r>
            <w:r>
              <w:rPr>
                <w:rFonts w:hint="eastAsia"/>
                <w:sz w:val="21"/>
                <w:szCs w:val="21"/>
                <w:vertAlign w:val="superscript"/>
                <w:lang w:val="en-US" w:eastAsia="zh-CN"/>
              </w:rPr>
              <w:t>-4</w:t>
            </w:r>
          </w:p>
        </w:tc>
        <w:tc>
          <w:tcPr>
            <w:tcW w:w="524" w:type="pct"/>
            <w:shd w:val="clear" w:color="auto" w:fill="auto"/>
            <w:noWrap w:val="0"/>
            <w:vAlign w:val="center"/>
          </w:tcPr>
          <w:p>
            <w:pPr>
              <w:spacing w:line="240" w:lineRule="auto"/>
              <w:jc w:val="center"/>
              <w:rPr>
                <w:rFonts w:hint="eastAsia"/>
                <w:sz w:val="21"/>
                <w:szCs w:val="21"/>
                <w:lang w:val="en-US" w:eastAsia="zh-CN"/>
              </w:rPr>
            </w:pPr>
            <w:r>
              <w:rPr>
                <w:rFonts w:hint="default"/>
                <w:sz w:val="21"/>
                <w:szCs w:val="21"/>
                <w:lang w:val="en-US" w:eastAsia="zh-CN"/>
              </w:rPr>
              <w:t>6</w:t>
            </w:r>
            <w:r>
              <w:rPr>
                <w:rFonts w:hint="eastAsia"/>
                <w:sz w:val="21"/>
                <w:szCs w:val="21"/>
                <w:lang w:val="en-US" w:eastAsia="zh-CN"/>
              </w:rPr>
              <w:t>.1</w:t>
            </w:r>
            <w:r>
              <w:rPr>
                <w:rFonts w:hint="default"/>
                <w:sz w:val="21"/>
                <w:szCs w:val="21"/>
                <w:lang w:val="en-US" w:eastAsia="zh-CN"/>
              </w:rPr>
              <w:t>×</w:t>
            </w:r>
            <w:r>
              <w:rPr>
                <w:rFonts w:hint="eastAsia"/>
                <w:sz w:val="21"/>
                <w:szCs w:val="21"/>
                <w:lang w:val="en-US" w:eastAsia="zh-CN"/>
              </w:rPr>
              <w:t>10</w:t>
            </w:r>
            <w:r>
              <w:rPr>
                <w:rFonts w:hint="eastAsia"/>
                <w:sz w:val="21"/>
                <w:szCs w:val="21"/>
                <w:vertAlign w:val="superscript"/>
                <w:lang w:val="en-US" w:eastAsia="zh-CN"/>
              </w:rPr>
              <w:t>-4</w:t>
            </w:r>
          </w:p>
        </w:tc>
        <w:tc>
          <w:tcPr>
            <w:tcW w:w="301"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w:t>
            </w:r>
          </w:p>
        </w:tc>
        <w:tc>
          <w:tcPr>
            <w:tcW w:w="317" w:type="pct"/>
            <w:shd w:val="clear" w:color="auto" w:fill="auto"/>
            <w:noWrap w:val="0"/>
            <w:vAlign w:val="center"/>
          </w:tcPr>
          <w:p>
            <w:pPr>
              <w:spacing w:line="240" w:lineRule="auto"/>
              <w:jc w:val="center"/>
              <w:rPr>
                <w:rFonts w:hint="eastAsia"/>
                <w:sz w:val="21"/>
                <w:szCs w:val="21"/>
                <w:lang w:val="en-US" w:eastAsia="zh-CN"/>
              </w:rPr>
            </w:pPr>
            <w:r>
              <w:rPr>
                <w:rFonts w:hint="eastAsia"/>
                <w:sz w:val="21"/>
                <w:szCs w:val="21"/>
                <w:lang w:val="en-US" w:eastAsia="zh-CN"/>
              </w:rPr>
              <w:t>/</w:t>
            </w:r>
          </w:p>
        </w:tc>
      </w:tr>
    </w:tbl>
    <w:p/>
    <w:p>
      <w:pPr>
        <w:ind w:firstLine="480" w:firstLineChars="200"/>
        <w:rPr>
          <w:rFonts w:hint="default"/>
          <w:lang w:val="en-US" w:eastAsia="zh-CN"/>
        </w:rPr>
      </w:pPr>
      <w:r>
        <w:t>根据监测结果可知，本次验收监测</w:t>
      </w:r>
      <w:r>
        <w:rPr>
          <w:rFonts w:hint="eastAsia"/>
          <w:lang w:eastAsia="zh-CN"/>
        </w:rPr>
        <w:t>有组织废气颗粒物、甲苯、非甲烷总烃</w:t>
      </w:r>
      <w:r>
        <w:t>排放</w:t>
      </w:r>
      <w:r>
        <w:rPr>
          <w:rFonts w:hint="eastAsia"/>
          <w:lang w:eastAsia="zh-CN"/>
        </w:rPr>
        <w:t>执行</w:t>
      </w:r>
      <w:r>
        <w:t>《大气污染物综合排放标准》（GB16297-1996）新污染源二级标准；</w:t>
      </w:r>
      <w:r>
        <w:rPr>
          <w:rFonts w:hint="eastAsia"/>
          <w:lang w:eastAsia="zh-CN"/>
        </w:rPr>
        <w:t>乙酸乙酯执行GBZ2-2002《工作场所有害因素职业接触限值》分为GBZ2.1《工作场所有害因素职业接触限值第1部分:化学有害因素》。本次验收总量甲苯：</w:t>
      </w:r>
      <w:r>
        <w:rPr>
          <w:rFonts w:hint="eastAsia"/>
          <w:lang w:val="en-US" w:eastAsia="zh-CN"/>
        </w:rPr>
        <w:t>0.083t/a；非甲烷总烃：0.121t/a；乙酸乙酯：0.207t/a；满足环评</w:t>
      </w:r>
      <w:r>
        <w:rPr>
          <w:rFonts w:hint="eastAsia"/>
          <w:lang w:eastAsia="zh-CN"/>
        </w:rPr>
        <w:t>甲苯</w:t>
      </w:r>
      <w:r>
        <w:rPr>
          <w:rFonts w:hint="eastAsia"/>
          <w:lang w:val="en-US" w:eastAsia="zh-CN"/>
        </w:rPr>
        <w:t>3.661</w:t>
      </w:r>
      <w:r>
        <w:rPr>
          <w:rFonts w:hint="eastAsia"/>
          <w:lang w:eastAsia="zh-CN"/>
        </w:rPr>
        <w:t>t/a、乙酸乙酯</w:t>
      </w:r>
      <w:r>
        <w:rPr>
          <w:rFonts w:hint="eastAsia"/>
          <w:lang w:val="en-US" w:eastAsia="zh-CN"/>
        </w:rPr>
        <w:t>8.627</w:t>
      </w:r>
      <w:r>
        <w:rPr>
          <w:rFonts w:hint="eastAsia"/>
          <w:lang w:eastAsia="zh-CN"/>
        </w:rPr>
        <w:t>t/a、非甲烷总烃</w:t>
      </w:r>
      <w:r>
        <w:rPr>
          <w:rFonts w:hint="eastAsia"/>
          <w:lang w:val="en-US" w:eastAsia="zh-CN"/>
        </w:rPr>
        <w:t>0.814</w:t>
      </w:r>
      <w:r>
        <w:rPr>
          <w:rFonts w:hint="eastAsia"/>
          <w:lang w:eastAsia="zh-CN"/>
        </w:rPr>
        <w:t>t/a（</w:t>
      </w:r>
      <w:r>
        <w:rPr>
          <w:rFonts w:hint="eastAsia"/>
          <w:sz w:val="24"/>
          <w:szCs w:val="24"/>
          <w:lang w:val="en-US" w:eastAsia="zh-CN"/>
        </w:rPr>
        <w:t>原环评和批复的一半，</w:t>
      </w:r>
      <w:r>
        <w:rPr>
          <w:rFonts w:hint="eastAsia" w:ascii="Times New Roman" w:hAnsi="Times New Roman" w:cs="Times New Roman"/>
          <w:sz w:val="24"/>
          <w:szCs w:val="24"/>
        </w:rPr>
        <w:t>4、5、6号生产线</w:t>
      </w:r>
      <w:r>
        <w:rPr>
          <w:rFonts w:hint="eastAsia" w:cs="Times New Roman"/>
          <w:sz w:val="24"/>
          <w:szCs w:val="24"/>
          <w:lang w:val="en-US" w:eastAsia="zh-CN"/>
        </w:rPr>
        <w:t>的排放许可总量</w:t>
      </w:r>
      <w:r>
        <w:rPr>
          <w:rFonts w:hint="eastAsia"/>
          <w:lang w:eastAsia="zh-CN"/>
        </w:rPr>
        <w:t>）的总量控制要求。甲苯处理效率：</w:t>
      </w:r>
      <w:r>
        <w:rPr>
          <w:rFonts w:hint="eastAsia"/>
          <w:lang w:val="en-US" w:eastAsia="zh-CN"/>
        </w:rPr>
        <w:t>99%；非甲烷总烃处理效率：98%；乙酸乙酯处理效率：98%。</w:t>
      </w:r>
    </w:p>
    <w:p>
      <w:pPr>
        <w:ind w:firstLine="480" w:firstLineChars="200"/>
      </w:pPr>
      <w:r>
        <w:rPr>
          <w:rFonts w:hint="eastAsia"/>
        </w:rPr>
        <w:t>（2）</w:t>
      </w:r>
      <w:r>
        <w:t>无组织废气监测结果</w:t>
      </w:r>
    </w:p>
    <w:p>
      <w:pPr>
        <w:ind w:firstLine="480" w:firstLineChars="200"/>
      </w:pPr>
      <w:r>
        <w:t>本次验收监测项目厂界无组织废气排放情况如下所示。</w:t>
      </w:r>
    </w:p>
    <w:p>
      <w:pPr>
        <w:sectPr>
          <w:headerReference r:id="rId23" w:type="default"/>
          <w:footerReference r:id="rId24" w:type="default"/>
          <w:pgSz w:w="16840" w:h="11907" w:orient="landscape"/>
          <w:pgMar w:top="1440" w:right="1800" w:bottom="1440" w:left="1800" w:header="851" w:footer="851" w:gutter="0"/>
          <w:pgNumType w:fmt="decimal"/>
          <w:cols w:space="720" w:num="1"/>
          <w:docGrid w:linePitch="395" w:charSpace="0"/>
        </w:sectPr>
      </w:pPr>
    </w:p>
    <w:p>
      <w:pPr>
        <w:jc w:val="center"/>
        <w:rPr>
          <w:rFonts w:hint="eastAsia" w:ascii="Times New Roman" w:hAnsi="Times New Roman" w:eastAsia="黑体" w:cs="Times New Roman"/>
          <w:b w:val="0"/>
          <w:bCs w:val="0"/>
          <w:sz w:val="21"/>
          <w:szCs w:val="21"/>
          <w:lang w:val="en-US" w:eastAsia="zh-CN"/>
        </w:rPr>
      </w:pPr>
      <w:r>
        <w:rPr>
          <w:rFonts w:hint="eastAsia" w:ascii="Times New Roman" w:hAnsi="Times New Roman" w:eastAsia="黑体" w:cs="Times New Roman"/>
          <w:b w:val="0"/>
          <w:bCs w:val="0"/>
          <w:sz w:val="21"/>
          <w:szCs w:val="21"/>
          <w:lang w:val="en-US" w:eastAsia="zh-CN"/>
        </w:rPr>
        <w:t>表9.2-2 无组织废气监测结果统计表</w:t>
      </w:r>
    </w:p>
    <w:tbl>
      <w:tblPr>
        <w:tblStyle w:val="18"/>
        <w:tblW w:w="525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5"/>
        <w:gridCol w:w="1816"/>
        <w:gridCol w:w="2199"/>
        <w:gridCol w:w="1625"/>
        <w:gridCol w:w="1625"/>
        <w:gridCol w:w="1625"/>
        <w:gridCol w:w="1633"/>
        <w:gridCol w:w="1056"/>
        <w:gridCol w:w="1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jc w:val="center"/>
        </w:trPr>
        <w:tc>
          <w:tcPr>
            <w:tcW w:w="479" w:type="pct"/>
            <w:vAlign w:val="center"/>
          </w:tcPr>
          <w:p>
            <w:pPr>
              <w:spacing w:line="240" w:lineRule="auto"/>
              <w:jc w:val="center"/>
              <w:rPr>
                <w:sz w:val="21"/>
                <w:szCs w:val="21"/>
              </w:rPr>
            </w:pPr>
            <w:r>
              <w:rPr>
                <w:rFonts w:hint="eastAsia"/>
                <w:sz w:val="21"/>
                <w:szCs w:val="21"/>
              </w:rPr>
              <w:t>采样日期</w:t>
            </w:r>
          </w:p>
        </w:tc>
        <w:tc>
          <w:tcPr>
            <w:tcW w:w="642" w:type="pct"/>
            <w:vAlign w:val="center"/>
          </w:tcPr>
          <w:p>
            <w:pPr>
              <w:spacing w:line="240" w:lineRule="auto"/>
              <w:jc w:val="center"/>
              <w:rPr>
                <w:sz w:val="21"/>
                <w:szCs w:val="21"/>
              </w:rPr>
            </w:pPr>
            <w:r>
              <w:rPr>
                <w:rFonts w:hint="eastAsia"/>
                <w:sz w:val="21"/>
                <w:szCs w:val="21"/>
              </w:rPr>
              <w:t>检测项目及单位</w:t>
            </w:r>
          </w:p>
        </w:tc>
        <w:tc>
          <w:tcPr>
            <w:tcW w:w="777" w:type="pct"/>
            <w:vAlign w:val="center"/>
          </w:tcPr>
          <w:p>
            <w:pPr>
              <w:snapToGrid w:val="0"/>
              <w:spacing w:line="240" w:lineRule="auto"/>
              <w:jc w:val="center"/>
              <w:rPr>
                <w:sz w:val="21"/>
                <w:szCs w:val="21"/>
              </w:rPr>
            </w:pPr>
            <w:r>
              <w:rPr>
                <w:rFonts w:hint="eastAsia"/>
                <w:sz w:val="21"/>
                <w:szCs w:val="21"/>
              </w:rPr>
              <w:t>检测频次</w:t>
            </w:r>
          </w:p>
          <w:p>
            <w:pPr>
              <w:spacing w:line="240" w:lineRule="auto"/>
              <w:jc w:val="center"/>
              <w:rPr>
                <w:sz w:val="21"/>
                <w:szCs w:val="21"/>
              </w:rPr>
            </w:pPr>
            <w:r>
              <w:rPr>
                <w:rFonts w:hint="eastAsia"/>
                <w:sz w:val="21"/>
                <w:szCs w:val="21"/>
              </w:rPr>
              <w:t>检测点位</w:t>
            </w:r>
          </w:p>
        </w:tc>
        <w:tc>
          <w:tcPr>
            <w:tcW w:w="574" w:type="pct"/>
            <w:vAlign w:val="center"/>
          </w:tcPr>
          <w:p>
            <w:pPr>
              <w:spacing w:line="240" w:lineRule="auto"/>
              <w:jc w:val="center"/>
              <w:rPr>
                <w:sz w:val="21"/>
                <w:szCs w:val="21"/>
              </w:rPr>
            </w:pPr>
            <w:r>
              <w:rPr>
                <w:rFonts w:hint="eastAsia"/>
                <w:sz w:val="21"/>
                <w:szCs w:val="21"/>
              </w:rPr>
              <w:t>上风向G1</w:t>
            </w:r>
          </w:p>
        </w:tc>
        <w:tc>
          <w:tcPr>
            <w:tcW w:w="574" w:type="pct"/>
            <w:vAlign w:val="center"/>
          </w:tcPr>
          <w:p>
            <w:pPr>
              <w:spacing w:line="240" w:lineRule="auto"/>
              <w:jc w:val="center"/>
              <w:rPr>
                <w:sz w:val="21"/>
                <w:szCs w:val="21"/>
              </w:rPr>
            </w:pPr>
            <w:r>
              <w:rPr>
                <w:rFonts w:hint="eastAsia"/>
                <w:sz w:val="21"/>
                <w:szCs w:val="21"/>
              </w:rPr>
              <w:t>下风向G2</w:t>
            </w:r>
          </w:p>
        </w:tc>
        <w:tc>
          <w:tcPr>
            <w:tcW w:w="574" w:type="pct"/>
            <w:vAlign w:val="center"/>
          </w:tcPr>
          <w:p>
            <w:pPr>
              <w:spacing w:line="240" w:lineRule="auto"/>
              <w:jc w:val="center"/>
              <w:rPr>
                <w:sz w:val="21"/>
                <w:szCs w:val="21"/>
              </w:rPr>
            </w:pPr>
            <w:r>
              <w:rPr>
                <w:rFonts w:hint="eastAsia"/>
                <w:sz w:val="21"/>
                <w:szCs w:val="21"/>
              </w:rPr>
              <w:t>下风向G3</w:t>
            </w:r>
          </w:p>
        </w:tc>
        <w:tc>
          <w:tcPr>
            <w:tcW w:w="577" w:type="pct"/>
            <w:vAlign w:val="center"/>
          </w:tcPr>
          <w:p>
            <w:pPr>
              <w:spacing w:line="240" w:lineRule="auto"/>
              <w:jc w:val="center"/>
              <w:rPr>
                <w:sz w:val="21"/>
                <w:szCs w:val="21"/>
              </w:rPr>
            </w:pPr>
            <w:r>
              <w:rPr>
                <w:rFonts w:hint="eastAsia"/>
                <w:sz w:val="21"/>
                <w:szCs w:val="21"/>
              </w:rPr>
              <w:t>下风向G4</w:t>
            </w:r>
          </w:p>
        </w:tc>
        <w:tc>
          <w:tcPr>
            <w:tcW w:w="373" w:type="pct"/>
            <w:vAlign w:val="center"/>
          </w:tcPr>
          <w:p>
            <w:pPr>
              <w:spacing w:line="240" w:lineRule="auto"/>
              <w:jc w:val="center"/>
              <w:rPr>
                <w:sz w:val="21"/>
                <w:szCs w:val="21"/>
              </w:rPr>
            </w:pPr>
            <w:r>
              <w:rPr>
                <w:rFonts w:hint="eastAsia"/>
                <w:sz w:val="21"/>
                <w:szCs w:val="21"/>
              </w:rPr>
              <w:t>标准值</w:t>
            </w:r>
          </w:p>
        </w:tc>
        <w:tc>
          <w:tcPr>
            <w:tcW w:w="426" w:type="pct"/>
            <w:vAlign w:val="center"/>
          </w:tcPr>
          <w:p>
            <w:pPr>
              <w:spacing w:line="240" w:lineRule="auto"/>
              <w:jc w:val="center"/>
              <w:rPr>
                <w:sz w:val="21"/>
                <w:szCs w:val="21"/>
              </w:rPr>
            </w:pPr>
            <w:r>
              <w:rPr>
                <w:rFonts w:hint="eastAsia"/>
                <w:sz w:val="21"/>
                <w:szCs w:val="21"/>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479" w:type="pct"/>
            <w:vMerge w:val="restart"/>
            <w:vAlign w:val="center"/>
          </w:tcPr>
          <w:p>
            <w:pPr>
              <w:spacing w:line="240" w:lineRule="auto"/>
              <w:jc w:val="center"/>
              <w:rPr>
                <w:rFonts w:hint="default" w:eastAsia="宋体"/>
                <w:sz w:val="21"/>
                <w:szCs w:val="21"/>
                <w:lang w:val="en-US" w:eastAsia="zh-CN"/>
              </w:rPr>
            </w:pPr>
            <w:r>
              <w:rPr>
                <w:sz w:val="21"/>
                <w:szCs w:val="21"/>
              </w:rPr>
              <w:t>2022.</w:t>
            </w:r>
            <w:r>
              <w:rPr>
                <w:rFonts w:hint="eastAsia"/>
                <w:sz w:val="21"/>
                <w:szCs w:val="21"/>
                <w:lang w:val="en-US" w:eastAsia="zh-CN"/>
              </w:rPr>
              <w:t>12</w:t>
            </w:r>
            <w:r>
              <w:rPr>
                <w:sz w:val="21"/>
                <w:szCs w:val="21"/>
              </w:rPr>
              <w:t>.</w:t>
            </w:r>
            <w:r>
              <w:rPr>
                <w:rFonts w:hint="eastAsia"/>
                <w:sz w:val="21"/>
                <w:szCs w:val="21"/>
                <w:lang w:val="en-US" w:eastAsia="zh-CN"/>
              </w:rPr>
              <w:t>13</w:t>
            </w:r>
          </w:p>
        </w:tc>
        <w:tc>
          <w:tcPr>
            <w:tcW w:w="642" w:type="pct"/>
            <w:vMerge w:val="restart"/>
            <w:vAlign w:val="center"/>
          </w:tcPr>
          <w:p>
            <w:pPr>
              <w:widowControl/>
              <w:spacing w:line="240" w:lineRule="auto"/>
              <w:jc w:val="center"/>
              <w:textAlignment w:val="center"/>
              <w:rPr>
                <w:sz w:val="21"/>
                <w:szCs w:val="21"/>
              </w:rPr>
            </w:pPr>
            <w:r>
              <w:rPr>
                <w:sz w:val="21"/>
                <w:szCs w:val="21"/>
              </w:rPr>
              <w:t>颗粒物mg/m</w:t>
            </w:r>
            <w:r>
              <w:rPr>
                <w:sz w:val="21"/>
                <w:szCs w:val="21"/>
                <w:vertAlign w:val="superscript"/>
              </w:rPr>
              <w:t>3</w:t>
            </w:r>
          </w:p>
        </w:tc>
        <w:tc>
          <w:tcPr>
            <w:tcW w:w="777" w:type="pct"/>
            <w:vAlign w:val="center"/>
          </w:tcPr>
          <w:p>
            <w:pPr>
              <w:widowControl/>
              <w:spacing w:line="240" w:lineRule="auto"/>
              <w:jc w:val="center"/>
              <w:textAlignment w:val="center"/>
              <w:rPr>
                <w:sz w:val="21"/>
                <w:szCs w:val="21"/>
              </w:rPr>
            </w:pPr>
            <w:r>
              <w:rPr>
                <w:sz w:val="21"/>
                <w:szCs w:val="21"/>
              </w:rPr>
              <w:t>第一次</w:t>
            </w:r>
          </w:p>
        </w:tc>
        <w:tc>
          <w:tcPr>
            <w:tcW w:w="1625" w:type="dxa"/>
            <w:vAlign w:val="center"/>
          </w:tcPr>
          <w:p>
            <w:pPr>
              <w:spacing w:line="240" w:lineRule="auto"/>
              <w:jc w:val="center"/>
              <w:rPr>
                <w:sz w:val="21"/>
                <w:szCs w:val="21"/>
              </w:rPr>
            </w:pPr>
            <w:r>
              <w:rPr>
                <w:rFonts w:hint="eastAsia"/>
                <w:sz w:val="21"/>
                <w:szCs w:val="21"/>
                <w:lang w:val="en-US" w:eastAsia="zh-CN"/>
              </w:rPr>
              <w:t>0.115</w:t>
            </w:r>
          </w:p>
        </w:tc>
        <w:tc>
          <w:tcPr>
            <w:tcW w:w="1625" w:type="dxa"/>
            <w:vAlign w:val="center"/>
          </w:tcPr>
          <w:p>
            <w:pPr>
              <w:spacing w:line="240" w:lineRule="auto"/>
              <w:jc w:val="center"/>
              <w:rPr>
                <w:sz w:val="21"/>
                <w:szCs w:val="21"/>
              </w:rPr>
            </w:pPr>
            <w:r>
              <w:rPr>
                <w:rFonts w:hint="eastAsia"/>
                <w:sz w:val="21"/>
                <w:szCs w:val="21"/>
                <w:lang w:val="en-US" w:eastAsia="zh-CN"/>
              </w:rPr>
              <w:t>0.187</w:t>
            </w:r>
          </w:p>
        </w:tc>
        <w:tc>
          <w:tcPr>
            <w:tcW w:w="1625" w:type="dxa"/>
            <w:vAlign w:val="center"/>
          </w:tcPr>
          <w:p>
            <w:pPr>
              <w:spacing w:line="240" w:lineRule="auto"/>
              <w:jc w:val="center"/>
              <w:rPr>
                <w:sz w:val="21"/>
                <w:szCs w:val="21"/>
              </w:rPr>
            </w:pPr>
            <w:r>
              <w:rPr>
                <w:rFonts w:hint="eastAsia"/>
                <w:sz w:val="21"/>
                <w:szCs w:val="21"/>
                <w:lang w:val="en-US" w:eastAsia="zh-CN"/>
              </w:rPr>
              <w:t>0.185</w:t>
            </w:r>
          </w:p>
        </w:tc>
        <w:tc>
          <w:tcPr>
            <w:tcW w:w="1633" w:type="dxa"/>
            <w:vAlign w:val="center"/>
          </w:tcPr>
          <w:p>
            <w:pPr>
              <w:spacing w:line="240" w:lineRule="auto"/>
              <w:jc w:val="center"/>
              <w:rPr>
                <w:sz w:val="21"/>
                <w:szCs w:val="21"/>
              </w:rPr>
            </w:pPr>
            <w:r>
              <w:rPr>
                <w:rFonts w:hint="eastAsia"/>
                <w:sz w:val="21"/>
                <w:szCs w:val="21"/>
                <w:lang w:val="en-US" w:eastAsia="zh-CN"/>
              </w:rPr>
              <w:t>0.185</w:t>
            </w:r>
          </w:p>
        </w:tc>
        <w:tc>
          <w:tcPr>
            <w:tcW w:w="373" w:type="pct"/>
            <w:vMerge w:val="restart"/>
            <w:vAlign w:val="center"/>
          </w:tcPr>
          <w:p>
            <w:pPr>
              <w:widowControl/>
              <w:spacing w:line="240" w:lineRule="auto"/>
              <w:jc w:val="center"/>
              <w:textAlignment w:val="center"/>
              <w:rPr>
                <w:sz w:val="21"/>
                <w:szCs w:val="21"/>
              </w:rPr>
            </w:pPr>
            <w:r>
              <w:rPr>
                <w:rFonts w:hint="eastAsia"/>
                <w:sz w:val="21"/>
                <w:szCs w:val="21"/>
              </w:rPr>
              <w:t>1.0</w:t>
            </w:r>
          </w:p>
        </w:tc>
        <w:tc>
          <w:tcPr>
            <w:tcW w:w="426" w:type="pct"/>
            <w:vAlign w:val="center"/>
          </w:tcPr>
          <w:p>
            <w:pPr>
              <w:widowControl/>
              <w:spacing w:line="240" w:lineRule="auto"/>
              <w:jc w:val="center"/>
              <w:textAlignment w:val="center"/>
              <w:rPr>
                <w:sz w:val="21"/>
                <w:szCs w:val="21"/>
              </w:rPr>
            </w:pPr>
            <w:r>
              <w:rPr>
                <w:rFonts w:hint="eastAsia"/>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479" w:type="pct"/>
            <w:vMerge w:val="continue"/>
            <w:vAlign w:val="center"/>
          </w:tcPr>
          <w:p>
            <w:pPr>
              <w:spacing w:line="240" w:lineRule="auto"/>
              <w:jc w:val="center"/>
              <w:rPr>
                <w:sz w:val="21"/>
                <w:szCs w:val="21"/>
              </w:rPr>
            </w:pPr>
          </w:p>
        </w:tc>
        <w:tc>
          <w:tcPr>
            <w:tcW w:w="642" w:type="pct"/>
            <w:vMerge w:val="continue"/>
            <w:vAlign w:val="center"/>
          </w:tcPr>
          <w:p>
            <w:pPr>
              <w:widowControl/>
              <w:spacing w:line="240" w:lineRule="auto"/>
              <w:jc w:val="center"/>
              <w:textAlignment w:val="center"/>
              <w:rPr>
                <w:sz w:val="21"/>
                <w:szCs w:val="21"/>
              </w:rPr>
            </w:pPr>
          </w:p>
        </w:tc>
        <w:tc>
          <w:tcPr>
            <w:tcW w:w="777" w:type="pct"/>
            <w:vAlign w:val="center"/>
          </w:tcPr>
          <w:p>
            <w:pPr>
              <w:widowControl/>
              <w:spacing w:line="240" w:lineRule="auto"/>
              <w:jc w:val="center"/>
              <w:textAlignment w:val="center"/>
              <w:rPr>
                <w:sz w:val="21"/>
                <w:szCs w:val="21"/>
              </w:rPr>
            </w:pPr>
            <w:r>
              <w:rPr>
                <w:sz w:val="21"/>
                <w:szCs w:val="21"/>
              </w:rPr>
              <w:t>第二次</w:t>
            </w:r>
          </w:p>
        </w:tc>
        <w:tc>
          <w:tcPr>
            <w:tcW w:w="1625" w:type="dxa"/>
            <w:vAlign w:val="center"/>
          </w:tcPr>
          <w:p>
            <w:pPr>
              <w:spacing w:line="240" w:lineRule="auto"/>
              <w:jc w:val="center"/>
              <w:rPr>
                <w:sz w:val="21"/>
                <w:szCs w:val="21"/>
              </w:rPr>
            </w:pPr>
            <w:r>
              <w:rPr>
                <w:rFonts w:hint="eastAsia"/>
                <w:sz w:val="21"/>
                <w:szCs w:val="21"/>
                <w:lang w:val="en-US" w:eastAsia="zh-CN"/>
              </w:rPr>
              <w:t>0.112</w:t>
            </w:r>
          </w:p>
        </w:tc>
        <w:tc>
          <w:tcPr>
            <w:tcW w:w="1625" w:type="dxa"/>
            <w:vAlign w:val="center"/>
          </w:tcPr>
          <w:p>
            <w:pPr>
              <w:spacing w:line="240" w:lineRule="auto"/>
              <w:jc w:val="center"/>
              <w:rPr>
                <w:sz w:val="21"/>
                <w:szCs w:val="21"/>
              </w:rPr>
            </w:pPr>
            <w:r>
              <w:rPr>
                <w:rFonts w:hint="eastAsia"/>
                <w:sz w:val="21"/>
                <w:szCs w:val="21"/>
                <w:lang w:val="en-US" w:eastAsia="zh-CN"/>
              </w:rPr>
              <w:t>0.195</w:t>
            </w:r>
          </w:p>
        </w:tc>
        <w:tc>
          <w:tcPr>
            <w:tcW w:w="1625" w:type="dxa"/>
            <w:vAlign w:val="center"/>
          </w:tcPr>
          <w:p>
            <w:pPr>
              <w:spacing w:line="240" w:lineRule="auto"/>
              <w:jc w:val="center"/>
              <w:rPr>
                <w:sz w:val="21"/>
                <w:szCs w:val="21"/>
              </w:rPr>
            </w:pPr>
            <w:r>
              <w:rPr>
                <w:rFonts w:hint="eastAsia"/>
                <w:sz w:val="21"/>
                <w:szCs w:val="21"/>
                <w:lang w:val="en-US" w:eastAsia="zh-CN"/>
              </w:rPr>
              <w:t>0.193</w:t>
            </w:r>
          </w:p>
        </w:tc>
        <w:tc>
          <w:tcPr>
            <w:tcW w:w="1633" w:type="dxa"/>
            <w:vAlign w:val="center"/>
          </w:tcPr>
          <w:p>
            <w:pPr>
              <w:spacing w:line="240" w:lineRule="auto"/>
              <w:jc w:val="center"/>
              <w:rPr>
                <w:sz w:val="21"/>
                <w:szCs w:val="21"/>
              </w:rPr>
            </w:pPr>
            <w:r>
              <w:rPr>
                <w:rFonts w:hint="eastAsia"/>
                <w:sz w:val="21"/>
                <w:szCs w:val="21"/>
                <w:lang w:val="en-US" w:eastAsia="zh-CN"/>
              </w:rPr>
              <w:t>0.195</w:t>
            </w:r>
          </w:p>
        </w:tc>
        <w:tc>
          <w:tcPr>
            <w:tcW w:w="373" w:type="pct"/>
            <w:vMerge w:val="continue"/>
            <w:vAlign w:val="center"/>
          </w:tcPr>
          <w:p>
            <w:pPr>
              <w:widowControl/>
              <w:spacing w:line="240" w:lineRule="auto"/>
              <w:jc w:val="center"/>
              <w:textAlignment w:val="center"/>
              <w:rPr>
                <w:sz w:val="21"/>
                <w:szCs w:val="21"/>
              </w:rPr>
            </w:pPr>
          </w:p>
        </w:tc>
        <w:tc>
          <w:tcPr>
            <w:tcW w:w="426" w:type="pct"/>
            <w:vAlign w:val="center"/>
          </w:tcPr>
          <w:p>
            <w:pPr>
              <w:widowControl/>
              <w:spacing w:line="240" w:lineRule="auto"/>
              <w:jc w:val="center"/>
              <w:textAlignment w:val="center"/>
              <w:rPr>
                <w:sz w:val="21"/>
                <w:szCs w:val="21"/>
              </w:rPr>
            </w:pPr>
            <w:r>
              <w:rPr>
                <w:rFonts w:hint="eastAsia"/>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479" w:type="pct"/>
            <w:vMerge w:val="continue"/>
            <w:vAlign w:val="center"/>
          </w:tcPr>
          <w:p>
            <w:pPr>
              <w:spacing w:line="240" w:lineRule="auto"/>
              <w:jc w:val="center"/>
              <w:rPr>
                <w:sz w:val="21"/>
                <w:szCs w:val="21"/>
              </w:rPr>
            </w:pPr>
          </w:p>
        </w:tc>
        <w:tc>
          <w:tcPr>
            <w:tcW w:w="642" w:type="pct"/>
            <w:vMerge w:val="continue"/>
            <w:vAlign w:val="center"/>
          </w:tcPr>
          <w:p>
            <w:pPr>
              <w:spacing w:line="240" w:lineRule="auto"/>
              <w:jc w:val="center"/>
              <w:rPr>
                <w:sz w:val="21"/>
                <w:szCs w:val="21"/>
              </w:rPr>
            </w:pPr>
          </w:p>
        </w:tc>
        <w:tc>
          <w:tcPr>
            <w:tcW w:w="777" w:type="pct"/>
            <w:vAlign w:val="center"/>
          </w:tcPr>
          <w:p>
            <w:pPr>
              <w:spacing w:line="240" w:lineRule="auto"/>
              <w:jc w:val="center"/>
              <w:rPr>
                <w:sz w:val="21"/>
                <w:szCs w:val="21"/>
              </w:rPr>
            </w:pPr>
            <w:r>
              <w:rPr>
                <w:sz w:val="21"/>
                <w:szCs w:val="21"/>
              </w:rPr>
              <w:t>第三次</w:t>
            </w:r>
          </w:p>
        </w:tc>
        <w:tc>
          <w:tcPr>
            <w:tcW w:w="1625" w:type="dxa"/>
            <w:vAlign w:val="center"/>
          </w:tcPr>
          <w:p>
            <w:pPr>
              <w:spacing w:line="240" w:lineRule="auto"/>
              <w:jc w:val="center"/>
              <w:rPr>
                <w:sz w:val="21"/>
                <w:szCs w:val="21"/>
              </w:rPr>
            </w:pPr>
            <w:r>
              <w:rPr>
                <w:rFonts w:hint="eastAsia"/>
                <w:sz w:val="21"/>
                <w:szCs w:val="21"/>
                <w:lang w:val="en-US" w:eastAsia="zh-CN"/>
              </w:rPr>
              <w:t>0.127</w:t>
            </w:r>
          </w:p>
        </w:tc>
        <w:tc>
          <w:tcPr>
            <w:tcW w:w="1625" w:type="dxa"/>
            <w:vAlign w:val="center"/>
          </w:tcPr>
          <w:p>
            <w:pPr>
              <w:spacing w:line="240" w:lineRule="auto"/>
              <w:jc w:val="center"/>
              <w:rPr>
                <w:sz w:val="21"/>
                <w:szCs w:val="21"/>
              </w:rPr>
            </w:pPr>
            <w:r>
              <w:rPr>
                <w:rFonts w:hint="eastAsia"/>
                <w:sz w:val="21"/>
                <w:szCs w:val="21"/>
                <w:lang w:val="en-US" w:eastAsia="zh-CN"/>
              </w:rPr>
              <w:t>0.197</w:t>
            </w:r>
          </w:p>
        </w:tc>
        <w:tc>
          <w:tcPr>
            <w:tcW w:w="1625" w:type="dxa"/>
            <w:vAlign w:val="center"/>
          </w:tcPr>
          <w:p>
            <w:pPr>
              <w:spacing w:line="240" w:lineRule="auto"/>
              <w:jc w:val="center"/>
              <w:rPr>
                <w:sz w:val="21"/>
                <w:szCs w:val="21"/>
              </w:rPr>
            </w:pPr>
            <w:r>
              <w:rPr>
                <w:rFonts w:hint="eastAsia"/>
                <w:sz w:val="21"/>
                <w:szCs w:val="21"/>
                <w:lang w:val="en-US" w:eastAsia="zh-CN"/>
              </w:rPr>
              <w:t>0.173</w:t>
            </w:r>
          </w:p>
        </w:tc>
        <w:tc>
          <w:tcPr>
            <w:tcW w:w="1633" w:type="dxa"/>
            <w:vAlign w:val="center"/>
          </w:tcPr>
          <w:p>
            <w:pPr>
              <w:spacing w:line="240" w:lineRule="auto"/>
              <w:jc w:val="center"/>
              <w:rPr>
                <w:sz w:val="21"/>
                <w:szCs w:val="21"/>
              </w:rPr>
            </w:pPr>
            <w:r>
              <w:rPr>
                <w:rFonts w:hint="eastAsia"/>
                <w:sz w:val="21"/>
                <w:szCs w:val="21"/>
                <w:lang w:val="en-US" w:eastAsia="zh-CN"/>
              </w:rPr>
              <w:t>0.205</w:t>
            </w:r>
          </w:p>
        </w:tc>
        <w:tc>
          <w:tcPr>
            <w:tcW w:w="373" w:type="pct"/>
            <w:vMerge w:val="continue"/>
            <w:vAlign w:val="center"/>
          </w:tcPr>
          <w:p>
            <w:pPr>
              <w:widowControl/>
              <w:spacing w:line="240" w:lineRule="auto"/>
              <w:jc w:val="center"/>
              <w:textAlignment w:val="center"/>
              <w:rPr>
                <w:sz w:val="21"/>
                <w:szCs w:val="21"/>
              </w:rPr>
            </w:pPr>
          </w:p>
        </w:tc>
        <w:tc>
          <w:tcPr>
            <w:tcW w:w="426" w:type="pct"/>
            <w:vAlign w:val="center"/>
          </w:tcPr>
          <w:p>
            <w:pPr>
              <w:widowControl/>
              <w:spacing w:line="240" w:lineRule="auto"/>
              <w:jc w:val="center"/>
              <w:textAlignment w:val="center"/>
              <w:rPr>
                <w:sz w:val="21"/>
                <w:szCs w:val="21"/>
              </w:rPr>
            </w:pPr>
            <w:r>
              <w:rPr>
                <w:rFonts w:hint="eastAsia"/>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479" w:type="pct"/>
            <w:vMerge w:val="continue"/>
            <w:vAlign w:val="center"/>
          </w:tcPr>
          <w:p>
            <w:pPr>
              <w:spacing w:line="240" w:lineRule="auto"/>
              <w:jc w:val="center"/>
              <w:rPr>
                <w:sz w:val="21"/>
                <w:szCs w:val="21"/>
              </w:rPr>
            </w:pPr>
          </w:p>
        </w:tc>
        <w:tc>
          <w:tcPr>
            <w:tcW w:w="642" w:type="pct"/>
            <w:vMerge w:val="continue"/>
            <w:vAlign w:val="center"/>
          </w:tcPr>
          <w:p>
            <w:pPr>
              <w:spacing w:line="240" w:lineRule="auto"/>
              <w:jc w:val="center"/>
              <w:rPr>
                <w:sz w:val="21"/>
                <w:szCs w:val="21"/>
              </w:rPr>
            </w:pPr>
          </w:p>
        </w:tc>
        <w:tc>
          <w:tcPr>
            <w:tcW w:w="777" w:type="pct"/>
            <w:vAlign w:val="center"/>
          </w:tcPr>
          <w:p>
            <w:pPr>
              <w:widowControl/>
              <w:spacing w:line="240" w:lineRule="auto"/>
              <w:jc w:val="center"/>
              <w:textAlignment w:val="center"/>
              <w:rPr>
                <w:sz w:val="21"/>
                <w:szCs w:val="21"/>
              </w:rPr>
            </w:pPr>
            <w:r>
              <w:rPr>
                <w:sz w:val="21"/>
                <w:szCs w:val="21"/>
              </w:rPr>
              <w:t>第</w:t>
            </w:r>
            <w:r>
              <w:rPr>
                <w:rFonts w:hint="eastAsia"/>
                <w:sz w:val="21"/>
                <w:szCs w:val="21"/>
              </w:rPr>
              <w:t>四</w:t>
            </w:r>
            <w:r>
              <w:rPr>
                <w:sz w:val="21"/>
                <w:szCs w:val="21"/>
              </w:rPr>
              <w:t>次</w:t>
            </w:r>
          </w:p>
        </w:tc>
        <w:tc>
          <w:tcPr>
            <w:tcW w:w="1625" w:type="dxa"/>
            <w:vAlign w:val="center"/>
          </w:tcPr>
          <w:p>
            <w:pPr>
              <w:spacing w:line="240" w:lineRule="auto"/>
              <w:jc w:val="center"/>
              <w:rPr>
                <w:sz w:val="21"/>
                <w:szCs w:val="21"/>
              </w:rPr>
            </w:pPr>
            <w:r>
              <w:rPr>
                <w:rFonts w:hint="eastAsia"/>
                <w:sz w:val="21"/>
                <w:szCs w:val="21"/>
                <w:lang w:val="en-US" w:eastAsia="zh-CN"/>
              </w:rPr>
              <w:t>0.132</w:t>
            </w:r>
          </w:p>
        </w:tc>
        <w:tc>
          <w:tcPr>
            <w:tcW w:w="1625" w:type="dxa"/>
            <w:vAlign w:val="center"/>
          </w:tcPr>
          <w:p>
            <w:pPr>
              <w:spacing w:line="240" w:lineRule="auto"/>
              <w:jc w:val="center"/>
              <w:rPr>
                <w:sz w:val="21"/>
                <w:szCs w:val="21"/>
              </w:rPr>
            </w:pPr>
            <w:r>
              <w:rPr>
                <w:rFonts w:hint="eastAsia"/>
                <w:sz w:val="21"/>
                <w:szCs w:val="21"/>
                <w:lang w:val="en-US" w:eastAsia="zh-CN"/>
              </w:rPr>
              <w:t>0.188</w:t>
            </w:r>
          </w:p>
        </w:tc>
        <w:tc>
          <w:tcPr>
            <w:tcW w:w="1625" w:type="dxa"/>
            <w:vAlign w:val="center"/>
          </w:tcPr>
          <w:p>
            <w:pPr>
              <w:spacing w:line="240" w:lineRule="auto"/>
              <w:jc w:val="center"/>
              <w:rPr>
                <w:sz w:val="21"/>
                <w:szCs w:val="21"/>
              </w:rPr>
            </w:pPr>
            <w:r>
              <w:rPr>
                <w:rFonts w:hint="eastAsia"/>
                <w:sz w:val="21"/>
                <w:szCs w:val="21"/>
                <w:lang w:val="en-US" w:eastAsia="zh-CN"/>
              </w:rPr>
              <w:t>0.202</w:t>
            </w:r>
          </w:p>
        </w:tc>
        <w:tc>
          <w:tcPr>
            <w:tcW w:w="1633" w:type="dxa"/>
            <w:vAlign w:val="center"/>
          </w:tcPr>
          <w:p>
            <w:pPr>
              <w:spacing w:line="240" w:lineRule="auto"/>
              <w:jc w:val="center"/>
              <w:rPr>
                <w:sz w:val="21"/>
                <w:szCs w:val="21"/>
              </w:rPr>
            </w:pPr>
            <w:r>
              <w:rPr>
                <w:rFonts w:hint="eastAsia"/>
                <w:sz w:val="21"/>
                <w:szCs w:val="21"/>
                <w:lang w:val="en-US" w:eastAsia="zh-CN"/>
              </w:rPr>
              <w:t>0.192</w:t>
            </w:r>
          </w:p>
        </w:tc>
        <w:tc>
          <w:tcPr>
            <w:tcW w:w="373" w:type="pct"/>
            <w:vMerge w:val="continue"/>
            <w:vAlign w:val="center"/>
          </w:tcPr>
          <w:p>
            <w:pPr>
              <w:widowControl/>
              <w:spacing w:line="240" w:lineRule="auto"/>
              <w:jc w:val="center"/>
              <w:textAlignment w:val="center"/>
              <w:rPr>
                <w:sz w:val="21"/>
                <w:szCs w:val="21"/>
              </w:rPr>
            </w:pPr>
          </w:p>
        </w:tc>
        <w:tc>
          <w:tcPr>
            <w:tcW w:w="426" w:type="pct"/>
            <w:vAlign w:val="center"/>
          </w:tcPr>
          <w:p>
            <w:pPr>
              <w:widowControl/>
              <w:spacing w:line="240" w:lineRule="auto"/>
              <w:jc w:val="center"/>
              <w:textAlignment w:val="center"/>
              <w:rPr>
                <w:sz w:val="21"/>
                <w:szCs w:val="21"/>
              </w:rPr>
            </w:pPr>
            <w:r>
              <w:rPr>
                <w:rFonts w:hint="eastAsia"/>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479" w:type="pct"/>
            <w:vMerge w:val="continue"/>
            <w:vAlign w:val="center"/>
          </w:tcPr>
          <w:p>
            <w:pPr>
              <w:spacing w:line="240" w:lineRule="auto"/>
              <w:jc w:val="center"/>
              <w:rPr>
                <w:sz w:val="21"/>
                <w:szCs w:val="21"/>
              </w:rPr>
            </w:pPr>
          </w:p>
        </w:tc>
        <w:tc>
          <w:tcPr>
            <w:tcW w:w="642" w:type="pct"/>
            <w:vMerge w:val="restart"/>
            <w:vAlign w:val="center"/>
          </w:tcPr>
          <w:p>
            <w:pPr>
              <w:spacing w:line="240" w:lineRule="auto"/>
              <w:jc w:val="center"/>
              <w:rPr>
                <w:sz w:val="21"/>
                <w:szCs w:val="21"/>
              </w:rPr>
            </w:pPr>
            <w:r>
              <w:rPr>
                <w:rFonts w:hint="eastAsia"/>
                <w:sz w:val="21"/>
                <w:szCs w:val="21"/>
                <w:lang w:eastAsia="zh-CN"/>
              </w:rPr>
              <w:t>甲苯</w:t>
            </w:r>
            <w:r>
              <w:rPr>
                <w:sz w:val="21"/>
                <w:szCs w:val="21"/>
              </w:rPr>
              <w:t>mg/m</w:t>
            </w:r>
            <w:r>
              <w:rPr>
                <w:sz w:val="21"/>
                <w:szCs w:val="21"/>
                <w:vertAlign w:val="superscript"/>
              </w:rPr>
              <w:t>3</w:t>
            </w:r>
          </w:p>
        </w:tc>
        <w:tc>
          <w:tcPr>
            <w:tcW w:w="777" w:type="pct"/>
            <w:vAlign w:val="center"/>
          </w:tcPr>
          <w:p>
            <w:pPr>
              <w:widowControl/>
              <w:spacing w:line="240" w:lineRule="auto"/>
              <w:jc w:val="center"/>
              <w:textAlignment w:val="center"/>
              <w:rPr>
                <w:sz w:val="21"/>
                <w:szCs w:val="21"/>
              </w:rPr>
            </w:pPr>
            <w:r>
              <w:rPr>
                <w:sz w:val="21"/>
                <w:szCs w:val="21"/>
              </w:rPr>
              <w:t>第一次</w:t>
            </w:r>
          </w:p>
        </w:tc>
        <w:tc>
          <w:tcPr>
            <w:tcW w:w="1625" w:type="dxa"/>
            <w:vAlign w:val="center"/>
          </w:tcPr>
          <w:p>
            <w:pPr>
              <w:spacing w:line="240" w:lineRule="auto"/>
              <w:jc w:val="center"/>
              <w:rPr>
                <w:sz w:val="21"/>
                <w:szCs w:val="21"/>
              </w:rPr>
            </w:pPr>
            <w:r>
              <w:rPr>
                <w:rFonts w:hint="default"/>
                <w:sz w:val="21"/>
                <w:szCs w:val="21"/>
                <w:lang w:val="en-US" w:eastAsia="zh-CN"/>
              </w:rPr>
              <w:t>ND</w:t>
            </w:r>
          </w:p>
        </w:tc>
        <w:tc>
          <w:tcPr>
            <w:tcW w:w="1625" w:type="dxa"/>
            <w:vAlign w:val="center"/>
          </w:tcPr>
          <w:p>
            <w:pPr>
              <w:spacing w:line="240" w:lineRule="auto"/>
              <w:jc w:val="center"/>
              <w:rPr>
                <w:sz w:val="21"/>
                <w:szCs w:val="21"/>
              </w:rPr>
            </w:pPr>
            <w:r>
              <w:rPr>
                <w:rFonts w:hint="default"/>
                <w:sz w:val="21"/>
                <w:szCs w:val="21"/>
                <w:lang w:val="en-US" w:eastAsia="zh-CN"/>
              </w:rPr>
              <w:t>ND</w:t>
            </w:r>
          </w:p>
        </w:tc>
        <w:tc>
          <w:tcPr>
            <w:tcW w:w="1625" w:type="dxa"/>
            <w:vAlign w:val="center"/>
          </w:tcPr>
          <w:p>
            <w:pPr>
              <w:spacing w:line="240" w:lineRule="auto"/>
              <w:jc w:val="center"/>
              <w:rPr>
                <w:sz w:val="21"/>
                <w:szCs w:val="21"/>
              </w:rPr>
            </w:pPr>
            <w:r>
              <w:rPr>
                <w:rFonts w:hint="default"/>
                <w:sz w:val="21"/>
                <w:szCs w:val="21"/>
                <w:lang w:val="en-US" w:eastAsia="zh-CN"/>
              </w:rPr>
              <w:t>ND</w:t>
            </w:r>
          </w:p>
        </w:tc>
        <w:tc>
          <w:tcPr>
            <w:tcW w:w="1633" w:type="dxa"/>
            <w:vAlign w:val="center"/>
          </w:tcPr>
          <w:p>
            <w:pPr>
              <w:spacing w:line="240" w:lineRule="auto"/>
              <w:jc w:val="center"/>
              <w:rPr>
                <w:sz w:val="21"/>
                <w:szCs w:val="21"/>
              </w:rPr>
            </w:pPr>
            <w:r>
              <w:rPr>
                <w:rFonts w:hint="default"/>
                <w:sz w:val="21"/>
                <w:szCs w:val="21"/>
                <w:lang w:val="en-US" w:eastAsia="zh-CN"/>
              </w:rPr>
              <w:t>ND</w:t>
            </w:r>
          </w:p>
        </w:tc>
        <w:tc>
          <w:tcPr>
            <w:tcW w:w="373" w:type="pct"/>
            <w:vMerge w:val="restart"/>
            <w:vAlign w:val="center"/>
          </w:tcPr>
          <w:p>
            <w:pPr>
              <w:widowControl/>
              <w:spacing w:line="240" w:lineRule="auto"/>
              <w:jc w:val="center"/>
              <w:textAlignment w:val="center"/>
              <w:rPr>
                <w:rFonts w:hint="default" w:eastAsia="宋体"/>
                <w:sz w:val="21"/>
                <w:szCs w:val="21"/>
                <w:lang w:val="en-US" w:eastAsia="zh-CN"/>
              </w:rPr>
            </w:pPr>
            <w:r>
              <w:rPr>
                <w:rFonts w:hint="eastAsia"/>
                <w:sz w:val="21"/>
                <w:szCs w:val="21"/>
                <w:lang w:val="en-US" w:eastAsia="zh-CN"/>
              </w:rPr>
              <w:t>2.4</w:t>
            </w:r>
          </w:p>
        </w:tc>
        <w:tc>
          <w:tcPr>
            <w:tcW w:w="426" w:type="pct"/>
            <w:vAlign w:val="center"/>
          </w:tcPr>
          <w:p>
            <w:pPr>
              <w:widowControl/>
              <w:spacing w:line="240" w:lineRule="auto"/>
              <w:jc w:val="center"/>
              <w:textAlignment w:val="center"/>
              <w:rPr>
                <w:sz w:val="21"/>
                <w:szCs w:val="21"/>
              </w:rPr>
            </w:pPr>
            <w:r>
              <w:rPr>
                <w:rFonts w:hint="eastAsia"/>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479" w:type="pct"/>
            <w:vMerge w:val="continue"/>
            <w:vAlign w:val="center"/>
          </w:tcPr>
          <w:p>
            <w:pPr>
              <w:spacing w:line="240" w:lineRule="auto"/>
              <w:jc w:val="center"/>
              <w:rPr>
                <w:sz w:val="21"/>
                <w:szCs w:val="21"/>
              </w:rPr>
            </w:pPr>
          </w:p>
        </w:tc>
        <w:tc>
          <w:tcPr>
            <w:tcW w:w="642" w:type="pct"/>
            <w:vMerge w:val="continue"/>
            <w:vAlign w:val="center"/>
          </w:tcPr>
          <w:p>
            <w:pPr>
              <w:spacing w:line="240" w:lineRule="auto"/>
              <w:jc w:val="center"/>
              <w:rPr>
                <w:sz w:val="21"/>
                <w:szCs w:val="21"/>
              </w:rPr>
            </w:pPr>
          </w:p>
        </w:tc>
        <w:tc>
          <w:tcPr>
            <w:tcW w:w="777" w:type="pct"/>
            <w:vAlign w:val="center"/>
          </w:tcPr>
          <w:p>
            <w:pPr>
              <w:widowControl/>
              <w:spacing w:line="240" w:lineRule="auto"/>
              <w:jc w:val="center"/>
              <w:textAlignment w:val="center"/>
              <w:rPr>
                <w:sz w:val="21"/>
                <w:szCs w:val="21"/>
              </w:rPr>
            </w:pPr>
            <w:r>
              <w:rPr>
                <w:sz w:val="21"/>
                <w:szCs w:val="21"/>
              </w:rPr>
              <w:t>第二次</w:t>
            </w:r>
          </w:p>
        </w:tc>
        <w:tc>
          <w:tcPr>
            <w:tcW w:w="1625" w:type="dxa"/>
            <w:vAlign w:val="center"/>
          </w:tcPr>
          <w:p>
            <w:pPr>
              <w:spacing w:line="240" w:lineRule="auto"/>
              <w:jc w:val="center"/>
              <w:rPr>
                <w:sz w:val="21"/>
                <w:szCs w:val="21"/>
              </w:rPr>
            </w:pPr>
            <w:r>
              <w:rPr>
                <w:rFonts w:hint="default"/>
                <w:sz w:val="21"/>
                <w:szCs w:val="21"/>
                <w:lang w:val="en-US" w:eastAsia="zh-CN"/>
              </w:rPr>
              <w:t>ND</w:t>
            </w:r>
          </w:p>
        </w:tc>
        <w:tc>
          <w:tcPr>
            <w:tcW w:w="1625" w:type="dxa"/>
            <w:vAlign w:val="center"/>
          </w:tcPr>
          <w:p>
            <w:pPr>
              <w:spacing w:line="240" w:lineRule="auto"/>
              <w:jc w:val="center"/>
              <w:rPr>
                <w:sz w:val="21"/>
                <w:szCs w:val="21"/>
              </w:rPr>
            </w:pPr>
            <w:r>
              <w:rPr>
                <w:rFonts w:hint="default"/>
                <w:sz w:val="21"/>
                <w:szCs w:val="21"/>
                <w:lang w:val="en-US" w:eastAsia="zh-CN"/>
              </w:rPr>
              <w:t>ND</w:t>
            </w:r>
          </w:p>
        </w:tc>
        <w:tc>
          <w:tcPr>
            <w:tcW w:w="1625" w:type="dxa"/>
            <w:vAlign w:val="center"/>
          </w:tcPr>
          <w:p>
            <w:pPr>
              <w:spacing w:line="240" w:lineRule="auto"/>
              <w:jc w:val="center"/>
              <w:rPr>
                <w:sz w:val="21"/>
                <w:szCs w:val="21"/>
              </w:rPr>
            </w:pPr>
            <w:r>
              <w:rPr>
                <w:rFonts w:hint="default"/>
                <w:sz w:val="21"/>
                <w:szCs w:val="21"/>
                <w:lang w:val="en-US" w:eastAsia="zh-CN"/>
              </w:rPr>
              <w:t>ND</w:t>
            </w:r>
          </w:p>
        </w:tc>
        <w:tc>
          <w:tcPr>
            <w:tcW w:w="1633" w:type="dxa"/>
            <w:vAlign w:val="center"/>
          </w:tcPr>
          <w:p>
            <w:pPr>
              <w:spacing w:line="240" w:lineRule="auto"/>
              <w:jc w:val="center"/>
              <w:rPr>
                <w:sz w:val="21"/>
                <w:szCs w:val="21"/>
              </w:rPr>
            </w:pPr>
            <w:r>
              <w:rPr>
                <w:rFonts w:hint="default"/>
                <w:sz w:val="21"/>
                <w:szCs w:val="21"/>
                <w:lang w:val="en-US" w:eastAsia="zh-CN"/>
              </w:rPr>
              <w:t>ND</w:t>
            </w:r>
          </w:p>
        </w:tc>
        <w:tc>
          <w:tcPr>
            <w:tcW w:w="373" w:type="pct"/>
            <w:vMerge w:val="continue"/>
            <w:vAlign w:val="center"/>
          </w:tcPr>
          <w:p>
            <w:pPr>
              <w:widowControl/>
              <w:spacing w:line="240" w:lineRule="auto"/>
              <w:jc w:val="center"/>
              <w:textAlignment w:val="center"/>
              <w:rPr>
                <w:sz w:val="21"/>
                <w:szCs w:val="21"/>
              </w:rPr>
            </w:pPr>
          </w:p>
        </w:tc>
        <w:tc>
          <w:tcPr>
            <w:tcW w:w="426" w:type="pct"/>
            <w:vAlign w:val="center"/>
          </w:tcPr>
          <w:p>
            <w:pPr>
              <w:widowControl/>
              <w:spacing w:line="240" w:lineRule="auto"/>
              <w:jc w:val="center"/>
              <w:textAlignment w:val="center"/>
              <w:rPr>
                <w:sz w:val="21"/>
                <w:szCs w:val="21"/>
              </w:rPr>
            </w:pPr>
            <w:r>
              <w:rPr>
                <w:rFonts w:hint="eastAsia"/>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479" w:type="pct"/>
            <w:vMerge w:val="continue"/>
            <w:vAlign w:val="center"/>
          </w:tcPr>
          <w:p>
            <w:pPr>
              <w:spacing w:line="240" w:lineRule="auto"/>
              <w:jc w:val="center"/>
              <w:rPr>
                <w:sz w:val="21"/>
                <w:szCs w:val="21"/>
              </w:rPr>
            </w:pPr>
          </w:p>
        </w:tc>
        <w:tc>
          <w:tcPr>
            <w:tcW w:w="642" w:type="pct"/>
            <w:vMerge w:val="continue"/>
            <w:vAlign w:val="center"/>
          </w:tcPr>
          <w:p>
            <w:pPr>
              <w:spacing w:line="240" w:lineRule="auto"/>
              <w:jc w:val="center"/>
              <w:rPr>
                <w:sz w:val="21"/>
                <w:szCs w:val="21"/>
              </w:rPr>
            </w:pPr>
          </w:p>
        </w:tc>
        <w:tc>
          <w:tcPr>
            <w:tcW w:w="777" w:type="pct"/>
            <w:vAlign w:val="center"/>
          </w:tcPr>
          <w:p>
            <w:pPr>
              <w:spacing w:line="240" w:lineRule="auto"/>
              <w:jc w:val="center"/>
              <w:rPr>
                <w:sz w:val="21"/>
                <w:szCs w:val="21"/>
              </w:rPr>
            </w:pPr>
            <w:r>
              <w:rPr>
                <w:sz w:val="21"/>
                <w:szCs w:val="21"/>
              </w:rPr>
              <w:t>第三次</w:t>
            </w:r>
          </w:p>
        </w:tc>
        <w:tc>
          <w:tcPr>
            <w:tcW w:w="1625" w:type="dxa"/>
            <w:vAlign w:val="center"/>
          </w:tcPr>
          <w:p>
            <w:pPr>
              <w:spacing w:line="240" w:lineRule="auto"/>
              <w:jc w:val="center"/>
              <w:rPr>
                <w:sz w:val="21"/>
                <w:szCs w:val="21"/>
              </w:rPr>
            </w:pPr>
            <w:r>
              <w:rPr>
                <w:rFonts w:hint="default"/>
                <w:sz w:val="21"/>
                <w:szCs w:val="21"/>
                <w:lang w:val="en-US" w:eastAsia="zh-CN"/>
              </w:rPr>
              <w:t>ND</w:t>
            </w:r>
          </w:p>
        </w:tc>
        <w:tc>
          <w:tcPr>
            <w:tcW w:w="1625" w:type="dxa"/>
            <w:vAlign w:val="center"/>
          </w:tcPr>
          <w:p>
            <w:pPr>
              <w:spacing w:line="240" w:lineRule="auto"/>
              <w:jc w:val="center"/>
              <w:rPr>
                <w:sz w:val="21"/>
                <w:szCs w:val="21"/>
              </w:rPr>
            </w:pPr>
            <w:r>
              <w:rPr>
                <w:rFonts w:hint="default"/>
                <w:sz w:val="21"/>
                <w:szCs w:val="21"/>
                <w:lang w:val="en-US" w:eastAsia="zh-CN"/>
              </w:rPr>
              <w:t>ND</w:t>
            </w:r>
          </w:p>
        </w:tc>
        <w:tc>
          <w:tcPr>
            <w:tcW w:w="1625" w:type="dxa"/>
            <w:vAlign w:val="center"/>
          </w:tcPr>
          <w:p>
            <w:pPr>
              <w:spacing w:line="240" w:lineRule="auto"/>
              <w:jc w:val="center"/>
              <w:rPr>
                <w:sz w:val="21"/>
                <w:szCs w:val="21"/>
              </w:rPr>
            </w:pPr>
            <w:r>
              <w:rPr>
                <w:rFonts w:hint="default"/>
                <w:sz w:val="21"/>
                <w:szCs w:val="21"/>
                <w:lang w:val="en-US" w:eastAsia="zh-CN"/>
              </w:rPr>
              <w:t>ND</w:t>
            </w:r>
          </w:p>
        </w:tc>
        <w:tc>
          <w:tcPr>
            <w:tcW w:w="1633" w:type="dxa"/>
            <w:vAlign w:val="center"/>
          </w:tcPr>
          <w:p>
            <w:pPr>
              <w:spacing w:line="240" w:lineRule="auto"/>
              <w:jc w:val="center"/>
              <w:rPr>
                <w:sz w:val="21"/>
                <w:szCs w:val="21"/>
              </w:rPr>
            </w:pPr>
            <w:r>
              <w:rPr>
                <w:rFonts w:hint="default"/>
                <w:sz w:val="21"/>
                <w:szCs w:val="21"/>
                <w:lang w:val="en-US" w:eastAsia="zh-CN"/>
              </w:rPr>
              <w:t>ND</w:t>
            </w:r>
          </w:p>
        </w:tc>
        <w:tc>
          <w:tcPr>
            <w:tcW w:w="373" w:type="pct"/>
            <w:vMerge w:val="continue"/>
            <w:vAlign w:val="center"/>
          </w:tcPr>
          <w:p>
            <w:pPr>
              <w:widowControl/>
              <w:spacing w:line="240" w:lineRule="auto"/>
              <w:jc w:val="center"/>
              <w:textAlignment w:val="center"/>
              <w:rPr>
                <w:sz w:val="21"/>
                <w:szCs w:val="21"/>
              </w:rPr>
            </w:pPr>
          </w:p>
        </w:tc>
        <w:tc>
          <w:tcPr>
            <w:tcW w:w="426" w:type="pct"/>
            <w:vAlign w:val="center"/>
          </w:tcPr>
          <w:p>
            <w:pPr>
              <w:widowControl/>
              <w:spacing w:line="240" w:lineRule="auto"/>
              <w:jc w:val="center"/>
              <w:textAlignment w:val="center"/>
              <w:rPr>
                <w:sz w:val="21"/>
                <w:szCs w:val="21"/>
              </w:rPr>
            </w:pPr>
            <w:r>
              <w:rPr>
                <w:rFonts w:hint="eastAsia"/>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479" w:type="pct"/>
            <w:vMerge w:val="continue"/>
            <w:vAlign w:val="center"/>
          </w:tcPr>
          <w:p>
            <w:pPr>
              <w:spacing w:line="240" w:lineRule="auto"/>
              <w:jc w:val="center"/>
              <w:rPr>
                <w:sz w:val="21"/>
                <w:szCs w:val="21"/>
              </w:rPr>
            </w:pPr>
          </w:p>
        </w:tc>
        <w:tc>
          <w:tcPr>
            <w:tcW w:w="642" w:type="pct"/>
            <w:vMerge w:val="continue"/>
            <w:vAlign w:val="center"/>
          </w:tcPr>
          <w:p>
            <w:pPr>
              <w:spacing w:line="240" w:lineRule="auto"/>
              <w:jc w:val="center"/>
              <w:rPr>
                <w:sz w:val="21"/>
                <w:szCs w:val="21"/>
              </w:rPr>
            </w:pPr>
          </w:p>
        </w:tc>
        <w:tc>
          <w:tcPr>
            <w:tcW w:w="777" w:type="pct"/>
            <w:vAlign w:val="center"/>
          </w:tcPr>
          <w:p>
            <w:pPr>
              <w:widowControl/>
              <w:spacing w:line="240" w:lineRule="auto"/>
              <w:jc w:val="center"/>
              <w:textAlignment w:val="center"/>
              <w:rPr>
                <w:sz w:val="21"/>
                <w:szCs w:val="21"/>
              </w:rPr>
            </w:pPr>
            <w:r>
              <w:rPr>
                <w:sz w:val="21"/>
                <w:szCs w:val="21"/>
              </w:rPr>
              <w:t>第</w:t>
            </w:r>
            <w:r>
              <w:rPr>
                <w:rFonts w:hint="eastAsia"/>
                <w:sz w:val="21"/>
                <w:szCs w:val="21"/>
              </w:rPr>
              <w:t>四</w:t>
            </w:r>
            <w:r>
              <w:rPr>
                <w:sz w:val="21"/>
                <w:szCs w:val="21"/>
              </w:rPr>
              <w:t>次</w:t>
            </w:r>
          </w:p>
        </w:tc>
        <w:tc>
          <w:tcPr>
            <w:tcW w:w="1625" w:type="dxa"/>
            <w:vAlign w:val="center"/>
          </w:tcPr>
          <w:p>
            <w:pPr>
              <w:spacing w:line="240" w:lineRule="auto"/>
              <w:jc w:val="center"/>
              <w:rPr>
                <w:sz w:val="21"/>
                <w:szCs w:val="21"/>
              </w:rPr>
            </w:pPr>
            <w:r>
              <w:rPr>
                <w:rFonts w:hint="default"/>
                <w:sz w:val="21"/>
                <w:szCs w:val="21"/>
                <w:lang w:val="en-US" w:eastAsia="zh-CN"/>
              </w:rPr>
              <w:t>ND</w:t>
            </w:r>
          </w:p>
        </w:tc>
        <w:tc>
          <w:tcPr>
            <w:tcW w:w="1625" w:type="dxa"/>
            <w:vAlign w:val="center"/>
          </w:tcPr>
          <w:p>
            <w:pPr>
              <w:spacing w:line="240" w:lineRule="auto"/>
              <w:jc w:val="center"/>
              <w:rPr>
                <w:sz w:val="21"/>
                <w:szCs w:val="21"/>
              </w:rPr>
            </w:pPr>
            <w:r>
              <w:rPr>
                <w:rFonts w:hint="default"/>
                <w:sz w:val="21"/>
                <w:szCs w:val="21"/>
                <w:lang w:val="en-US" w:eastAsia="zh-CN"/>
              </w:rPr>
              <w:t>ND</w:t>
            </w:r>
          </w:p>
        </w:tc>
        <w:tc>
          <w:tcPr>
            <w:tcW w:w="1625" w:type="dxa"/>
            <w:vAlign w:val="center"/>
          </w:tcPr>
          <w:p>
            <w:pPr>
              <w:spacing w:line="240" w:lineRule="auto"/>
              <w:jc w:val="center"/>
              <w:rPr>
                <w:sz w:val="21"/>
                <w:szCs w:val="21"/>
              </w:rPr>
            </w:pPr>
            <w:r>
              <w:rPr>
                <w:rFonts w:hint="default"/>
                <w:sz w:val="21"/>
                <w:szCs w:val="21"/>
                <w:lang w:val="en-US" w:eastAsia="zh-CN"/>
              </w:rPr>
              <w:t>ND</w:t>
            </w:r>
          </w:p>
        </w:tc>
        <w:tc>
          <w:tcPr>
            <w:tcW w:w="1633" w:type="dxa"/>
            <w:vAlign w:val="center"/>
          </w:tcPr>
          <w:p>
            <w:pPr>
              <w:spacing w:line="240" w:lineRule="auto"/>
              <w:jc w:val="center"/>
              <w:rPr>
                <w:sz w:val="21"/>
                <w:szCs w:val="21"/>
              </w:rPr>
            </w:pPr>
            <w:r>
              <w:rPr>
                <w:rFonts w:hint="default"/>
                <w:sz w:val="21"/>
                <w:szCs w:val="21"/>
                <w:lang w:val="en-US" w:eastAsia="zh-CN"/>
              </w:rPr>
              <w:t>ND</w:t>
            </w:r>
          </w:p>
        </w:tc>
        <w:tc>
          <w:tcPr>
            <w:tcW w:w="373" w:type="pct"/>
            <w:vMerge w:val="continue"/>
            <w:vAlign w:val="center"/>
          </w:tcPr>
          <w:p>
            <w:pPr>
              <w:widowControl/>
              <w:spacing w:line="240" w:lineRule="auto"/>
              <w:jc w:val="center"/>
              <w:textAlignment w:val="center"/>
              <w:rPr>
                <w:sz w:val="21"/>
                <w:szCs w:val="21"/>
              </w:rPr>
            </w:pPr>
          </w:p>
        </w:tc>
        <w:tc>
          <w:tcPr>
            <w:tcW w:w="426" w:type="pct"/>
            <w:vAlign w:val="center"/>
          </w:tcPr>
          <w:p>
            <w:pPr>
              <w:widowControl/>
              <w:spacing w:line="240" w:lineRule="auto"/>
              <w:jc w:val="center"/>
              <w:textAlignment w:val="center"/>
              <w:rPr>
                <w:sz w:val="21"/>
                <w:szCs w:val="21"/>
              </w:rPr>
            </w:pPr>
            <w:r>
              <w:rPr>
                <w:rFonts w:hint="eastAsia"/>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479" w:type="pct"/>
            <w:vMerge w:val="continue"/>
            <w:vAlign w:val="center"/>
          </w:tcPr>
          <w:p>
            <w:pPr>
              <w:spacing w:line="240" w:lineRule="auto"/>
              <w:jc w:val="center"/>
              <w:rPr>
                <w:sz w:val="21"/>
                <w:szCs w:val="21"/>
              </w:rPr>
            </w:pPr>
          </w:p>
        </w:tc>
        <w:tc>
          <w:tcPr>
            <w:tcW w:w="642" w:type="pct"/>
            <w:vMerge w:val="restart"/>
            <w:vAlign w:val="center"/>
          </w:tcPr>
          <w:p>
            <w:pPr>
              <w:spacing w:line="240" w:lineRule="auto"/>
              <w:jc w:val="center"/>
              <w:rPr>
                <w:sz w:val="21"/>
                <w:szCs w:val="21"/>
              </w:rPr>
            </w:pPr>
            <w:r>
              <w:rPr>
                <w:rFonts w:hint="eastAsia"/>
                <w:sz w:val="21"/>
                <w:szCs w:val="21"/>
                <w:lang w:eastAsia="zh-CN"/>
              </w:rPr>
              <w:t>非甲烷总烃</w:t>
            </w:r>
            <w:r>
              <w:rPr>
                <w:sz w:val="21"/>
                <w:szCs w:val="21"/>
              </w:rPr>
              <w:t>mg/m</w:t>
            </w:r>
            <w:r>
              <w:rPr>
                <w:sz w:val="21"/>
                <w:szCs w:val="21"/>
                <w:vertAlign w:val="superscript"/>
              </w:rPr>
              <w:t>3</w:t>
            </w:r>
          </w:p>
        </w:tc>
        <w:tc>
          <w:tcPr>
            <w:tcW w:w="777" w:type="pct"/>
            <w:vAlign w:val="center"/>
          </w:tcPr>
          <w:p>
            <w:pPr>
              <w:widowControl/>
              <w:spacing w:line="240" w:lineRule="auto"/>
              <w:jc w:val="center"/>
              <w:textAlignment w:val="center"/>
              <w:rPr>
                <w:sz w:val="21"/>
                <w:szCs w:val="21"/>
              </w:rPr>
            </w:pPr>
            <w:r>
              <w:rPr>
                <w:sz w:val="21"/>
                <w:szCs w:val="21"/>
              </w:rPr>
              <w:t>第一次</w:t>
            </w:r>
          </w:p>
        </w:tc>
        <w:tc>
          <w:tcPr>
            <w:tcW w:w="1625" w:type="dxa"/>
            <w:vAlign w:val="center"/>
          </w:tcPr>
          <w:p>
            <w:pPr>
              <w:spacing w:line="240" w:lineRule="auto"/>
              <w:jc w:val="center"/>
              <w:rPr>
                <w:sz w:val="21"/>
                <w:szCs w:val="21"/>
              </w:rPr>
            </w:pPr>
            <w:r>
              <w:rPr>
                <w:rFonts w:hint="eastAsia"/>
                <w:sz w:val="21"/>
                <w:szCs w:val="21"/>
                <w:lang w:val="en-US" w:eastAsia="zh-CN"/>
              </w:rPr>
              <w:t>0.64</w:t>
            </w:r>
          </w:p>
        </w:tc>
        <w:tc>
          <w:tcPr>
            <w:tcW w:w="1625" w:type="dxa"/>
            <w:vAlign w:val="center"/>
          </w:tcPr>
          <w:p>
            <w:pPr>
              <w:spacing w:line="240" w:lineRule="auto"/>
              <w:jc w:val="center"/>
              <w:rPr>
                <w:sz w:val="21"/>
                <w:szCs w:val="21"/>
              </w:rPr>
            </w:pPr>
            <w:r>
              <w:rPr>
                <w:rFonts w:hint="eastAsia"/>
                <w:sz w:val="21"/>
                <w:szCs w:val="21"/>
                <w:lang w:val="en-US" w:eastAsia="zh-CN"/>
              </w:rPr>
              <w:t>0.74</w:t>
            </w:r>
          </w:p>
        </w:tc>
        <w:tc>
          <w:tcPr>
            <w:tcW w:w="1625" w:type="dxa"/>
            <w:vAlign w:val="center"/>
          </w:tcPr>
          <w:p>
            <w:pPr>
              <w:spacing w:line="240" w:lineRule="auto"/>
              <w:jc w:val="center"/>
              <w:rPr>
                <w:sz w:val="21"/>
                <w:szCs w:val="21"/>
              </w:rPr>
            </w:pPr>
            <w:r>
              <w:rPr>
                <w:rFonts w:hint="eastAsia"/>
                <w:sz w:val="21"/>
                <w:szCs w:val="21"/>
                <w:lang w:val="en-US" w:eastAsia="zh-CN"/>
              </w:rPr>
              <w:t>0.72</w:t>
            </w:r>
          </w:p>
        </w:tc>
        <w:tc>
          <w:tcPr>
            <w:tcW w:w="1633" w:type="dxa"/>
            <w:vAlign w:val="center"/>
          </w:tcPr>
          <w:p>
            <w:pPr>
              <w:spacing w:line="240" w:lineRule="auto"/>
              <w:jc w:val="center"/>
              <w:rPr>
                <w:sz w:val="21"/>
                <w:szCs w:val="21"/>
              </w:rPr>
            </w:pPr>
            <w:r>
              <w:rPr>
                <w:rFonts w:hint="eastAsia"/>
                <w:sz w:val="21"/>
                <w:szCs w:val="21"/>
                <w:lang w:val="en-US" w:eastAsia="zh-CN"/>
              </w:rPr>
              <w:t>0.73</w:t>
            </w:r>
          </w:p>
        </w:tc>
        <w:tc>
          <w:tcPr>
            <w:tcW w:w="373" w:type="pct"/>
            <w:vMerge w:val="restart"/>
            <w:vAlign w:val="center"/>
          </w:tcPr>
          <w:p>
            <w:pPr>
              <w:widowControl/>
              <w:spacing w:line="240" w:lineRule="auto"/>
              <w:jc w:val="center"/>
              <w:textAlignment w:val="center"/>
              <w:rPr>
                <w:rFonts w:hint="default" w:eastAsia="宋体"/>
                <w:sz w:val="21"/>
                <w:szCs w:val="21"/>
                <w:lang w:val="en-US" w:eastAsia="zh-CN"/>
              </w:rPr>
            </w:pPr>
            <w:r>
              <w:rPr>
                <w:rFonts w:hint="eastAsia"/>
                <w:sz w:val="21"/>
                <w:szCs w:val="21"/>
                <w:lang w:val="en-US" w:eastAsia="zh-CN"/>
              </w:rPr>
              <w:t>4.0</w:t>
            </w:r>
          </w:p>
        </w:tc>
        <w:tc>
          <w:tcPr>
            <w:tcW w:w="426" w:type="pct"/>
            <w:vAlign w:val="center"/>
          </w:tcPr>
          <w:p>
            <w:pPr>
              <w:widowControl/>
              <w:spacing w:line="240" w:lineRule="auto"/>
              <w:jc w:val="center"/>
              <w:textAlignment w:val="center"/>
              <w:rPr>
                <w:sz w:val="21"/>
                <w:szCs w:val="21"/>
              </w:rPr>
            </w:pPr>
            <w:r>
              <w:rPr>
                <w:rFonts w:hint="eastAsia"/>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479" w:type="pct"/>
            <w:vMerge w:val="continue"/>
            <w:vAlign w:val="center"/>
          </w:tcPr>
          <w:p>
            <w:pPr>
              <w:spacing w:line="240" w:lineRule="auto"/>
              <w:jc w:val="center"/>
              <w:rPr>
                <w:sz w:val="21"/>
                <w:szCs w:val="21"/>
              </w:rPr>
            </w:pPr>
          </w:p>
        </w:tc>
        <w:tc>
          <w:tcPr>
            <w:tcW w:w="642" w:type="pct"/>
            <w:vMerge w:val="continue"/>
            <w:vAlign w:val="center"/>
          </w:tcPr>
          <w:p>
            <w:pPr>
              <w:spacing w:line="240" w:lineRule="auto"/>
              <w:jc w:val="center"/>
              <w:rPr>
                <w:sz w:val="21"/>
                <w:szCs w:val="21"/>
              </w:rPr>
            </w:pPr>
          </w:p>
        </w:tc>
        <w:tc>
          <w:tcPr>
            <w:tcW w:w="777" w:type="pct"/>
            <w:vAlign w:val="center"/>
          </w:tcPr>
          <w:p>
            <w:pPr>
              <w:widowControl/>
              <w:spacing w:line="240" w:lineRule="auto"/>
              <w:jc w:val="center"/>
              <w:textAlignment w:val="center"/>
              <w:rPr>
                <w:sz w:val="21"/>
                <w:szCs w:val="21"/>
              </w:rPr>
            </w:pPr>
            <w:r>
              <w:rPr>
                <w:sz w:val="21"/>
                <w:szCs w:val="21"/>
              </w:rPr>
              <w:t>第二次</w:t>
            </w:r>
          </w:p>
        </w:tc>
        <w:tc>
          <w:tcPr>
            <w:tcW w:w="1625" w:type="dxa"/>
            <w:vAlign w:val="center"/>
          </w:tcPr>
          <w:p>
            <w:pPr>
              <w:spacing w:line="240" w:lineRule="auto"/>
              <w:jc w:val="center"/>
              <w:rPr>
                <w:sz w:val="21"/>
                <w:szCs w:val="21"/>
              </w:rPr>
            </w:pPr>
            <w:r>
              <w:rPr>
                <w:rFonts w:hint="eastAsia"/>
                <w:sz w:val="21"/>
                <w:szCs w:val="21"/>
                <w:lang w:val="en-US" w:eastAsia="zh-CN"/>
              </w:rPr>
              <w:t>0.68</w:t>
            </w:r>
          </w:p>
        </w:tc>
        <w:tc>
          <w:tcPr>
            <w:tcW w:w="1625" w:type="dxa"/>
            <w:vAlign w:val="center"/>
          </w:tcPr>
          <w:p>
            <w:pPr>
              <w:spacing w:line="240" w:lineRule="auto"/>
              <w:jc w:val="center"/>
              <w:rPr>
                <w:sz w:val="21"/>
                <w:szCs w:val="21"/>
              </w:rPr>
            </w:pPr>
            <w:r>
              <w:rPr>
                <w:rFonts w:hint="eastAsia"/>
                <w:sz w:val="21"/>
                <w:szCs w:val="21"/>
                <w:lang w:val="en-US" w:eastAsia="zh-CN"/>
              </w:rPr>
              <w:t>0.79</w:t>
            </w:r>
          </w:p>
        </w:tc>
        <w:tc>
          <w:tcPr>
            <w:tcW w:w="1625" w:type="dxa"/>
            <w:vAlign w:val="center"/>
          </w:tcPr>
          <w:p>
            <w:pPr>
              <w:spacing w:line="240" w:lineRule="auto"/>
              <w:jc w:val="center"/>
              <w:rPr>
                <w:sz w:val="21"/>
                <w:szCs w:val="21"/>
              </w:rPr>
            </w:pPr>
            <w:r>
              <w:rPr>
                <w:rFonts w:hint="eastAsia"/>
                <w:sz w:val="21"/>
                <w:szCs w:val="21"/>
                <w:lang w:val="en-US" w:eastAsia="zh-CN"/>
              </w:rPr>
              <w:t>0.76</w:t>
            </w:r>
          </w:p>
        </w:tc>
        <w:tc>
          <w:tcPr>
            <w:tcW w:w="1633" w:type="dxa"/>
            <w:vAlign w:val="center"/>
          </w:tcPr>
          <w:p>
            <w:pPr>
              <w:spacing w:line="240" w:lineRule="auto"/>
              <w:jc w:val="center"/>
              <w:rPr>
                <w:sz w:val="21"/>
                <w:szCs w:val="21"/>
              </w:rPr>
            </w:pPr>
            <w:r>
              <w:rPr>
                <w:rFonts w:hint="eastAsia"/>
                <w:sz w:val="21"/>
                <w:szCs w:val="21"/>
                <w:lang w:val="en-US" w:eastAsia="zh-CN"/>
              </w:rPr>
              <w:t>0.76</w:t>
            </w:r>
          </w:p>
        </w:tc>
        <w:tc>
          <w:tcPr>
            <w:tcW w:w="373" w:type="pct"/>
            <w:vMerge w:val="continue"/>
            <w:vAlign w:val="center"/>
          </w:tcPr>
          <w:p>
            <w:pPr>
              <w:widowControl/>
              <w:spacing w:line="240" w:lineRule="auto"/>
              <w:jc w:val="center"/>
              <w:textAlignment w:val="center"/>
              <w:rPr>
                <w:sz w:val="21"/>
                <w:szCs w:val="21"/>
              </w:rPr>
            </w:pPr>
          </w:p>
        </w:tc>
        <w:tc>
          <w:tcPr>
            <w:tcW w:w="426" w:type="pct"/>
            <w:vAlign w:val="center"/>
          </w:tcPr>
          <w:p>
            <w:pPr>
              <w:widowControl/>
              <w:spacing w:line="240" w:lineRule="auto"/>
              <w:jc w:val="center"/>
              <w:textAlignment w:val="center"/>
              <w:rPr>
                <w:sz w:val="21"/>
                <w:szCs w:val="21"/>
              </w:rPr>
            </w:pPr>
            <w:r>
              <w:rPr>
                <w:rFonts w:hint="eastAsia"/>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479" w:type="pct"/>
            <w:vMerge w:val="continue"/>
            <w:vAlign w:val="center"/>
          </w:tcPr>
          <w:p>
            <w:pPr>
              <w:spacing w:line="240" w:lineRule="auto"/>
              <w:jc w:val="center"/>
              <w:rPr>
                <w:sz w:val="21"/>
                <w:szCs w:val="21"/>
              </w:rPr>
            </w:pPr>
          </w:p>
        </w:tc>
        <w:tc>
          <w:tcPr>
            <w:tcW w:w="642" w:type="pct"/>
            <w:vMerge w:val="continue"/>
            <w:vAlign w:val="center"/>
          </w:tcPr>
          <w:p>
            <w:pPr>
              <w:spacing w:line="240" w:lineRule="auto"/>
              <w:jc w:val="center"/>
              <w:rPr>
                <w:sz w:val="21"/>
                <w:szCs w:val="21"/>
              </w:rPr>
            </w:pPr>
          </w:p>
        </w:tc>
        <w:tc>
          <w:tcPr>
            <w:tcW w:w="777" w:type="pct"/>
            <w:vAlign w:val="center"/>
          </w:tcPr>
          <w:p>
            <w:pPr>
              <w:spacing w:line="240" w:lineRule="auto"/>
              <w:jc w:val="center"/>
              <w:rPr>
                <w:sz w:val="21"/>
                <w:szCs w:val="21"/>
              </w:rPr>
            </w:pPr>
            <w:r>
              <w:rPr>
                <w:sz w:val="21"/>
                <w:szCs w:val="21"/>
              </w:rPr>
              <w:t>第三次</w:t>
            </w:r>
          </w:p>
        </w:tc>
        <w:tc>
          <w:tcPr>
            <w:tcW w:w="1625" w:type="dxa"/>
            <w:vAlign w:val="center"/>
          </w:tcPr>
          <w:p>
            <w:pPr>
              <w:spacing w:line="240" w:lineRule="auto"/>
              <w:jc w:val="center"/>
              <w:rPr>
                <w:sz w:val="21"/>
                <w:szCs w:val="21"/>
              </w:rPr>
            </w:pPr>
            <w:r>
              <w:rPr>
                <w:rFonts w:hint="eastAsia"/>
                <w:sz w:val="21"/>
                <w:szCs w:val="21"/>
                <w:lang w:val="en-US" w:eastAsia="zh-CN"/>
              </w:rPr>
              <w:t>0.63</w:t>
            </w:r>
          </w:p>
        </w:tc>
        <w:tc>
          <w:tcPr>
            <w:tcW w:w="1625" w:type="dxa"/>
            <w:vAlign w:val="center"/>
          </w:tcPr>
          <w:p>
            <w:pPr>
              <w:spacing w:line="240" w:lineRule="auto"/>
              <w:jc w:val="center"/>
              <w:rPr>
                <w:sz w:val="21"/>
                <w:szCs w:val="21"/>
              </w:rPr>
            </w:pPr>
            <w:r>
              <w:rPr>
                <w:rFonts w:hint="eastAsia"/>
                <w:sz w:val="21"/>
                <w:szCs w:val="21"/>
                <w:lang w:val="en-US" w:eastAsia="zh-CN"/>
              </w:rPr>
              <w:t>0.74</w:t>
            </w:r>
          </w:p>
        </w:tc>
        <w:tc>
          <w:tcPr>
            <w:tcW w:w="1625" w:type="dxa"/>
            <w:vAlign w:val="center"/>
          </w:tcPr>
          <w:p>
            <w:pPr>
              <w:spacing w:line="240" w:lineRule="auto"/>
              <w:jc w:val="center"/>
              <w:rPr>
                <w:sz w:val="21"/>
                <w:szCs w:val="21"/>
              </w:rPr>
            </w:pPr>
            <w:r>
              <w:rPr>
                <w:rFonts w:hint="eastAsia"/>
                <w:sz w:val="21"/>
                <w:szCs w:val="21"/>
                <w:lang w:val="en-US" w:eastAsia="zh-CN"/>
              </w:rPr>
              <w:t>0.76</w:t>
            </w:r>
          </w:p>
        </w:tc>
        <w:tc>
          <w:tcPr>
            <w:tcW w:w="1633" w:type="dxa"/>
            <w:vAlign w:val="center"/>
          </w:tcPr>
          <w:p>
            <w:pPr>
              <w:spacing w:line="240" w:lineRule="auto"/>
              <w:jc w:val="center"/>
              <w:rPr>
                <w:sz w:val="21"/>
                <w:szCs w:val="21"/>
              </w:rPr>
            </w:pPr>
            <w:r>
              <w:rPr>
                <w:rFonts w:hint="eastAsia"/>
                <w:sz w:val="21"/>
                <w:szCs w:val="21"/>
                <w:lang w:val="en-US" w:eastAsia="zh-CN"/>
              </w:rPr>
              <w:t>0.71</w:t>
            </w:r>
          </w:p>
        </w:tc>
        <w:tc>
          <w:tcPr>
            <w:tcW w:w="373" w:type="pct"/>
            <w:vMerge w:val="continue"/>
            <w:vAlign w:val="center"/>
          </w:tcPr>
          <w:p>
            <w:pPr>
              <w:widowControl/>
              <w:spacing w:line="240" w:lineRule="auto"/>
              <w:jc w:val="center"/>
              <w:textAlignment w:val="center"/>
              <w:rPr>
                <w:sz w:val="21"/>
                <w:szCs w:val="21"/>
              </w:rPr>
            </w:pPr>
          </w:p>
        </w:tc>
        <w:tc>
          <w:tcPr>
            <w:tcW w:w="426" w:type="pct"/>
            <w:vAlign w:val="center"/>
          </w:tcPr>
          <w:p>
            <w:pPr>
              <w:widowControl/>
              <w:spacing w:line="240" w:lineRule="auto"/>
              <w:jc w:val="center"/>
              <w:textAlignment w:val="center"/>
              <w:rPr>
                <w:sz w:val="21"/>
                <w:szCs w:val="21"/>
              </w:rPr>
            </w:pPr>
            <w:r>
              <w:rPr>
                <w:rFonts w:hint="eastAsia"/>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479" w:type="pct"/>
            <w:vMerge w:val="continue"/>
            <w:vAlign w:val="center"/>
          </w:tcPr>
          <w:p>
            <w:pPr>
              <w:spacing w:line="240" w:lineRule="auto"/>
              <w:jc w:val="center"/>
              <w:rPr>
                <w:sz w:val="21"/>
                <w:szCs w:val="21"/>
              </w:rPr>
            </w:pPr>
          </w:p>
        </w:tc>
        <w:tc>
          <w:tcPr>
            <w:tcW w:w="642" w:type="pct"/>
            <w:vMerge w:val="continue"/>
            <w:vAlign w:val="center"/>
          </w:tcPr>
          <w:p>
            <w:pPr>
              <w:spacing w:line="240" w:lineRule="auto"/>
              <w:jc w:val="center"/>
              <w:rPr>
                <w:sz w:val="21"/>
                <w:szCs w:val="21"/>
              </w:rPr>
            </w:pPr>
          </w:p>
        </w:tc>
        <w:tc>
          <w:tcPr>
            <w:tcW w:w="777" w:type="pct"/>
            <w:vAlign w:val="center"/>
          </w:tcPr>
          <w:p>
            <w:pPr>
              <w:widowControl/>
              <w:spacing w:line="240" w:lineRule="auto"/>
              <w:jc w:val="center"/>
              <w:textAlignment w:val="center"/>
              <w:rPr>
                <w:sz w:val="21"/>
                <w:szCs w:val="21"/>
              </w:rPr>
            </w:pPr>
            <w:r>
              <w:rPr>
                <w:sz w:val="21"/>
                <w:szCs w:val="21"/>
              </w:rPr>
              <w:t>第</w:t>
            </w:r>
            <w:r>
              <w:rPr>
                <w:rFonts w:hint="eastAsia"/>
                <w:sz w:val="21"/>
                <w:szCs w:val="21"/>
              </w:rPr>
              <w:t>四</w:t>
            </w:r>
            <w:r>
              <w:rPr>
                <w:sz w:val="21"/>
                <w:szCs w:val="21"/>
              </w:rPr>
              <w:t>次</w:t>
            </w:r>
          </w:p>
        </w:tc>
        <w:tc>
          <w:tcPr>
            <w:tcW w:w="1625" w:type="dxa"/>
            <w:vAlign w:val="center"/>
          </w:tcPr>
          <w:p>
            <w:pPr>
              <w:spacing w:line="240" w:lineRule="auto"/>
              <w:jc w:val="center"/>
              <w:rPr>
                <w:sz w:val="21"/>
                <w:szCs w:val="21"/>
              </w:rPr>
            </w:pPr>
            <w:r>
              <w:rPr>
                <w:rFonts w:hint="eastAsia"/>
                <w:sz w:val="21"/>
                <w:szCs w:val="21"/>
                <w:lang w:val="en-US" w:eastAsia="zh-CN"/>
              </w:rPr>
              <w:t>0.66</w:t>
            </w:r>
          </w:p>
        </w:tc>
        <w:tc>
          <w:tcPr>
            <w:tcW w:w="1625" w:type="dxa"/>
            <w:vAlign w:val="center"/>
          </w:tcPr>
          <w:p>
            <w:pPr>
              <w:spacing w:line="240" w:lineRule="auto"/>
              <w:jc w:val="center"/>
              <w:rPr>
                <w:sz w:val="21"/>
                <w:szCs w:val="21"/>
              </w:rPr>
            </w:pPr>
            <w:r>
              <w:rPr>
                <w:rFonts w:hint="eastAsia"/>
                <w:sz w:val="21"/>
                <w:szCs w:val="21"/>
                <w:lang w:val="en-US" w:eastAsia="zh-CN"/>
              </w:rPr>
              <w:t>0.77</w:t>
            </w:r>
          </w:p>
        </w:tc>
        <w:tc>
          <w:tcPr>
            <w:tcW w:w="1625" w:type="dxa"/>
            <w:vAlign w:val="center"/>
          </w:tcPr>
          <w:p>
            <w:pPr>
              <w:spacing w:line="240" w:lineRule="auto"/>
              <w:jc w:val="center"/>
              <w:rPr>
                <w:sz w:val="21"/>
                <w:szCs w:val="21"/>
              </w:rPr>
            </w:pPr>
            <w:r>
              <w:rPr>
                <w:rFonts w:hint="eastAsia"/>
                <w:sz w:val="21"/>
                <w:szCs w:val="21"/>
                <w:lang w:val="en-US" w:eastAsia="zh-CN"/>
              </w:rPr>
              <w:t>0.70</w:t>
            </w:r>
          </w:p>
        </w:tc>
        <w:tc>
          <w:tcPr>
            <w:tcW w:w="1633" w:type="dxa"/>
            <w:vAlign w:val="center"/>
          </w:tcPr>
          <w:p>
            <w:pPr>
              <w:spacing w:line="240" w:lineRule="auto"/>
              <w:jc w:val="center"/>
              <w:rPr>
                <w:sz w:val="21"/>
                <w:szCs w:val="21"/>
              </w:rPr>
            </w:pPr>
            <w:r>
              <w:rPr>
                <w:rFonts w:hint="eastAsia"/>
                <w:sz w:val="21"/>
                <w:szCs w:val="21"/>
                <w:lang w:val="en-US" w:eastAsia="zh-CN"/>
              </w:rPr>
              <w:t>0.76</w:t>
            </w:r>
          </w:p>
        </w:tc>
        <w:tc>
          <w:tcPr>
            <w:tcW w:w="373" w:type="pct"/>
            <w:vMerge w:val="continue"/>
            <w:vAlign w:val="center"/>
          </w:tcPr>
          <w:p>
            <w:pPr>
              <w:widowControl/>
              <w:spacing w:line="240" w:lineRule="auto"/>
              <w:jc w:val="center"/>
              <w:textAlignment w:val="center"/>
              <w:rPr>
                <w:sz w:val="21"/>
                <w:szCs w:val="21"/>
              </w:rPr>
            </w:pPr>
          </w:p>
        </w:tc>
        <w:tc>
          <w:tcPr>
            <w:tcW w:w="426" w:type="pct"/>
            <w:vAlign w:val="center"/>
          </w:tcPr>
          <w:p>
            <w:pPr>
              <w:widowControl/>
              <w:spacing w:line="240" w:lineRule="auto"/>
              <w:jc w:val="center"/>
              <w:textAlignment w:val="center"/>
              <w:rPr>
                <w:sz w:val="21"/>
                <w:szCs w:val="21"/>
              </w:rPr>
            </w:pPr>
            <w:r>
              <w:rPr>
                <w:rFonts w:hint="eastAsia"/>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479" w:type="pct"/>
            <w:vMerge w:val="restart"/>
            <w:vAlign w:val="center"/>
          </w:tcPr>
          <w:p>
            <w:pPr>
              <w:spacing w:line="240" w:lineRule="auto"/>
              <w:jc w:val="center"/>
              <w:rPr>
                <w:rFonts w:hint="default" w:eastAsia="宋体"/>
                <w:sz w:val="21"/>
                <w:szCs w:val="21"/>
                <w:lang w:val="en-US" w:eastAsia="zh-CN"/>
              </w:rPr>
            </w:pPr>
            <w:r>
              <w:rPr>
                <w:sz w:val="21"/>
                <w:szCs w:val="21"/>
              </w:rPr>
              <w:t>202</w:t>
            </w:r>
            <w:r>
              <w:rPr>
                <w:rFonts w:hint="eastAsia"/>
                <w:sz w:val="21"/>
                <w:szCs w:val="21"/>
              </w:rPr>
              <w:t>2</w:t>
            </w:r>
            <w:r>
              <w:rPr>
                <w:sz w:val="21"/>
                <w:szCs w:val="21"/>
              </w:rPr>
              <w:t>.</w:t>
            </w:r>
            <w:r>
              <w:rPr>
                <w:rFonts w:hint="eastAsia"/>
                <w:sz w:val="21"/>
                <w:szCs w:val="21"/>
                <w:lang w:val="en-US" w:eastAsia="zh-CN"/>
              </w:rPr>
              <w:t>12</w:t>
            </w:r>
            <w:r>
              <w:rPr>
                <w:sz w:val="21"/>
                <w:szCs w:val="21"/>
              </w:rPr>
              <w:t>.</w:t>
            </w:r>
            <w:r>
              <w:rPr>
                <w:rFonts w:hint="eastAsia"/>
                <w:sz w:val="21"/>
                <w:szCs w:val="21"/>
                <w:lang w:val="en-US" w:eastAsia="zh-CN"/>
              </w:rPr>
              <w:t>14</w:t>
            </w:r>
          </w:p>
        </w:tc>
        <w:tc>
          <w:tcPr>
            <w:tcW w:w="1816" w:type="dxa"/>
            <w:vMerge w:val="restart"/>
            <w:vAlign w:val="center"/>
          </w:tcPr>
          <w:p>
            <w:pPr>
              <w:widowControl/>
              <w:spacing w:line="240" w:lineRule="auto"/>
              <w:jc w:val="center"/>
              <w:textAlignment w:val="center"/>
              <w:rPr>
                <w:sz w:val="21"/>
                <w:szCs w:val="21"/>
              </w:rPr>
            </w:pPr>
            <w:r>
              <w:rPr>
                <w:sz w:val="21"/>
                <w:szCs w:val="21"/>
              </w:rPr>
              <w:t>颗粒物mg/m</w:t>
            </w:r>
            <w:r>
              <w:rPr>
                <w:sz w:val="21"/>
                <w:szCs w:val="21"/>
                <w:vertAlign w:val="superscript"/>
              </w:rPr>
              <w:t>3</w:t>
            </w:r>
          </w:p>
        </w:tc>
        <w:tc>
          <w:tcPr>
            <w:tcW w:w="777" w:type="pct"/>
            <w:vAlign w:val="center"/>
          </w:tcPr>
          <w:p>
            <w:pPr>
              <w:widowControl/>
              <w:spacing w:line="240" w:lineRule="auto"/>
              <w:jc w:val="center"/>
              <w:textAlignment w:val="center"/>
              <w:rPr>
                <w:sz w:val="21"/>
                <w:szCs w:val="21"/>
              </w:rPr>
            </w:pPr>
            <w:r>
              <w:rPr>
                <w:sz w:val="21"/>
                <w:szCs w:val="21"/>
              </w:rPr>
              <w:t>第一次</w:t>
            </w:r>
          </w:p>
        </w:tc>
        <w:tc>
          <w:tcPr>
            <w:tcW w:w="1625" w:type="dxa"/>
            <w:vAlign w:val="center"/>
          </w:tcPr>
          <w:p>
            <w:pPr>
              <w:spacing w:line="240" w:lineRule="auto"/>
              <w:jc w:val="center"/>
              <w:rPr>
                <w:sz w:val="21"/>
                <w:szCs w:val="21"/>
              </w:rPr>
            </w:pPr>
            <w:r>
              <w:rPr>
                <w:rFonts w:hint="eastAsia"/>
                <w:sz w:val="21"/>
                <w:szCs w:val="21"/>
                <w:lang w:val="en-US" w:eastAsia="zh-CN"/>
              </w:rPr>
              <w:t>0.122</w:t>
            </w:r>
          </w:p>
        </w:tc>
        <w:tc>
          <w:tcPr>
            <w:tcW w:w="1625" w:type="dxa"/>
            <w:vAlign w:val="center"/>
          </w:tcPr>
          <w:p>
            <w:pPr>
              <w:spacing w:line="240" w:lineRule="auto"/>
              <w:jc w:val="center"/>
              <w:rPr>
                <w:sz w:val="21"/>
                <w:szCs w:val="21"/>
              </w:rPr>
            </w:pPr>
            <w:r>
              <w:rPr>
                <w:rFonts w:hint="eastAsia"/>
                <w:sz w:val="21"/>
                <w:szCs w:val="21"/>
                <w:lang w:val="en-US" w:eastAsia="zh-CN"/>
              </w:rPr>
              <w:t>0.208</w:t>
            </w:r>
          </w:p>
        </w:tc>
        <w:tc>
          <w:tcPr>
            <w:tcW w:w="1625" w:type="dxa"/>
            <w:vAlign w:val="center"/>
          </w:tcPr>
          <w:p>
            <w:pPr>
              <w:spacing w:line="240" w:lineRule="auto"/>
              <w:jc w:val="center"/>
              <w:rPr>
                <w:sz w:val="21"/>
                <w:szCs w:val="21"/>
              </w:rPr>
            </w:pPr>
            <w:r>
              <w:rPr>
                <w:rFonts w:hint="eastAsia"/>
                <w:sz w:val="21"/>
                <w:szCs w:val="21"/>
                <w:lang w:val="en-US" w:eastAsia="zh-CN"/>
              </w:rPr>
              <w:t>0.195</w:t>
            </w:r>
          </w:p>
        </w:tc>
        <w:tc>
          <w:tcPr>
            <w:tcW w:w="1633" w:type="dxa"/>
            <w:vAlign w:val="center"/>
          </w:tcPr>
          <w:p>
            <w:pPr>
              <w:spacing w:line="240" w:lineRule="auto"/>
              <w:jc w:val="center"/>
              <w:rPr>
                <w:sz w:val="21"/>
                <w:szCs w:val="21"/>
              </w:rPr>
            </w:pPr>
            <w:r>
              <w:rPr>
                <w:rFonts w:hint="eastAsia"/>
                <w:sz w:val="21"/>
                <w:szCs w:val="21"/>
                <w:lang w:val="en-US" w:eastAsia="zh-CN"/>
              </w:rPr>
              <w:t>0.198</w:t>
            </w:r>
          </w:p>
        </w:tc>
        <w:tc>
          <w:tcPr>
            <w:tcW w:w="1056" w:type="dxa"/>
            <w:vMerge w:val="restart"/>
            <w:vAlign w:val="center"/>
          </w:tcPr>
          <w:p>
            <w:pPr>
              <w:widowControl/>
              <w:spacing w:line="240" w:lineRule="auto"/>
              <w:jc w:val="center"/>
              <w:textAlignment w:val="center"/>
              <w:rPr>
                <w:sz w:val="21"/>
                <w:szCs w:val="21"/>
              </w:rPr>
            </w:pPr>
            <w:r>
              <w:rPr>
                <w:rFonts w:hint="eastAsia"/>
                <w:sz w:val="21"/>
                <w:szCs w:val="21"/>
              </w:rPr>
              <w:t>1.0</w:t>
            </w:r>
          </w:p>
        </w:tc>
        <w:tc>
          <w:tcPr>
            <w:tcW w:w="426" w:type="pct"/>
            <w:vAlign w:val="center"/>
          </w:tcPr>
          <w:p>
            <w:pPr>
              <w:widowControl/>
              <w:spacing w:line="240" w:lineRule="auto"/>
              <w:jc w:val="center"/>
              <w:textAlignment w:val="center"/>
              <w:rPr>
                <w:sz w:val="21"/>
                <w:szCs w:val="21"/>
              </w:rPr>
            </w:pPr>
            <w:r>
              <w:rPr>
                <w:rFonts w:hint="eastAsia"/>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479" w:type="pct"/>
            <w:vMerge w:val="continue"/>
            <w:vAlign w:val="center"/>
          </w:tcPr>
          <w:p>
            <w:pPr>
              <w:spacing w:line="240" w:lineRule="auto"/>
              <w:jc w:val="center"/>
              <w:rPr>
                <w:sz w:val="21"/>
                <w:szCs w:val="21"/>
              </w:rPr>
            </w:pPr>
          </w:p>
        </w:tc>
        <w:tc>
          <w:tcPr>
            <w:tcW w:w="642" w:type="pct"/>
            <w:vMerge w:val="continue"/>
            <w:vAlign w:val="center"/>
          </w:tcPr>
          <w:p>
            <w:pPr>
              <w:spacing w:line="240" w:lineRule="auto"/>
              <w:jc w:val="center"/>
              <w:rPr>
                <w:sz w:val="21"/>
                <w:szCs w:val="21"/>
              </w:rPr>
            </w:pPr>
          </w:p>
        </w:tc>
        <w:tc>
          <w:tcPr>
            <w:tcW w:w="777" w:type="pct"/>
            <w:vAlign w:val="center"/>
          </w:tcPr>
          <w:p>
            <w:pPr>
              <w:widowControl/>
              <w:spacing w:line="240" w:lineRule="auto"/>
              <w:jc w:val="center"/>
              <w:textAlignment w:val="center"/>
              <w:rPr>
                <w:sz w:val="21"/>
                <w:szCs w:val="21"/>
              </w:rPr>
            </w:pPr>
            <w:r>
              <w:rPr>
                <w:sz w:val="21"/>
                <w:szCs w:val="21"/>
              </w:rPr>
              <w:t>第二次</w:t>
            </w:r>
          </w:p>
        </w:tc>
        <w:tc>
          <w:tcPr>
            <w:tcW w:w="1625" w:type="dxa"/>
            <w:vAlign w:val="center"/>
          </w:tcPr>
          <w:p>
            <w:pPr>
              <w:spacing w:line="240" w:lineRule="auto"/>
              <w:jc w:val="center"/>
              <w:rPr>
                <w:sz w:val="21"/>
                <w:szCs w:val="21"/>
              </w:rPr>
            </w:pPr>
            <w:r>
              <w:rPr>
                <w:rFonts w:hint="eastAsia"/>
                <w:sz w:val="21"/>
                <w:szCs w:val="21"/>
                <w:lang w:val="en-US" w:eastAsia="zh-CN"/>
              </w:rPr>
              <w:t>0.105</w:t>
            </w:r>
          </w:p>
        </w:tc>
        <w:tc>
          <w:tcPr>
            <w:tcW w:w="1625" w:type="dxa"/>
            <w:vAlign w:val="center"/>
          </w:tcPr>
          <w:p>
            <w:pPr>
              <w:spacing w:line="240" w:lineRule="auto"/>
              <w:jc w:val="center"/>
              <w:rPr>
                <w:sz w:val="21"/>
                <w:szCs w:val="21"/>
              </w:rPr>
            </w:pPr>
            <w:r>
              <w:rPr>
                <w:rFonts w:hint="eastAsia"/>
                <w:sz w:val="21"/>
                <w:szCs w:val="21"/>
                <w:lang w:val="en-US" w:eastAsia="zh-CN"/>
              </w:rPr>
              <w:t>0.195</w:t>
            </w:r>
          </w:p>
        </w:tc>
        <w:tc>
          <w:tcPr>
            <w:tcW w:w="1625" w:type="dxa"/>
            <w:vAlign w:val="center"/>
          </w:tcPr>
          <w:p>
            <w:pPr>
              <w:spacing w:line="240" w:lineRule="auto"/>
              <w:jc w:val="center"/>
              <w:rPr>
                <w:sz w:val="21"/>
                <w:szCs w:val="21"/>
              </w:rPr>
            </w:pPr>
            <w:r>
              <w:rPr>
                <w:rFonts w:hint="eastAsia"/>
                <w:sz w:val="21"/>
                <w:szCs w:val="21"/>
                <w:lang w:val="en-US" w:eastAsia="zh-CN"/>
              </w:rPr>
              <w:t>0.198</w:t>
            </w:r>
          </w:p>
        </w:tc>
        <w:tc>
          <w:tcPr>
            <w:tcW w:w="1633" w:type="dxa"/>
            <w:vAlign w:val="center"/>
          </w:tcPr>
          <w:p>
            <w:pPr>
              <w:spacing w:line="240" w:lineRule="auto"/>
              <w:jc w:val="center"/>
              <w:rPr>
                <w:sz w:val="21"/>
                <w:szCs w:val="21"/>
              </w:rPr>
            </w:pPr>
            <w:r>
              <w:rPr>
                <w:rFonts w:hint="eastAsia"/>
                <w:sz w:val="21"/>
                <w:szCs w:val="21"/>
                <w:lang w:val="en-US" w:eastAsia="zh-CN"/>
              </w:rPr>
              <w:t>0.210</w:t>
            </w:r>
          </w:p>
        </w:tc>
        <w:tc>
          <w:tcPr>
            <w:tcW w:w="373" w:type="pct"/>
            <w:vMerge w:val="continue"/>
            <w:vAlign w:val="center"/>
          </w:tcPr>
          <w:p>
            <w:pPr>
              <w:widowControl/>
              <w:spacing w:line="240" w:lineRule="auto"/>
              <w:jc w:val="center"/>
              <w:textAlignment w:val="center"/>
              <w:rPr>
                <w:sz w:val="21"/>
                <w:szCs w:val="21"/>
              </w:rPr>
            </w:pPr>
          </w:p>
        </w:tc>
        <w:tc>
          <w:tcPr>
            <w:tcW w:w="426" w:type="pct"/>
            <w:vAlign w:val="center"/>
          </w:tcPr>
          <w:p>
            <w:pPr>
              <w:widowControl/>
              <w:spacing w:line="240" w:lineRule="auto"/>
              <w:jc w:val="center"/>
              <w:textAlignment w:val="center"/>
              <w:rPr>
                <w:sz w:val="21"/>
                <w:szCs w:val="21"/>
              </w:rPr>
            </w:pPr>
            <w:r>
              <w:rPr>
                <w:rFonts w:hint="eastAsia"/>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479" w:type="pct"/>
            <w:vMerge w:val="continue"/>
            <w:vAlign w:val="center"/>
          </w:tcPr>
          <w:p>
            <w:pPr>
              <w:spacing w:line="240" w:lineRule="auto"/>
              <w:jc w:val="center"/>
              <w:rPr>
                <w:sz w:val="21"/>
                <w:szCs w:val="21"/>
              </w:rPr>
            </w:pPr>
          </w:p>
        </w:tc>
        <w:tc>
          <w:tcPr>
            <w:tcW w:w="642" w:type="pct"/>
            <w:vMerge w:val="continue"/>
            <w:vAlign w:val="center"/>
          </w:tcPr>
          <w:p>
            <w:pPr>
              <w:spacing w:line="240" w:lineRule="auto"/>
              <w:jc w:val="center"/>
              <w:rPr>
                <w:sz w:val="21"/>
                <w:szCs w:val="21"/>
              </w:rPr>
            </w:pPr>
          </w:p>
        </w:tc>
        <w:tc>
          <w:tcPr>
            <w:tcW w:w="777" w:type="pct"/>
            <w:vAlign w:val="center"/>
          </w:tcPr>
          <w:p>
            <w:pPr>
              <w:spacing w:line="240" w:lineRule="auto"/>
              <w:jc w:val="center"/>
              <w:rPr>
                <w:sz w:val="21"/>
                <w:szCs w:val="21"/>
              </w:rPr>
            </w:pPr>
            <w:r>
              <w:rPr>
                <w:sz w:val="21"/>
                <w:szCs w:val="21"/>
              </w:rPr>
              <w:t>第三次</w:t>
            </w:r>
          </w:p>
        </w:tc>
        <w:tc>
          <w:tcPr>
            <w:tcW w:w="1625" w:type="dxa"/>
            <w:vAlign w:val="center"/>
          </w:tcPr>
          <w:p>
            <w:pPr>
              <w:spacing w:line="240" w:lineRule="auto"/>
              <w:jc w:val="center"/>
              <w:rPr>
                <w:sz w:val="21"/>
                <w:szCs w:val="21"/>
              </w:rPr>
            </w:pPr>
            <w:r>
              <w:rPr>
                <w:rFonts w:hint="eastAsia"/>
                <w:sz w:val="21"/>
                <w:szCs w:val="21"/>
                <w:lang w:val="en-US" w:eastAsia="zh-CN"/>
              </w:rPr>
              <w:t>0.127</w:t>
            </w:r>
          </w:p>
        </w:tc>
        <w:tc>
          <w:tcPr>
            <w:tcW w:w="1625" w:type="dxa"/>
            <w:vAlign w:val="center"/>
          </w:tcPr>
          <w:p>
            <w:pPr>
              <w:spacing w:line="240" w:lineRule="auto"/>
              <w:jc w:val="center"/>
              <w:rPr>
                <w:sz w:val="21"/>
                <w:szCs w:val="21"/>
              </w:rPr>
            </w:pPr>
            <w:r>
              <w:rPr>
                <w:rFonts w:hint="eastAsia"/>
                <w:sz w:val="21"/>
                <w:szCs w:val="21"/>
                <w:lang w:val="en-US" w:eastAsia="zh-CN"/>
              </w:rPr>
              <w:t>0.192</w:t>
            </w:r>
          </w:p>
        </w:tc>
        <w:tc>
          <w:tcPr>
            <w:tcW w:w="1625" w:type="dxa"/>
            <w:vAlign w:val="center"/>
          </w:tcPr>
          <w:p>
            <w:pPr>
              <w:spacing w:line="240" w:lineRule="auto"/>
              <w:jc w:val="center"/>
              <w:rPr>
                <w:sz w:val="21"/>
                <w:szCs w:val="21"/>
              </w:rPr>
            </w:pPr>
            <w:r>
              <w:rPr>
                <w:rFonts w:hint="eastAsia"/>
                <w:sz w:val="21"/>
                <w:szCs w:val="21"/>
                <w:lang w:val="en-US" w:eastAsia="zh-CN"/>
              </w:rPr>
              <w:t>0.218</w:t>
            </w:r>
          </w:p>
        </w:tc>
        <w:tc>
          <w:tcPr>
            <w:tcW w:w="1633" w:type="dxa"/>
            <w:vAlign w:val="center"/>
          </w:tcPr>
          <w:p>
            <w:pPr>
              <w:spacing w:line="240" w:lineRule="auto"/>
              <w:jc w:val="center"/>
              <w:rPr>
                <w:sz w:val="21"/>
                <w:szCs w:val="21"/>
              </w:rPr>
            </w:pPr>
            <w:r>
              <w:rPr>
                <w:rFonts w:hint="eastAsia"/>
                <w:sz w:val="21"/>
                <w:szCs w:val="21"/>
                <w:lang w:val="en-US" w:eastAsia="zh-CN"/>
              </w:rPr>
              <w:t>0.217</w:t>
            </w:r>
          </w:p>
        </w:tc>
        <w:tc>
          <w:tcPr>
            <w:tcW w:w="373" w:type="pct"/>
            <w:vMerge w:val="continue"/>
            <w:vAlign w:val="center"/>
          </w:tcPr>
          <w:p>
            <w:pPr>
              <w:widowControl/>
              <w:spacing w:line="240" w:lineRule="auto"/>
              <w:jc w:val="center"/>
              <w:textAlignment w:val="center"/>
              <w:rPr>
                <w:sz w:val="21"/>
                <w:szCs w:val="21"/>
              </w:rPr>
            </w:pPr>
          </w:p>
        </w:tc>
        <w:tc>
          <w:tcPr>
            <w:tcW w:w="426" w:type="pct"/>
            <w:vAlign w:val="center"/>
          </w:tcPr>
          <w:p>
            <w:pPr>
              <w:widowControl/>
              <w:spacing w:line="240" w:lineRule="auto"/>
              <w:jc w:val="center"/>
              <w:textAlignment w:val="center"/>
              <w:rPr>
                <w:sz w:val="21"/>
                <w:szCs w:val="21"/>
              </w:rPr>
            </w:pPr>
            <w:r>
              <w:rPr>
                <w:rFonts w:hint="eastAsia"/>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479" w:type="pct"/>
            <w:vMerge w:val="continue"/>
            <w:vAlign w:val="center"/>
          </w:tcPr>
          <w:p>
            <w:pPr>
              <w:spacing w:line="240" w:lineRule="auto"/>
              <w:jc w:val="center"/>
              <w:rPr>
                <w:sz w:val="21"/>
                <w:szCs w:val="21"/>
              </w:rPr>
            </w:pPr>
          </w:p>
        </w:tc>
        <w:tc>
          <w:tcPr>
            <w:tcW w:w="642" w:type="pct"/>
            <w:vMerge w:val="continue"/>
            <w:vAlign w:val="center"/>
          </w:tcPr>
          <w:p>
            <w:pPr>
              <w:spacing w:line="240" w:lineRule="auto"/>
              <w:jc w:val="center"/>
              <w:rPr>
                <w:sz w:val="21"/>
                <w:szCs w:val="21"/>
              </w:rPr>
            </w:pPr>
          </w:p>
        </w:tc>
        <w:tc>
          <w:tcPr>
            <w:tcW w:w="777" w:type="pct"/>
            <w:vAlign w:val="center"/>
          </w:tcPr>
          <w:p>
            <w:pPr>
              <w:widowControl/>
              <w:spacing w:line="240" w:lineRule="auto"/>
              <w:jc w:val="center"/>
              <w:textAlignment w:val="center"/>
              <w:rPr>
                <w:sz w:val="21"/>
                <w:szCs w:val="21"/>
              </w:rPr>
            </w:pPr>
            <w:r>
              <w:rPr>
                <w:sz w:val="21"/>
                <w:szCs w:val="21"/>
              </w:rPr>
              <w:t>第</w:t>
            </w:r>
            <w:r>
              <w:rPr>
                <w:rFonts w:hint="eastAsia"/>
                <w:sz w:val="21"/>
                <w:szCs w:val="21"/>
              </w:rPr>
              <w:t>四</w:t>
            </w:r>
            <w:r>
              <w:rPr>
                <w:sz w:val="21"/>
                <w:szCs w:val="21"/>
              </w:rPr>
              <w:t>次</w:t>
            </w:r>
          </w:p>
        </w:tc>
        <w:tc>
          <w:tcPr>
            <w:tcW w:w="1625" w:type="dxa"/>
            <w:vAlign w:val="center"/>
          </w:tcPr>
          <w:p>
            <w:pPr>
              <w:spacing w:line="240" w:lineRule="auto"/>
              <w:jc w:val="center"/>
              <w:rPr>
                <w:sz w:val="21"/>
                <w:szCs w:val="21"/>
              </w:rPr>
            </w:pPr>
            <w:r>
              <w:rPr>
                <w:rFonts w:hint="eastAsia"/>
                <w:sz w:val="21"/>
                <w:szCs w:val="21"/>
                <w:lang w:val="en-US" w:eastAsia="zh-CN"/>
              </w:rPr>
              <w:t>0.113</w:t>
            </w:r>
          </w:p>
        </w:tc>
        <w:tc>
          <w:tcPr>
            <w:tcW w:w="1625" w:type="dxa"/>
            <w:vAlign w:val="center"/>
          </w:tcPr>
          <w:p>
            <w:pPr>
              <w:spacing w:line="240" w:lineRule="auto"/>
              <w:jc w:val="center"/>
              <w:rPr>
                <w:sz w:val="21"/>
                <w:szCs w:val="21"/>
              </w:rPr>
            </w:pPr>
            <w:r>
              <w:rPr>
                <w:rFonts w:hint="eastAsia"/>
                <w:sz w:val="21"/>
                <w:szCs w:val="21"/>
                <w:lang w:val="en-US" w:eastAsia="zh-CN"/>
              </w:rPr>
              <w:t>0.202</w:t>
            </w:r>
          </w:p>
        </w:tc>
        <w:tc>
          <w:tcPr>
            <w:tcW w:w="1625" w:type="dxa"/>
            <w:vAlign w:val="center"/>
          </w:tcPr>
          <w:p>
            <w:pPr>
              <w:spacing w:line="240" w:lineRule="auto"/>
              <w:jc w:val="center"/>
              <w:rPr>
                <w:sz w:val="21"/>
                <w:szCs w:val="21"/>
              </w:rPr>
            </w:pPr>
            <w:r>
              <w:rPr>
                <w:rFonts w:hint="eastAsia"/>
                <w:sz w:val="21"/>
                <w:szCs w:val="21"/>
                <w:lang w:val="en-US" w:eastAsia="zh-CN"/>
              </w:rPr>
              <w:t>0.195</w:t>
            </w:r>
          </w:p>
        </w:tc>
        <w:tc>
          <w:tcPr>
            <w:tcW w:w="1633" w:type="dxa"/>
            <w:vAlign w:val="center"/>
          </w:tcPr>
          <w:p>
            <w:pPr>
              <w:spacing w:line="240" w:lineRule="auto"/>
              <w:jc w:val="center"/>
              <w:rPr>
                <w:sz w:val="21"/>
                <w:szCs w:val="21"/>
              </w:rPr>
            </w:pPr>
            <w:r>
              <w:rPr>
                <w:rFonts w:hint="eastAsia"/>
                <w:sz w:val="21"/>
                <w:szCs w:val="21"/>
                <w:lang w:val="en-US" w:eastAsia="zh-CN"/>
              </w:rPr>
              <w:t>0.218</w:t>
            </w:r>
          </w:p>
        </w:tc>
        <w:tc>
          <w:tcPr>
            <w:tcW w:w="373" w:type="pct"/>
            <w:vMerge w:val="continue"/>
            <w:vAlign w:val="center"/>
          </w:tcPr>
          <w:p>
            <w:pPr>
              <w:widowControl/>
              <w:spacing w:line="240" w:lineRule="auto"/>
              <w:jc w:val="center"/>
              <w:textAlignment w:val="center"/>
              <w:rPr>
                <w:sz w:val="21"/>
                <w:szCs w:val="21"/>
              </w:rPr>
            </w:pPr>
          </w:p>
        </w:tc>
        <w:tc>
          <w:tcPr>
            <w:tcW w:w="426" w:type="pct"/>
            <w:vAlign w:val="center"/>
          </w:tcPr>
          <w:p>
            <w:pPr>
              <w:widowControl/>
              <w:spacing w:line="240" w:lineRule="auto"/>
              <w:jc w:val="center"/>
              <w:textAlignment w:val="center"/>
              <w:rPr>
                <w:sz w:val="21"/>
                <w:szCs w:val="21"/>
              </w:rPr>
            </w:pPr>
            <w:r>
              <w:rPr>
                <w:rFonts w:hint="eastAsia"/>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479" w:type="pct"/>
            <w:vMerge w:val="continue"/>
            <w:vAlign w:val="center"/>
          </w:tcPr>
          <w:p>
            <w:pPr>
              <w:spacing w:line="240" w:lineRule="auto"/>
              <w:jc w:val="center"/>
              <w:rPr>
                <w:sz w:val="21"/>
                <w:szCs w:val="21"/>
              </w:rPr>
            </w:pPr>
          </w:p>
        </w:tc>
        <w:tc>
          <w:tcPr>
            <w:tcW w:w="1816" w:type="dxa"/>
            <w:vMerge w:val="restart"/>
            <w:vAlign w:val="center"/>
          </w:tcPr>
          <w:p>
            <w:pPr>
              <w:spacing w:line="240" w:lineRule="auto"/>
              <w:jc w:val="center"/>
              <w:rPr>
                <w:sz w:val="21"/>
                <w:szCs w:val="21"/>
              </w:rPr>
            </w:pPr>
            <w:r>
              <w:rPr>
                <w:rFonts w:hint="eastAsia"/>
                <w:sz w:val="21"/>
                <w:szCs w:val="21"/>
                <w:lang w:eastAsia="zh-CN"/>
              </w:rPr>
              <w:t>甲苯</w:t>
            </w:r>
            <w:r>
              <w:rPr>
                <w:sz w:val="21"/>
                <w:szCs w:val="21"/>
              </w:rPr>
              <w:t>mg/m</w:t>
            </w:r>
            <w:r>
              <w:rPr>
                <w:sz w:val="21"/>
                <w:szCs w:val="21"/>
                <w:vertAlign w:val="superscript"/>
              </w:rPr>
              <w:t>3</w:t>
            </w:r>
          </w:p>
        </w:tc>
        <w:tc>
          <w:tcPr>
            <w:tcW w:w="777" w:type="pct"/>
            <w:vAlign w:val="center"/>
          </w:tcPr>
          <w:p>
            <w:pPr>
              <w:widowControl/>
              <w:spacing w:line="240" w:lineRule="auto"/>
              <w:jc w:val="center"/>
              <w:textAlignment w:val="center"/>
              <w:rPr>
                <w:sz w:val="21"/>
                <w:szCs w:val="21"/>
              </w:rPr>
            </w:pPr>
            <w:r>
              <w:rPr>
                <w:sz w:val="21"/>
                <w:szCs w:val="21"/>
              </w:rPr>
              <w:t>第一次</w:t>
            </w:r>
          </w:p>
        </w:tc>
        <w:tc>
          <w:tcPr>
            <w:tcW w:w="1625" w:type="dxa"/>
            <w:vAlign w:val="center"/>
          </w:tcPr>
          <w:p>
            <w:pPr>
              <w:spacing w:line="240" w:lineRule="auto"/>
              <w:jc w:val="center"/>
              <w:rPr>
                <w:sz w:val="21"/>
                <w:szCs w:val="21"/>
              </w:rPr>
            </w:pPr>
            <w:r>
              <w:rPr>
                <w:rFonts w:hint="default"/>
                <w:sz w:val="21"/>
                <w:szCs w:val="21"/>
                <w:lang w:val="en-US" w:eastAsia="zh-CN"/>
              </w:rPr>
              <w:t>ND</w:t>
            </w:r>
          </w:p>
        </w:tc>
        <w:tc>
          <w:tcPr>
            <w:tcW w:w="1625" w:type="dxa"/>
            <w:vAlign w:val="center"/>
          </w:tcPr>
          <w:p>
            <w:pPr>
              <w:spacing w:line="240" w:lineRule="auto"/>
              <w:jc w:val="center"/>
              <w:rPr>
                <w:sz w:val="21"/>
                <w:szCs w:val="21"/>
              </w:rPr>
            </w:pPr>
            <w:r>
              <w:rPr>
                <w:rFonts w:hint="default"/>
                <w:sz w:val="21"/>
                <w:szCs w:val="21"/>
                <w:lang w:val="en-US" w:eastAsia="zh-CN"/>
              </w:rPr>
              <w:t>ND</w:t>
            </w:r>
          </w:p>
        </w:tc>
        <w:tc>
          <w:tcPr>
            <w:tcW w:w="1625" w:type="dxa"/>
            <w:vAlign w:val="center"/>
          </w:tcPr>
          <w:p>
            <w:pPr>
              <w:spacing w:line="240" w:lineRule="auto"/>
              <w:jc w:val="center"/>
              <w:rPr>
                <w:sz w:val="21"/>
                <w:szCs w:val="21"/>
              </w:rPr>
            </w:pPr>
            <w:r>
              <w:rPr>
                <w:rFonts w:hint="default"/>
                <w:sz w:val="21"/>
                <w:szCs w:val="21"/>
                <w:lang w:val="en-US" w:eastAsia="zh-CN"/>
              </w:rPr>
              <w:t>ND</w:t>
            </w:r>
          </w:p>
        </w:tc>
        <w:tc>
          <w:tcPr>
            <w:tcW w:w="1633" w:type="dxa"/>
            <w:vAlign w:val="center"/>
          </w:tcPr>
          <w:p>
            <w:pPr>
              <w:spacing w:line="240" w:lineRule="auto"/>
              <w:jc w:val="center"/>
              <w:rPr>
                <w:sz w:val="21"/>
                <w:szCs w:val="21"/>
              </w:rPr>
            </w:pPr>
            <w:r>
              <w:rPr>
                <w:rFonts w:hint="default"/>
                <w:sz w:val="21"/>
                <w:szCs w:val="21"/>
                <w:lang w:val="en-US" w:eastAsia="zh-CN"/>
              </w:rPr>
              <w:t>ND</w:t>
            </w:r>
          </w:p>
        </w:tc>
        <w:tc>
          <w:tcPr>
            <w:tcW w:w="1056" w:type="dxa"/>
            <w:vMerge w:val="restart"/>
            <w:vAlign w:val="center"/>
          </w:tcPr>
          <w:p>
            <w:pPr>
              <w:widowControl/>
              <w:spacing w:line="240" w:lineRule="auto"/>
              <w:jc w:val="center"/>
              <w:textAlignment w:val="center"/>
              <w:rPr>
                <w:sz w:val="21"/>
                <w:szCs w:val="21"/>
              </w:rPr>
            </w:pPr>
            <w:r>
              <w:rPr>
                <w:rFonts w:hint="eastAsia"/>
                <w:sz w:val="21"/>
                <w:szCs w:val="21"/>
                <w:lang w:val="en-US" w:eastAsia="zh-CN"/>
              </w:rPr>
              <w:t>2.4</w:t>
            </w:r>
          </w:p>
        </w:tc>
        <w:tc>
          <w:tcPr>
            <w:tcW w:w="426" w:type="pct"/>
            <w:vAlign w:val="center"/>
          </w:tcPr>
          <w:p>
            <w:pPr>
              <w:widowControl/>
              <w:spacing w:line="240" w:lineRule="auto"/>
              <w:jc w:val="center"/>
              <w:textAlignment w:val="center"/>
              <w:rPr>
                <w:sz w:val="21"/>
                <w:szCs w:val="21"/>
              </w:rPr>
            </w:pPr>
            <w:r>
              <w:rPr>
                <w:rFonts w:hint="eastAsia"/>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479" w:type="pct"/>
            <w:vMerge w:val="continue"/>
            <w:vAlign w:val="center"/>
          </w:tcPr>
          <w:p>
            <w:pPr>
              <w:spacing w:line="240" w:lineRule="auto"/>
              <w:jc w:val="center"/>
              <w:rPr>
                <w:sz w:val="21"/>
                <w:szCs w:val="21"/>
              </w:rPr>
            </w:pPr>
          </w:p>
        </w:tc>
        <w:tc>
          <w:tcPr>
            <w:tcW w:w="642" w:type="pct"/>
            <w:vMerge w:val="continue"/>
            <w:vAlign w:val="center"/>
          </w:tcPr>
          <w:p>
            <w:pPr>
              <w:spacing w:line="240" w:lineRule="auto"/>
              <w:jc w:val="center"/>
              <w:rPr>
                <w:sz w:val="21"/>
                <w:szCs w:val="21"/>
              </w:rPr>
            </w:pPr>
          </w:p>
        </w:tc>
        <w:tc>
          <w:tcPr>
            <w:tcW w:w="777" w:type="pct"/>
            <w:vAlign w:val="center"/>
          </w:tcPr>
          <w:p>
            <w:pPr>
              <w:widowControl/>
              <w:spacing w:line="240" w:lineRule="auto"/>
              <w:jc w:val="center"/>
              <w:textAlignment w:val="center"/>
              <w:rPr>
                <w:sz w:val="21"/>
                <w:szCs w:val="21"/>
              </w:rPr>
            </w:pPr>
            <w:r>
              <w:rPr>
                <w:sz w:val="21"/>
                <w:szCs w:val="21"/>
              </w:rPr>
              <w:t>第二次</w:t>
            </w:r>
          </w:p>
        </w:tc>
        <w:tc>
          <w:tcPr>
            <w:tcW w:w="1625" w:type="dxa"/>
            <w:vAlign w:val="center"/>
          </w:tcPr>
          <w:p>
            <w:pPr>
              <w:spacing w:line="240" w:lineRule="auto"/>
              <w:jc w:val="center"/>
              <w:rPr>
                <w:sz w:val="21"/>
                <w:szCs w:val="21"/>
              </w:rPr>
            </w:pPr>
            <w:r>
              <w:rPr>
                <w:rFonts w:hint="default"/>
                <w:sz w:val="21"/>
                <w:szCs w:val="21"/>
                <w:lang w:val="en-US" w:eastAsia="zh-CN"/>
              </w:rPr>
              <w:t>ND</w:t>
            </w:r>
          </w:p>
        </w:tc>
        <w:tc>
          <w:tcPr>
            <w:tcW w:w="1625" w:type="dxa"/>
            <w:vAlign w:val="center"/>
          </w:tcPr>
          <w:p>
            <w:pPr>
              <w:spacing w:line="240" w:lineRule="auto"/>
              <w:jc w:val="center"/>
              <w:rPr>
                <w:sz w:val="21"/>
                <w:szCs w:val="21"/>
              </w:rPr>
            </w:pPr>
            <w:r>
              <w:rPr>
                <w:rFonts w:hint="default"/>
                <w:sz w:val="21"/>
                <w:szCs w:val="21"/>
                <w:lang w:val="en-US" w:eastAsia="zh-CN"/>
              </w:rPr>
              <w:t>ND</w:t>
            </w:r>
          </w:p>
        </w:tc>
        <w:tc>
          <w:tcPr>
            <w:tcW w:w="1625" w:type="dxa"/>
            <w:vAlign w:val="center"/>
          </w:tcPr>
          <w:p>
            <w:pPr>
              <w:spacing w:line="240" w:lineRule="auto"/>
              <w:jc w:val="center"/>
              <w:rPr>
                <w:sz w:val="21"/>
                <w:szCs w:val="21"/>
              </w:rPr>
            </w:pPr>
            <w:r>
              <w:rPr>
                <w:rFonts w:hint="default"/>
                <w:sz w:val="21"/>
                <w:szCs w:val="21"/>
                <w:lang w:val="en-US" w:eastAsia="zh-CN"/>
              </w:rPr>
              <w:t>ND</w:t>
            </w:r>
          </w:p>
        </w:tc>
        <w:tc>
          <w:tcPr>
            <w:tcW w:w="1633" w:type="dxa"/>
            <w:vAlign w:val="center"/>
          </w:tcPr>
          <w:p>
            <w:pPr>
              <w:spacing w:line="240" w:lineRule="auto"/>
              <w:jc w:val="center"/>
              <w:rPr>
                <w:sz w:val="21"/>
                <w:szCs w:val="21"/>
              </w:rPr>
            </w:pPr>
            <w:r>
              <w:rPr>
                <w:rFonts w:hint="default"/>
                <w:sz w:val="21"/>
                <w:szCs w:val="21"/>
                <w:lang w:val="en-US" w:eastAsia="zh-CN"/>
              </w:rPr>
              <w:t>ND</w:t>
            </w:r>
          </w:p>
        </w:tc>
        <w:tc>
          <w:tcPr>
            <w:tcW w:w="373" w:type="pct"/>
            <w:vMerge w:val="continue"/>
            <w:vAlign w:val="center"/>
          </w:tcPr>
          <w:p>
            <w:pPr>
              <w:widowControl/>
              <w:spacing w:line="240" w:lineRule="auto"/>
              <w:jc w:val="center"/>
              <w:textAlignment w:val="center"/>
              <w:rPr>
                <w:sz w:val="21"/>
                <w:szCs w:val="21"/>
              </w:rPr>
            </w:pPr>
          </w:p>
        </w:tc>
        <w:tc>
          <w:tcPr>
            <w:tcW w:w="426" w:type="pct"/>
            <w:vAlign w:val="center"/>
          </w:tcPr>
          <w:p>
            <w:pPr>
              <w:widowControl/>
              <w:spacing w:line="240" w:lineRule="auto"/>
              <w:jc w:val="center"/>
              <w:textAlignment w:val="center"/>
              <w:rPr>
                <w:sz w:val="21"/>
                <w:szCs w:val="21"/>
              </w:rPr>
            </w:pPr>
            <w:r>
              <w:rPr>
                <w:rFonts w:hint="eastAsia"/>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479" w:type="pct"/>
            <w:vMerge w:val="continue"/>
            <w:vAlign w:val="center"/>
          </w:tcPr>
          <w:p>
            <w:pPr>
              <w:spacing w:line="240" w:lineRule="auto"/>
              <w:jc w:val="center"/>
              <w:rPr>
                <w:sz w:val="21"/>
                <w:szCs w:val="21"/>
              </w:rPr>
            </w:pPr>
          </w:p>
        </w:tc>
        <w:tc>
          <w:tcPr>
            <w:tcW w:w="642" w:type="pct"/>
            <w:vMerge w:val="continue"/>
            <w:vAlign w:val="center"/>
          </w:tcPr>
          <w:p>
            <w:pPr>
              <w:spacing w:line="240" w:lineRule="auto"/>
              <w:jc w:val="center"/>
              <w:rPr>
                <w:sz w:val="21"/>
                <w:szCs w:val="21"/>
              </w:rPr>
            </w:pPr>
          </w:p>
        </w:tc>
        <w:tc>
          <w:tcPr>
            <w:tcW w:w="777" w:type="pct"/>
            <w:vAlign w:val="center"/>
          </w:tcPr>
          <w:p>
            <w:pPr>
              <w:spacing w:line="240" w:lineRule="auto"/>
              <w:jc w:val="center"/>
              <w:rPr>
                <w:sz w:val="21"/>
                <w:szCs w:val="21"/>
              </w:rPr>
            </w:pPr>
            <w:r>
              <w:rPr>
                <w:sz w:val="21"/>
                <w:szCs w:val="21"/>
              </w:rPr>
              <w:t>第三次</w:t>
            </w:r>
          </w:p>
        </w:tc>
        <w:tc>
          <w:tcPr>
            <w:tcW w:w="1625" w:type="dxa"/>
            <w:vAlign w:val="center"/>
          </w:tcPr>
          <w:p>
            <w:pPr>
              <w:spacing w:line="240" w:lineRule="auto"/>
              <w:jc w:val="center"/>
              <w:rPr>
                <w:sz w:val="21"/>
                <w:szCs w:val="21"/>
              </w:rPr>
            </w:pPr>
            <w:r>
              <w:rPr>
                <w:rFonts w:hint="default"/>
                <w:sz w:val="21"/>
                <w:szCs w:val="21"/>
                <w:lang w:val="en-US" w:eastAsia="zh-CN"/>
              </w:rPr>
              <w:t>ND</w:t>
            </w:r>
          </w:p>
        </w:tc>
        <w:tc>
          <w:tcPr>
            <w:tcW w:w="1625" w:type="dxa"/>
            <w:vAlign w:val="center"/>
          </w:tcPr>
          <w:p>
            <w:pPr>
              <w:spacing w:line="240" w:lineRule="auto"/>
              <w:jc w:val="center"/>
              <w:rPr>
                <w:sz w:val="21"/>
                <w:szCs w:val="21"/>
              </w:rPr>
            </w:pPr>
            <w:r>
              <w:rPr>
                <w:rFonts w:hint="default"/>
                <w:sz w:val="21"/>
                <w:szCs w:val="21"/>
                <w:lang w:val="en-US" w:eastAsia="zh-CN"/>
              </w:rPr>
              <w:t>ND</w:t>
            </w:r>
          </w:p>
        </w:tc>
        <w:tc>
          <w:tcPr>
            <w:tcW w:w="1625" w:type="dxa"/>
            <w:vAlign w:val="center"/>
          </w:tcPr>
          <w:p>
            <w:pPr>
              <w:spacing w:line="240" w:lineRule="auto"/>
              <w:jc w:val="center"/>
              <w:rPr>
                <w:sz w:val="21"/>
                <w:szCs w:val="21"/>
              </w:rPr>
            </w:pPr>
            <w:r>
              <w:rPr>
                <w:rFonts w:hint="default"/>
                <w:sz w:val="21"/>
                <w:szCs w:val="21"/>
                <w:lang w:val="en-US" w:eastAsia="zh-CN"/>
              </w:rPr>
              <w:t>ND</w:t>
            </w:r>
          </w:p>
        </w:tc>
        <w:tc>
          <w:tcPr>
            <w:tcW w:w="1633" w:type="dxa"/>
            <w:vAlign w:val="center"/>
          </w:tcPr>
          <w:p>
            <w:pPr>
              <w:spacing w:line="240" w:lineRule="auto"/>
              <w:jc w:val="center"/>
              <w:rPr>
                <w:sz w:val="21"/>
                <w:szCs w:val="21"/>
              </w:rPr>
            </w:pPr>
            <w:r>
              <w:rPr>
                <w:rFonts w:hint="default"/>
                <w:sz w:val="21"/>
                <w:szCs w:val="21"/>
                <w:lang w:val="en-US" w:eastAsia="zh-CN"/>
              </w:rPr>
              <w:t>ND</w:t>
            </w:r>
          </w:p>
        </w:tc>
        <w:tc>
          <w:tcPr>
            <w:tcW w:w="373" w:type="pct"/>
            <w:vMerge w:val="continue"/>
            <w:vAlign w:val="center"/>
          </w:tcPr>
          <w:p>
            <w:pPr>
              <w:widowControl/>
              <w:spacing w:line="240" w:lineRule="auto"/>
              <w:jc w:val="center"/>
              <w:textAlignment w:val="center"/>
              <w:rPr>
                <w:sz w:val="21"/>
                <w:szCs w:val="21"/>
              </w:rPr>
            </w:pPr>
          </w:p>
        </w:tc>
        <w:tc>
          <w:tcPr>
            <w:tcW w:w="426" w:type="pct"/>
            <w:vAlign w:val="center"/>
          </w:tcPr>
          <w:p>
            <w:pPr>
              <w:widowControl/>
              <w:spacing w:line="240" w:lineRule="auto"/>
              <w:jc w:val="center"/>
              <w:textAlignment w:val="center"/>
              <w:rPr>
                <w:sz w:val="21"/>
                <w:szCs w:val="21"/>
              </w:rPr>
            </w:pPr>
            <w:r>
              <w:rPr>
                <w:rFonts w:hint="eastAsia"/>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479" w:type="pct"/>
            <w:vMerge w:val="continue"/>
            <w:vAlign w:val="center"/>
          </w:tcPr>
          <w:p>
            <w:pPr>
              <w:spacing w:line="240" w:lineRule="auto"/>
              <w:jc w:val="center"/>
              <w:rPr>
                <w:sz w:val="21"/>
                <w:szCs w:val="21"/>
              </w:rPr>
            </w:pPr>
          </w:p>
        </w:tc>
        <w:tc>
          <w:tcPr>
            <w:tcW w:w="642" w:type="pct"/>
            <w:vMerge w:val="continue"/>
            <w:vAlign w:val="center"/>
          </w:tcPr>
          <w:p>
            <w:pPr>
              <w:spacing w:line="240" w:lineRule="auto"/>
              <w:jc w:val="center"/>
              <w:rPr>
                <w:sz w:val="21"/>
                <w:szCs w:val="21"/>
              </w:rPr>
            </w:pPr>
          </w:p>
        </w:tc>
        <w:tc>
          <w:tcPr>
            <w:tcW w:w="777" w:type="pct"/>
            <w:vAlign w:val="center"/>
          </w:tcPr>
          <w:p>
            <w:pPr>
              <w:widowControl/>
              <w:spacing w:line="240" w:lineRule="auto"/>
              <w:jc w:val="center"/>
              <w:textAlignment w:val="center"/>
              <w:rPr>
                <w:sz w:val="21"/>
                <w:szCs w:val="21"/>
              </w:rPr>
            </w:pPr>
            <w:r>
              <w:rPr>
                <w:sz w:val="21"/>
                <w:szCs w:val="21"/>
              </w:rPr>
              <w:t>第</w:t>
            </w:r>
            <w:r>
              <w:rPr>
                <w:rFonts w:hint="eastAsia"/>
                <w:sz w:val="21"/>
                <w:szCs w:val="21"/>
              </w:rPr>
              <w:t>四</w:t>
            </w:r>
            <w:r>
              <w:rPr>
                <w:sz w:val="21"/>
                <w:szCs w:val="21"/>
              </w:rPr>
              <w:t>次</w:t>
            </w:r>
          </w:p>
        </w:tc>
        <w:tc>
          <w:tcPr>
            <w:tcW w:w="1625" w:type="dxa"/>
            <w:vAlign w:val="center"/>
          </w:tcPr>
          <w:p>
            <w:pPr>
              <w:spacing w:line="240" w:lineRule="auto"/>
              <w:jc w:val="center"/>
              <w:rPr>
                <w:sz w:val="21"/>
                <w:szCs w:val="21"/>
              </w:rPr>
            </w:pPr>
            <w:r>
              <w:rPr>
                <w:rFonts w:hint="default"/>
                <w:sz w:val="21"/>
                <w:szCs w:val="21"/>
                <w:lang w:val="en-US" w:eastAsia="zh-CN"/>
              </w:rPr>
              <w:t>ND</w:t>
            </w:r>
          </w:p>
        </w:tc>
        <w:tc>
          <w:tcPr>
            <w:tcW w:w="1625" w:type="dxa"/>
            <w:vAlign w:val="center"/>
          </w:tcPr>
          <w:p>
            <w:pPr>
              <w:spacing w:line="240" w:lineRule="auto"/>
              <w:jc w:val="center"/>
              <w:rPr>
                <w:sz w:val="21"/>
                <w:szCs w:val="21"/>
              </w:rPr>
            </w:pPr>
            <w:r>
              <w:rPr>
                <w:rFonts w:hint="default"/>
                <w:sz w:val="21"/>
                <w:szCs w:val="21"/>
                <w:lang w:val="en-US" w:eastAsia="zh-CN"/>
              </w:rPr>
              <w:t>ND</w:t>
            </w:r>
          </w:p>
        </w:tc>
        <w:tc>
          <w:tcPr>
            <w:tcW w:w="1625" w:type="dxa"/>
            <w:vAlign w:val="center"/>
          </w:tcPr>
          <w:p>
            <w:pPr>
              <w:spacing w:line="240" w:lineRule="auto"/>
              <w:jc w:val="center"/>
              <w:rPr>
                <w:sz w:val="21"/>
                <w:szCs w:val="21"/>
              </w:rPr>
            </w:pPr>
            <w:r>
              <w:rPr>
                <w:rFonts w:hint="default"/>
                <w:sz w:val="21"/>
                <w:szCs w:val="21"/>
                <w:lang w:val="en-US" w:eastAsia="zh-CN"/>
              </w:rPr>
              <w:t>ND</w:t>
            </w:r>
          </w:p>
        </w:tc>
        <w:tc>
          <w:tcPr>
            <w:tcW w:w="1633" w:type="dxa"/>
            <w:vAlign w:val="center"/>
          </w:tcPr>
          <w:p>
            <w:pPr>
              <w:spacing w:line="240" w:lineRule="auto"/>
              <w:jc w:val="center"/>
              <w:rPr>
                <w:sz w:val="21"/>
                <w:szCs w:val="21"/>
              </w:rPr>
            </w:pPr>
            <w:r>
              <w:rPr>
                <w:rFonts w:hint="default"/>
                <w:sz w:val="21"/>
                <w:szCs w:val="21"/>
                <w:lang w:val="en-US" w:eastAsia="zh-CN"/>
              </w:rPr>
              <w:t>ND</w:t>
            </w:r>
          </w:p>
        </w:tc>
        <w:tc>
          <w:tcPr>
            <w:tcW w:w="373" w:type="pct"/>
            <w:vMerge w:val="continue"/>
            <w:vAlign w:val="center"/>
          </w:tcPr>
          <w:p>
            <w:pPr>
              <w:widowControl/>
              <w:spacing w:line="240" w:lineRule="auto"/>
              <w:jc w:val="center"/>
              <w:textAlignment w:val="center"/>
              <w:rPr>
                <w:sz w:val="21"/>
                <w:szCs w:val="21"/>
              </w:rPr>
            </w:pPr>
          </w:p>
        </w:tc>
        <w:tc>
          <w:tcPr>
            <w:tcW w:w="426" w:type="pct"/>
            <w:vAlign w:val="center"/>
          </w:tcPr>
          <w:p>
            <w:pPr>
              <w:widowControl/>
              <w:spacing w:line="240" w:lineRule="auto"/>
              <w:jc w:val="center"/>
              <w:textAlignment w:val="center"/>
              <w:rPr>
                <w:sz w:val="21"/>
                <w:szCs w:val="21"/>
              </w:rPr>
            </w:pPr>
            <w:r>
              <w:rPr>
                <w:rFonts w:hint="eastAsia"/>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479" w:type="pct"/>
            <w:vMerge w:val="continue"/>
            <w:vAlign w:val="center"/>
          </w:tcPr>
          <w:p>
            <w:pPr>
              <w:spacing w:line="240" w:lineRule="auto"/>
              <w:jc w:val="center"/>
              <w:rPr>
                <w:sz w:val="21"/>
                <w:szCs w:val="21"/>
              </w:rPr>
            </w:pPr>
          </w:p>
        </w:tc>
        <w:tc>
          <w:tcPr>
            <w:tcW w:w="1816" w:type="dxa"/>
            <w:vMerge w:val="restart"/>
            <w:vAlign w:val="center"/>
          </w:tcPr>
          <w:p>
            <w:pPr>
              <w:spacing w:line="240" w:lineRule="auto"/>
              <w:jc w:val="center"/>
              <w:rPr>
                <w:sz w:val="21"/>
                <w:szCs w:val="21"/>
              </w:rPr>
            </w:pPr>
            <w:r>
              <w:rPr>
                <w:rFonts w:hint="eastAsia"/>
                <w:sz w:val="21"/>
                <w:szCs w:val="21"/>
                <w:lang w:eastAsia="zh-CN"/>
              </w:rPr>
              <w:t>非甲烷总烃</w:t>
            </w:r>
            <w:r>
              <w:rPr>
                <w:sz w:val="21"/>
                <w:szCs w:val="21"/>
              </w:rPr>
              <w:t>mg/m</w:t>
            </w:r>
            <w:r>
              <w:rPr>
                <w:sz w:val="21"/>
                <w:szCs w:val="21"/>
                <w:vertAlign w:val="superscript"/>
              </w:rPr>
              <w:t>3</w:t>
            </w:r>
          </w:p>
        </w:tc>
        <w:tc>
          <w:tcPr>
            <w:tcW w:w="777" w:type="pct"/>
            <w:vAlign w:val="center"/>
          </w:tcPr>
          <w:p>
            <w:pPr>
              <w:widowControl/>
              <w:spacing w:line="240" w:lineRule="auto"/>
              <w:jc w:val="center"/>
              <w:textAlignment w:val="center"/>
              <w:rPr>
                <w:sz w:val="21"/>
                <w:szCs w:val="21"/>
              </w:rPr>
            </w:pPr>
            <w:r>
              <w:rPr>
                <w:sz w:val="21"/>
                <w:szCs w:val="21"/>
              </w:rPr>
              <w:t>第一次</w:t>
            </w:r>
          </w:p>
        </w:tc>
        <w:tc>
          <w:tcPr>
            <w:tcW w:w="1625" w:type="dxa"/>
            <w:vAlign w:val="center"/>
          </w:tcPr>
          <w:p>
            <w:pPr>
              <w:spacing w:line="240" w:lineRule="auto"/>
              <w:jc w:val="center"/>
              <w:rPr>
                <w:sz w:val="21"/>
                <w:szCs w:val="21"/>
              </w:rPr>
            </w:pPr>
            <w:r>
              <w:rPr>
                <w:rFonts w:hint="eastAsia"/>
                <w:sz w:val="21"/>
                <w:szCs w:val="21"/>
                <w:lang w:val="en-US" w:eastAsia="zh-CN"/>
              </w:rPr>
              <w:t>0.54</w:t>
            </w:r>
          </w:p>
        </w:tc>
        <w:tc>
          <w:tcPr>
            <w:tcW w:w="1625" w:type="dxa"/>
            <w:vAlign w:val="center"/>
          </w:tcPr>
          <w:p>
            <w:pPr>
              <w:spacing w:line="240" w:lineRule="auto"/>
              <w:jc w:val="center"/>
              <w:rPr>
                <w:sz w:val="21"/>
                <w:szCs w:val="21"/>
              </w:rPr>
            </w:pPr>
            <w:r>
              <w:rPr>
                <w:rFonts w:hint="eastAsia"/>
                <w:sz w:val="21"/>
                <w:szCs w:val="21"/>
                <w:lang w:val="en-US" w:eastAsia="zh-CN"/>
              </w:rPr>
              <w:t>0.66</w:t>
            </w:r>
          </w:p>
        </w:tc>
        <w:tc>
          <w:tcPr>
            <w:tcW w:w="1625" w:type="dxa"/>
            <w:vAlign w:val="center"/>
          </w:tcPr>
          <w:p>
            <w:pPr>
              <w:spacing w:line="240" w:lineRule="auto"/>
              <w:jc w:val="center"/>
              <w:rPr>
                <w:sz w:val="21"/>
                <w:szCs w:val="21"/>
              </w:rPr>
            </w:pPr>
            <w:r>
              <w:rPr>
                <w:rFonts w:hint="eastAsia"/>
                <w:sz w:val="21"/>
                <w:szCs w:val="21"/>
                <w:lang w:val="en-US" w:eastAsia="zh-CN"/>
              </w:rPr>
              <w:t>0.63</w:t>
            </w:r>
          </w:p>
        </w:tc>
        <w:tc>
          <w:tcPr>
            <w:tcW w:w="1633" w:type="dxa"/>
            <w:vAlign w:val="center"/>
          </w:tcPr>
          <w:p>
            <w:pPr>
              <w:spacing w:line="240" w:lineRule="auto"/>
              <w:jc w:val="center"/>
              <w:rPr>
                <w:sz w:val="21"/>
                <w:szCs w:val="21"/>
              </w:rPr>
            </w:pPr>
            <w:r>
              <w:rPr>
                <w:rFonts w:hint="eastAsia"/>
                <w:sz w:val="21"/>
                <w:szCs w:val="21"/>
                <w:lang w:val="en-US" w:eastAsia="zh-CN"/>
              </w:rPr>
              <w:t>0.63</w:t>
            </w:r>
          </w:p>
        </w:tc>
        <w:tc>
          <w:tcPr>
            <w:tcW w:w="1056" w:type="dxa"/>
            <w:vMerge w:val="restart"/>
            <w:vAlign w:val="center"/>
          </w:tcPr>
          <w:p>
            <w:pPr>
              <w:widowControl/>
              <w:spacing w:line="240" w:lineRule="auto"/>
              <w:jc w:val="center"/>
              <w:textAlignment w:val="center"/>
              <w:rPr>
                <w:sz w:val="21"/>
                <w:szCs w:val="21"/>
              </w:rPr>
            </w:pPr>
            <w:r>
              <w:rPr>
                <w:rFonts w:hint="eastAsia"/>
                <w:sz w:val="21"/>
                <w:szCs w:val="21"/>
                <w:lang w:val="en-US" w:eastAsia="zh-CN"/>
              </w:rPr>
              <w:t>4.0</w:t>
            </w:r>
          </w:p>
        </w:tc>
        <w:tc>
          <w:tcPr>
            <w:tcW w:w="426" w:type="pct"/>
            <w:vAlign w:val="center"/>
          </w:tcPr>
          <w:p>
            <w:pPr>
              <w:widowControl/>
              <w:spacing w:line="240" w:lineRule="auto"/>
              <w:jc w:val="center"/>
              <w:textAlignment w:val="center"/>
              <w:rPr>
                <w:sz w:val="21"/>
                <w:szCs w:val="21"/>
              </w:rPr>
            </w:pPr>
            <w:r>
              <w:rPr>
                <w:rFonts w:hint="eastAsia"/>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479" w:type="pct"/>
            <w:vMerge w:val="continue"/>
            <w:vAlign w:val="center"/>
          </w:tcPr>
          <w:p>
            <w:pPr>
              <w:spacing w:line="240" w:lineRule="auto"/>
              <w:jc w:val="center"/>
              <w:rPr>
                <w:sz w:val="21"/>
                <w:szCs w:val="21"/>
              </w:rPr>
            </w:pPr>
          </w:p>
        </w:tc>
        <w:tc>
          <w:tcPr>
            <w:tcW w:w="642" w:type="pct"/>
            <w:vMerge w:val="continue"/>
            <w:vAlign w:val="center"/>
          </w:tcPr>
          <w:p>
            <w:pPr>
              <w:spacing w:line="240" w:lineRule="auto"/>
              <w:jc w:val="center"/>
              <w:rPr>
                <w:sz w:val="21"/>
                <w:szCs w:val="21"/>
              </w:rPr>
            </w:pPr>
          </w:p>
        </w:tc>
        <w:tc>
          <w:tcPr>
            <w:tcW w:w="777" w:type="pct"/>
            <w:vAlign w:val="center"/>
          </w:tcPr>
          <w:p>
            <w:pPr>
              <w:widowControl/>
              <w:spacing w:line="240" w:lineRule="auto"/>
              <w:jc w:val="center"/>
              <w:textAlignment w:val="center"/>
              <w:rPr>
                <w:sz w:val="21"/>
                <w:szCs w:val="21"/>
              </w:rPr>
            </w:pPr>
            <w:r>
              <w:rPr>
                <w:sz w:val="21"/>
                <w:szCs w:val="21"/>
              </w:rPr>
              <w:t>第二次</w:t>
            </w:r>
          </w:p>
        </w:tc>
        <w:tc>
          <w:tcPr>
            <w:tcW w:w="1625" w:type="dxa"/>
            <w:vAlign w:val="center"/>
          </w:tcPr>
          <w:p>
            <w:pPr>
              <w:spacing w:line="240" w:lineRule="auto"/>
              <w:jc w:val="center"/>
              <w:rPr>
                <w:sz w:val="21"/>
                <w:szCs w:val="21"/>
              </w:rPr>
            </w:pPr>
            <w:r>
              <w:rPr>
                <w:rFonts w:hint="eastAsia"/>
                <w:sz w:val="21"/>
                <w:szCs w:val="21"/>
                <w:lang w:val="en-US" w:eastAsia="zh-CN"/>
              </w:rPr>
              <w:t>0.57</w:t>
            </w:r>
          </w:p>
        </w:tc>
        <w:tc>
          <w:tcPr>
            <w:tcW w:w="1625" w:type="dxa"/>
            <w:vAlign w:val="center"/>
          </w:tcPr>
          <w:p>
            <w:pPr>
              <w:spacing w:line="240" w:lineRule="auto"/>
              <w:jc w:val="center"/>
              <w:rPr>
                <w:sz w:val="21"/>
                <w:szCs w:val="21"/>
              </w:rPr>
            </w:pPr>
            <w:r>
              <w:rPr>
                <w:rFonts w:hint="eastAsia"/>
                <w:sz w:val="21"/>
                <w:szCs w:val="21"/>
                <w:lang w:val="en-US" w:eastAsia="zh-CN"/>
              </w:rPr>
              <w:t>0.66</w:t>
            </w:r>
          </w:p>
        </w:tc>
        <w:tc>
          <w:tcPr>
            <w:tcW w:w="1625" w:type="dxa"/>
            <w:vAlign w:val="center"/>
          </w:tcPr>
          <w:p>
            <w:pPr>
              <w:spacing w:line="240" w:lineRule="auto"/>
              <w:jc w:val="center"/>
              <w:rPr>
                <w:sz w:val="21"/>
                <w:szCs w:val="21"/>
              </w:rPr>
            </w:pPr>
            <w:r>
              <w:rPr>
                <w:rFonts w:hint="eastAsia"/>
                <w:sz w:val="21"/>
                <w:szCs w:val="21"/>
                <w:lang w:val="en-US" w:eastAsia="zh-CN"/>
              </w:rPr>
              <w:t>0.65</w:t>
            </w:r>
          </w:p>
        </w:tc>
        <w:tc>
          <w:tcPr>
            <w:tcW w:w="1633" w:type="dxa"/>
            <w:vAlign w:val="center"/>
          </w:tcPr>
          <w:p>
            <w:pPr>
              <w:spacing w:line="240" w:lineRule="auto"/>
              <w:jc w:val="center"/>
              <w:rPr>
                <w:sz w:val="21"/>
                <w:szCs w:val="21"/>
              </w:rPr>
            </w:pPr>
            <w:r>
              <w:rPr>
                <w:rFonts w:hint="eastAsia"/>
                <w:sz w:val="21"/>
                <w:szCs w:val="21"/>
                <w:lang w:val="en-US" w:eastAsia="zh-CN"/>
              </w:rPr>
              <w:t>0.60</w:t>
            </w:r>
          </w:p>
        </w:tc>
        <w:tc>
          <w:tcPr>
            <w:tcW w:w="373" w:type="pct"/>
            <w:vMerge w:val="continue"/>
            <w:vAlign w:val="center"/>
          </w:tcPr>
          <w:p>
            <w:pPr>
              <w:widowControl/>
              <w:spacing w:line="240" w:lineRule="auto"/>
              <w:jc w:val="center"/>
              <w:textAlignment w:val="center"/>
              <w:rPr>
                <w:sz w:val="21"/>
                <w:szCs w:val="21"/>
              </w:rPr>
            </w:pPr>
          </w:p>
        </w:tc>
        <w:tc>
          <w:tcPr>
            <w:tcW w:w="426" w:type="pct"/>
            <w:vAlign w:val="center"/>
          </w:tcPr>
          <w:p>
            <w:pPr>
              <w:widowControl/>
              <w:spacing w:line="240" w:lineRule="auto"/>
              <w:jc w:val="center"/>
              <w:textAlignment w:val="center"/>
              <w:rPr>
                <w:sz w:val="21"/>
                <w:szCs w:val="21"/>
              </w:rPr>
            </w:pPr>
            <w:r>
              <w:rPr>
                <w:rFonts w:hint="eastAsia"/>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479" w:type="pct"/>
            <w:vMerge w:val="continue"/>
            <w:vAlign w:val="center"/>
          </w:tcPr>
          <w:p>
            <w:pPr>
              <w:spacing w:line="240" w:lineRule="auto"/>
              <w:jc w:val="center"/>
              <w:rPr>
                <w:sz w:val="21"/>
                <w:szCs w:val="21"/>
              </w:rPr>
            </w:pPr>
          </w:p>
        </w:tc>
        <w:tc>
          <w:tcPr>
            <w:tcW w:w="642" w:type="pct"/>
            <w:vMerge w:val="continue"/>
            <w:vAlign w:val="center"/>
          </w:tcPr>
          <w:p>
            <w:pPr>
              <w:spacing w:line="240" w:lineRule="auto"/>
              <w:jc w:val="center"/>
              <w:rPr>
                <w:sz w:val="21"/>
                <w:szCs w:val="21"/>
              </w:rPr>
            </w:pPr>
          </w:p>
        </w:tc>
        <w:tc>
          <w:tcPr>
            <w:tcW w:w="777" w:type="pct"/>
            <w:vAlign w:val="center"/>
          </w:tcPr>
          <w:p>
            <w:pPr>
              <w:spacing w:line="240" w:lineRule="auto"/>
              <w:jc w:val="center"/>
              <w:rPr>
                <w:sz w:val="21"/>
                <w:szCs w:val="21"/>
              </w:rPr>
            </w:pPr>
            <w:r>
              <w:rPr>
                <w:sz w:val="21"/>
                <w:szCs w:val="21"/>
              </w:rPr>
              <w:t>第三次</w:t>
            </w:r>
          </w:p>
        </w:tc>
        <w:tc>
          <w:tcPr>
            <w:tcW w:w="1625" w:type="dxa"/>
            <w:vAlign w:val="center"/>
          </w:tcPr>
          <w:p>
            <w:pPr>
              <w:spacing w:line="240" w:lineRule="auto"/>
              <w:jc w:val="center"/>
              <w:rPr>
                <w:sz w:val="21"/>
                <w:szCs w:val="21"/>
              </w:rPr>
            </w:pPr>
            <w:r>
              <w:rPr>
                <w:rFonts w:hint="eastAsia"/>
                <w:sz w:val="21"/>
                <w:szCs w:val="21"/>
                <w:lang w:val="en-US" w:eastAsia="zh-CN"/>
              </w:rPr>
              <w:t>0.54</w:t>
            </w:r>
          </w:p>
        </w:tc>
        <w:tc>
          <w:tcPr>
            <w:tcW w:w="1625" w:type="dxa"/>
            <w:vAlign w:val="center"/>
          </w:tcPr>
          <w:p>
            <w:pPr>
              <w:spacing w:line="240" w:lineRule="auto"/>
              <w:jc w:val="center"/>
              <w:rPr>
                <w:sz w:val="21"/>
                <w:szCs w:val="21"/>
              </w:rPr>
            </w:pPr>
            <w:r>
              <w:rPr>
                <w:rFonts w:hint="eastAsia"/>
                <w:sz w:val="21"/>
                <w:szCs w:val="21"/>
                <w:lang w:val="en-US" w:eastAsia="zh-CN"/>
              </w:rPr>
              <w:t>0.65</w:t>
            </w:r>
          </w:p>
        </w:tc>
        <w:tc>
          <w:tcPr>
            <w:tcW w:w="1625" w:type="dxa"/>
            <w:vAlign w:val="center"/>
          </w:tcPr>
          <w:p>
            <w:pPr>
              <w:spacing w:line="240" w:lineRule="auto"/>
              <w:jc w:val="center"/>
              <w:rPr>
                <w:sz w:val="21"/>
                <w:szCs w:val="21"/>
              </w:rPr>
            </w:pPr>
            <w:r>
              <w:rPr>
                <w:rFonts w:hint="eastAsia"/>
                <w:sz w:val="21"/>
                <w:szCs w:val="21"/>
                <w:lang w:val="en-US" w:eastAsia="zh-CN"/>
              </w:rPr>
              <w:t>0.66</w:t>
            </w:r>
          </w:p>
        </w:tc>
        <w:tc>
          <w:tcPr>
            <w:tcW w:w="1633" w:type="dxa"/>
            <w:vAlign w:val="center"/>
          </w:tcPr>
          <w:p>
            <w:pPr>
              <w:spacing w:line="240" w:lineRule="auto"/>
              <w:jc w:val="center"/>
              <w:rPr>
                <w:sz w:val="21"/>
                <w:szCs w:val="21"/>
              </w:rPr>
            </w:pPr>
            <w:r>
              <w:rPr>
                <w:rFonts w:hint="eastAsia"/>
                <w:sz w:val="21"/>
                <w:szCs w:val="21"/>
                <w:lang w:val="en-US" w:eastAsia="zh-CN"/>
              </w:rPr>
              <w:t>0.68</w:t>
            </w:r>
          </w:p>
        </w:tc>
        <w:tc>
          <w:tcPr>
            <w:tcW w:w="373" w:type="pct"/>
            <w:vMerge w:val="continue"/>
            <w:vAlign w:val="center"/>
          </w:tcPr>
          <w:p>
            <w:pPr>
              <w:widowControl/>
              <w:spacing w:line="240" w:lineRule="auto"/>
              <w:jc w:val="center"/>
              <w:textAlignment w:val="center"/>
              <w:rPr>
                <w:sz w:val="21"/>
                <w:szCs w:val="21"/>
              </w:rPr>
            </w:pPr>
          </w:p>
        </w:tc>
        <w:tc>
          <w:tcPr>
            <w:tcW w:w="426" w:type="pct"/>
            <w:vAlign w:val="center"/>
          </w:tcPr>
          <w:p>
            <w:pPr>
              <w:widowControl/>
              <w:spacing w:line="240" w:lineRule="auto"/>
              <w:jc w:val="center"/>
              <w:textAlignment w:val="center"/>
              <w:rPr>
                <w:sz w:val="21"/>
                <w:szCs w:val="21"/>
              </w:rPr>
            </w:pPr>
            <w:r>
              <w:rPr>
                <w:rFonts w:hint="eastAsia"/>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479" w:type="pct"/>
            <w:vMerge w:val="continue"/>
            <w:vAlign w:val="center"/>
          </w:tcPr>
          <w:p>
            <w:pPr>
              <w:spacing w:line="240" w:lineRule="auto"/>
              <w:jc w:val="center"/>
              <w:rPr>
                <w:sz w:val="21"/>
                <w:szCs w:val="21"/>
              </w:rPr>
            </w:pPr>
          </w:p>
        </w:tc>
        <w:tc>
          <w:tcPr>
            <w:tcW w:w="642" w:type="pct"/>
            <w:vMerge w:val="continue"/>
            <w:vAlign w:val="center"/>
          </w:tcPr>
          <w:p>
            <w:pPr>
              <w:spacing w:line="240" w:lineRule="auto"/>
              <w:jc w:val="center"/>
              <w:rPr>
                <w:sz w:val="21"/>
                <w:szCs w:val="21"/>
              </w:rPr>
            </w:pPr>
          </w:p>
        </w:tc>
        <w:tc>
          <w:tcPr>
            <w:tcW w:w="777" w:type="pct"/>
            <w:vAlign w:val="center"/>
          </w:tcPr>
          <w:p>
            <w:pPr>
              <w:widowControl/>
              <w:spacing w:line="240" w:lineRule="auto"/>
              <w:jc w:val="center"/>
              <w:textAlignment w:val="center"/>
              <w:rPr>
                <w:sz w:val="21"/>
                <w:szCs w:val="21"/>
              </w:rPr>
            </w:pPr>
            <w:r>
              <w:rPr>
                <w:sz w:val="21"/>
                <w:szCs w:val="21"/>
              </w:rPr>
              <w:t>第</w:t>
            </w:r>
            <w:r>
              <w:rPr>
                <w:rFonts w:hint="eastAsia"/>
                <w:sz w:val="21"/>
                <w:szCs w:val="21"/>
              </w:rPr>
              <w:t>四</w:t>
            </w:r>
            <w:r>
              <w:rPr>
                <w:sz w:val="21"/>
                <w:szCs w:val="21"/>
              </w:rPr>
              <w:t>次</w:t>
            </w:r>
          </w:p>
        </w:tc>
        <w:tc>
          <w:tcPr>
            <w:tcW w:w="1625" w:type="dxa"/>
            <w:vAlign w:val="center"/>
          </w:tcPr>
          <w:p>
            <w:pPr>
              <w:spacing w:line="240" w:lineRule="auto"/>
              <w:jc w:val="center"/>
              <w:rPr>
                <w:sz w:val="21"/>
                <w:szCs w:val="21"/>
              </w:rPr>
            </w:pPr>
            <w:r>
              <w:rPr>
                <w:rFonts w:hint="eastAsia"/>
                <w:sz w:val="21"/>
                <w:szCs w:val="21"/>
                <w:lang w:val="en-US" w:eastAsia="zh-CN"/>
              </w:rPr>
              <w:t>0.57</w:t>
            </w:r>
          </w:p>
        </w:tc>
        <w:tc>
          <w:tcPr>
            <w:tcW w:w="1625" w:type="dxa"/>
            <w:vAlign w:val="center"/>
          </w:tcPr>
          <w:p>
            <w:pPr>
              <w:spacing w:line="240" w:lineRule="auto"/>
              <w:jc w:val="center"/>
              <w:rPr>
                <w:sz w:val="21"/>
                <w:szCs w:val="21"/>
              </w:rPr>
            </w:pPr>
            <w:r>
              <w:rPr>
                <w:rFonts w:hint="eastAsia"/>
                <w:sz w:val="21"/>
                <w:szCs w:val="21"/>
                <w:lang w:val="en-US" w:eastAsia="zh-CN"/>
              </w:rPr>
              <w:t>0.65</w:t>
            </w:r>
          </w:p>
        </w:tc>
        <w:tc>
          <w:tcPr>
            <w:tcW w:w="1625" w:type="dxa"/>
            <w:vAlign w:val="center"/>
          </w:tcPr>
          <w:p>
            <w:pPr>
              <w:spacing w:line="240" w:lineRule="auto"/>
              <w:jc w:val="center"/>
              <w:rPr>
                <w:sz w:val="21"/>
                <w:szCs w:val="21"/>
              </w:rPr>
            </w:pPr>
            <w:r>
              <w:rPr>
                <w:rFonts w:hint="eastAsia"/>
                <w:sz w:val="21"/>
                <w:szCs w:val="21"/>
                <w:lang w:val="en-US" w:eastAsia="zh-CN"/>
              </w:rPr>
              <w:t>0.66</w:t>
            </w:r>
          </w:p>
        </w:tc>
        <w:tc>
          <w:tcPr>
            <w:tcW w:w="1633" w:type="dxa"/>
            <w:vAlign w:val="center"/>
          </w:tcPr>
          <w:p>
            <w:pPr>
              <w:spacing w:line="240" w:lineRule="auto"/>
              <w:jc w:val="center"/>
              <w:rPr>
                <w:sz w:val="21"/>
                <w:szCs w:val="21"/>
              </w:rPr>
            </w:pPr>
            <w:r>
              <w:rPr>
                <w:rFonts w:hint="eastAsia"/>
                <w:sz w:val="21"/>
                <w:szCs w:val="21"/>
                <w:lang w:val="en-US" w:eastAsia="zh-CN"/>
              </w:rPr>
              <w:t>0.60</w:t>
            </w:r>
          </w:p>
        </w:tc>
        <w:tc>
          <w:tcPr>
            <w:tcW w:w="373" w:type="pct"/>
            <w:vMerge w:val="continue"/>
            <w:vAlign w:val="center"/>
          </w:tcPr>
          <w:p>
            <w:pPr>
              <w:widowControl/>
              <w:spacing w:line="240" w:lineRule="auto"/>
              <w:jc w:val="center"/>
              <w:textAlignment w:val="center"/>
              <w:rPr>
                <w:sz w:val="21"/>
                <w:szCs w:val="21"/>
              </w:rPr>
            </w:pPr>
          </w:p>
        </w:tc>
        <w:tc>
          <w:tcPr>
            <w:tcW w:w="426" w:type="pct"/>
            <w:vAlign w:val="center"/>
          </w:tcPr>
          <w:p>
            <w:pPr>
              <w:widowControl/>
              <w:spacing w:line="240" w:lineRule="auto"/>
              <w:jc w:val="center"/>
              <w:textAlignment w:val="center"/>
              <w:rPr>
                <w:sz w:val="21"/>
                <w:szCs w:val="21"/>
              </w:rPr>
            </w:pPr>
            <w:r>
              <w:rPr>
                <w:rFonts w:hint="eastAsia"/>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1121" w:type="pct"/>
            <w:gridSpan w:val="2"/>
            <w:vAlign w:val="center"/>
          </w:tcPr>
          <w:p>
            <w:pPr>
              <w:spacing w:line="240" w:lineRule="auto"/>
              <w:jc w:val="center"/>
              <w:rPr>
                <w:sz w:val="21"/>
                <w:szCs w:val="21"/>
              </w:rPr>
            </w:pPr>
            <w:r>
              <w:rPr>
                <w:rFonts w:hint="eastAsia"/>
                <w:sz w:val="21"/>
                <w:szCs w:val="21"/>
              </w:rPr>
              <w:t>备注</w:t>
            </w:r>
          </w:p>
        </w:tc>
        <w:tc>
          <w:tcPr>
            <w:tcW w:w="3878" w:type="pct"/>
            <w:gridSpan w:val="7"/>
            <w:vAlign w:val="center"/>
          </w:tcPr>
          <w:p>
            <w:pPr>
              <w:spacing w:line="240" w:lineRule="auto"/>
              <w:jc w:val="center"/>
              <w:rPr>
                <w:rFonts w:hint="eastAsia"/>
                <w:sz w:val="21"/>
                <w:szCs w:val="21"/>
                <w:lang w:val="en-US" w:eastAsia="zh-CN"/>
              </w:rPr>
            </w:pPr>
            <w:r>
              <w:rPr>
                <w:rFonts w:hint="eastAsia"/>
                <w:sz w:val="21"/>
                <w:szCs w:val="21"/>
                <w:lang w:val="en-US" w:eastAsia="zh-CN"/>
              </w:rPr>
              <w:t>1、2022.12.13：天气晴，</w:t>
            </w:r>
            <w:r>
              <w:rPr>
                <w:rFonts w:hint="default"/>
                <w:sz w:val="21"/>
                <w:szCs w:val="21"/>
                <w:lang w:val="en-US" w:eastAsia="zh-CN"/>
              </w:rPr>
              <w:t>风向为</w:t>
            </w:r>
            <w:r>
              <w:rPr>
                <w:rFonts w:hint="eastAsia"/>
                <w:sz w:val="21"/>
                <w:szCs w:val="21"/>
                <w:lang w:val="en-US" w:eastAsia="zh-CN"/>
              </w:rPr>
              <w:t>东南风</w:t>
            </w:r>
            <w:r>
              <w:rPr>
                <w:rFonts w:hint="default"/>
                <w:sz w:val="21"/>
                <w:szCs w:val="21"/>
                <w:lang w:val="en-US" w:eastAsia="zh-CN"/>
              </w:rPr>
              <w:t>，风速</w:t>
            </w:r>
            <w:r>
              <w:rPr>
                <w:rFonts w:hint="eastAsia"/>
                <w:sz w:val="21"/>
                <w:szCs w:val="21"/>
                <w:lang w:val="en-US" w:eastAsia="zh-CN"/>
              </w:rPr>
              <w:t>范围</w:t>
            </w:r>
            <w:r>
              <w:rPr>
                <w:rFonts w:hint="default"/>
                <w:sz w:val="21"/>
                <w:szCs w:val="21"/>
                <w:lang w:val="en-US" w:eastAsia="zh-CN"/>
              </w:rPr>
              <w:t>为</w:t>
            </w:r>
            <w:r>
              <w:rPr>
                <w:rFonts w:hint="eastAsia"/>
                <w:sz w:val="21"/>
                <w:szCs w:val="21"/>
                <w:lang w:val="en-US" w:eastAsia="zh-CN"/>
              </w:rPr>
              <w:t>1.6</w:t>
            </w:r>
            <w:r>
              <w:rPr>
                <w:rFonts w:hint="default"/>
                <w:sz w:val="21"/>
                <w:szCs w:val="21"/>
                <w:lang w:val="en-US" w:eastAsia="zh-CN"/>
              </w:rPr>
              <w:t>m/s</w:t>
            </w:r>
            <w:r>
              <w:rPr>
                <w:rFonts w:hint="eastAsia"/>
                <w:sz w:val="21"/>
                <w:szCs w:val="21"/>
                <w:lang w:val="en-US" w:eastAsia="zh-CN"/>
              </w:rPr>
              <w:t>-2.2</w:t>
            </w:r>
            <w:r>
              <w:rPr>
                <w:rFonts w:hint="default"/>
                <w:sz w:val="21"/>
                <w:szCs w:val="21"/>
                <w:lang w:val="en-US" w:eastAsia="zh-CN"/>
              </w:rPr>
              <w:t>m/s</w:t>
            </w:r>
            <w:r>
              <w:rPr>
                <w:rFonts w:hint="eastAsia"/>
                <w:sz w:val="21"/>
                <w:szCs w:val="21"/>
                <w:lang w:val="en-US" w:eastAsia="zh-CN"/>
              </w:rPr>
              <w:t>；</w:t>
            </w:r>
          </w:p>
          <w:p>
            <w:pPr>
              <w:spacing w:line="240" w:lineRule="auto"/>
              <w:jc w:val="center"/>
              <w:rPr>
                <w:sz w:val="21"/>
                <w:szCs w:val="21"/>
              </w:rPr>
            </w:pPr>
            <w:r>
              <w:rPr>
                <w:rFonts w:hint="eastAsia"/>
                <w:sz w:val="21"/>
                <w:szCs w:val="21"/>
                <w:lang w:val="en-US" w:eastAsia="zh-CN"/>
              </w:rPr>
              <w:t>2、2022.12.14：天气晴，</w:t>
            </w:r>
            <w:r>
              <w:rPr>
                <w:rFonts w:hint="default"/>
                <w:sz w:val="21"/>
                <w:szCs w:val="21"/>
                <w:lang w:val="en-US" w:eastAsia="zh-CN"/>
              </w:rPr>
              <w:t>风向为</w:t>
            </w:r>
            <w:r>
              <w:rPr>
                <w:rFonts w:hint="eastAsia"/>
                <w:sz w:val="21"/>
                <w:szCs w:val="21"/>
                <w:lang w:val="en-US" w:eastAsia="zh-CN"/>
              </w:rPr>
              <w:t>西南风</w:t>
            </w:r>
            <w:r>
              <w:rPr>
                <w:rFonts w:hint="default"/>
                <w:sz w:val="21"/>
                <w:szCs w:val="21"/>
                <w:lang w:val="en-US" w:eastAsia="zh-CN"/>
              </w:rPr>
              <w:t>，风速</w:t>
            </w:r>
            <w:r>
              <w:rPr>
                <w:rFonts w:hint="eastAsia"/>
                <w:sz w:val="21"/>
                <w:szCs w:val="21"/>
                <w:lang w:val="en-US" w:eastAsia="zh-CN"/>
              </w:rPr>
              <w:t>范围</w:t>
            </w:r>
            <w:r>
              <w:rPr>
                <w:rFonts w:hint="default"/>
                <w:sz w:val="21"/>
                <w:szCs w:val="21"/>
                <w:lang w:val="en-US" w:eastAsia="zh-CN"/>
              </w:rPr>
              <w:t>为</w:t>
            </w:r>
            <w:r>
              <w:rPr>
                <w:rFonts w:hint="eastAsia"/>
                <w:sz w:val="21"/>
                <w:szCs w:val="21"/>
                <w:lang w:val="en-US" w:eastAsia="zh-CN"/>
              </w:rPr>
              <w:t>1.3</w:t>
            </w:r>
            <w:r>
              <w:rPr>
                <w:rFonts w:hint="default"/>
                <w:sz w:val="21"/>
                <w:szCs w:val="21"/>
                <w:lang w:val="en-US" w:eastAsia="zh-CN"/>
              </w:rPr>
              <w:t>m/s</w:t>
            </w:r>
            <w:r>
              <w:rPr>
                <w:rFonts w:hint="eastAsia"/>
                <w:sz w:val="21"/>
                <w:szCs w:val="21"/>
                <w:lang w:val="en-US" w:eastAsia="zh-CN"/>
              </w:rPr>
              <w:t>-1.7</w:t>
            </w:r>
            <w:r>
              <w:rPr>
                <w:rFonts w:hint="default"/>
                <w:sz w:val="21"/>
                <w:szCs w:val="21"/>
                <w:lang w:val="en-US" w:eastAsia="zh-CN"/>
              </w:rPr>
              <w:t>m/s</w:t>
            </w:r>
            <w:r>
              <w:rPr>
                <w:rFonts w:hint="eastAsia"/>
                <w:sz w:val="21"/>
                <w:szCs w:val="21"/>
                <w:lang w:val="en-US" w:eastAsia="zh-CN"/>
              </w:rPr>
              <w:t>；</w:t>
            </w:r>
          </w:p>
        </w:tc>
      </w:tr>
    </w:tbl>
    <w:p>
      <w:pPr>
        <w:ind w:firstLine="480" w:firstLineChars="200"/>
      </w:pPr>
    </w:p>
    <w:p>
      <w:pPr>
        <w:ind w:firstLine="480" w:firstLineChars="200"/>
      </w:pPr>
      <w:r>
        <w:t>根据监测结果可知，本次验收监测</w:t>
      </w:r>
      <w:r>
        <w:rPr>
          <w:rFonts w:hint="eastAsia"/>
        </w:rPr>
        <w:t>期间，</w:t>
      </w:r>
      <w:r>
        <w:t>厂界</w:t>
      </w:r>
      <w:r>
        <w:rPr>
          <w:rFonts w:hint="eastAsia"/>
          <w:lang w:eastAsia="zh-CN"/>
        </w:rPr>
        <w:t>无组织废气</w:t>
      </w:r>
      <w:r>
        <w:t>排放</w:t>
      </w:r>
      <w:r>
        <w:rPr>
          <w:rFonts w:hint="eastAsia"/>
          <w:lang w:eastAsia="zh-CN"/>
        </w:rPr>
        <w:t>执行</w:t>
      </w:r>
      <w:r>
        <w:t>《大气污染物综合排放标准》(GB16297-1996)</w:t>
      </w:r>
      <w:r>
        <w:rPr>
          <w:rFonts w:hint="eastAsia"/>
          <w:lang w:eastAsia="zh-CN"/>
        </w:rPr>
        <w:t>限值</w:t>
      </w:r>
      <w:r>
        <w:rPr>
          <w:rFonts w:hint="eastAsia"/>
        </w:rPr>
        <w:t>。</w:t>
      </w:r>
    </w:p>
    <w:p>
      <w:pPr>
        <w:ind w:firstLine="480" w:firstLineChars="200"/>
        <w:sectPr>
          <w:pgSz w:w="16840" w:h="11907" w:orient="landscape"/>
          <w:pgMar w:top="1440" w:right="1800" w:bottom="1440" w:left="1800" w:header="851" w:footer="851" w:gutter="0"/>
          <w:pgNumType w:fmt="decimal"/>
          <w:cols w:space="720" w:num="1"/>
          <w:docGrid w:linePitch="395" w:charSpace="0"/>
        </w:sectPr>
      </w:pPr>
    </w:p>
    <w:p>
      <w:pPr>
        <w:pStyle w:val="7"/>
        <w:keepNext/>
        <w:keepLines/>
        <w:pageBreakBefore w:val="0"/>
        <w:widowControl w:val="0"/>
        <w:kinsoku/>
        <w:wordWrap/>
        <w:overflowPunct/>
        <w:topLinePunct w:val="0"/>
        <w:autoSpaceDE/>
        <w:autoSpaceDN/>
        <w:bidi w:val="0"/>
        <w:adjustRightInd/>
        <w:snapToGrid/>
        <w:spacing w:beforeLines="0" w:afterLines="0"/>
        <w:ind w:firstLine="301"/>
        <w:textAlignment w:val="auto"/>
        <w:rPr>
          <w:sz w:val="30"/>
          <w:szCs w:val="30"/>
        </w:rPr>
      </w:pPr>
      <w:bookmarkStart w:id="128" w:name="_Toc25314"/>
      <w:r>
        <w:rPr>
          <w:rFonts w:hint="eastAsia"/>
          <w:sz w:val="30"/>
          <w:szCs w:val="30"/>
        </w:rPr>
        <w:t>9</w:t>
      </w:r>
      <w:r>
        <w:rPr>
          <w:sz w:val="30"/>
          <w:szCs w:val="30"/>
        </w:rPr>
        <w:t>.</w:t>
      </w:r>
      <w:r>
        <w:rPr>
          <w:rFonts w:hint="eastAsia"/>
          <w:sz w:val="30"/>
          <w:szCs w:val="30"/>
        </w:rPr>
        <w:t>2</w:t>
      </w:r>
      <w:r>
        <w:rPr>
          <w:sz w:val="30"/>
          <w:szCs w:val="30"/>
        </w:rPr>
        <w:t>.</w:t>
      </w:r>
      <w:r>
        <w:rPr>
          <w:rFonts w:hint="eastAsia"/>
          <w:sz w:val="30"/>
          <w:szCs w:val="30"/>
          <w:lang w:val="en-US" w:eastAsia="zh-CN"/>
        </w:rPr>
        <w:t>2</w:t>
      </w:r>
      <w:r>
        <w:rPr>
          <w:rFonts w:hint="eastAsia"/>
          <w:sz w:val="30"/>
          <w:szCs w:val="30"/>
        </w:rPr>
        <w:t>厂界噪声</w:t>
      </w:r>
      <w:bookmarkEnd w:id="128"/>
    </w:p>
    <w:p>
      <w:pPr>
        <w:ind w:firstLine="480" w:firstLineChars="200"/>
        <w:jc w:val="left"/>
        <w:rPr>
          <w:b/>
          <w:bCs/>
          <w:szCs w:val="21"/>
        </w:rPr>
      </w:pPr>
      <w:r>
        <w:t>本次验收监测项目厂界噪声监测</w:t>
      </w:r>
      <w:r>
        <w:rPr>
          <w:bCs/>
          <w:kern w:val="0"/>
          <w:szCs w:val="20"/>
        </w:rPr>
        <w:t>情况如下所示。</w:t>
      </w:r>
    </w:p>
    <w:p>
      <w:pPr>
        <w:jc w:val="center"/>
        <w:rPr>
          <w:rFonts w:hint="eastAsia" w:ascii="Times New Roman" w:hAnsi="Times New Roman" w:eastAsia="黑体" w:cs="Times New Roman"/>
          <w:b w:val="0"/>
          <w:bCs w:val="0"/>
          <w:sz w:val="21"/>
          <w:szCs w:val="21"/>
          <w:lang w:val="en-US" w:eastAsia="zh-CN"/>
        </w:rPr>
      </w:pPr>
      <w:r>
        <w:rPr>
          <w:rFonts w:hint="eastAsia" w:ascii="Times New Roman" w:hAnsi="Times New Roman" w:eastAsia="黑体" w:cs="Times New Roman"/>
          <w:b w:val="0"/>
          <w:bCs w:val="0"/>
          <w:sz w:val="21"/>
          <w:szCs w:val="21"/>
          <w:lang w:val="en-US" w:eastAsia="zh-CN"/>
        </w:rPr>
        <w:t>表9.2-3 噪声监测结果统计表</w:t>
      </w:r>
    </w:p>
    <w:tbl>
      <w:tblPr>
        <w:tblStyle w:val="19"/>
        <w:tblW w:w="86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0000"/>
        <w:tblLayout w:type="fixed"/>
        <w:tblCellMar>
          <w:top w:w="0" w:type="dxa"/>
          <w:left w:w="108" w:type="dxa"/>
          <w:bottom w:w="0" w:type="dxa"/>
          <w:right w:w="108" w:type="dxa"/>
        </w:tblCellMar>
      </w:tblPr>
      <w:tblGrid>
        <w:gridCol w:w="991"/>
        <w:gridCol w:w="2250"/>
        <w:gridCol w:w="1582"/>
        <w:gridCol w:w="1232"/>
        <w:gridCol w:w="1521"/>
        <w:gridCol w:w="1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0000"/>
          <w:tblCellMar>
            <w:top w:w="0" w:type="dxa"/>
            <w:left w:w="108" w:type="dxa"/>
            <w:bottom w:w="0" w:type="dxa"/>
            <w:right w:w="108" w:type="dxa"/>
          </w:tblCellMar>
        </w:tblPrEx>
        <w:trPr>
          <w:trHeight w:val="614" w:hRule="atLeast"/>
        </w:trPr>
        <w:tc>
          <w:tcPr>
            <w:tcW w:w="991" w:type="dxa"/>
            <w:vMerge w:val="restart"/>
            <w:shd w:val="clear" w:color="auto" w:fill="auto"/>
            <w:vAlign w:val="center"/>
          </w:tcPr>
          <w:p>
            <w:pPr>
              <w:spacing w:line="240" w:lineRule="auto"/>
              <w:jc w:val="center"/>
              <w:rPr>
                <w:b/>
                <w:bCs/>
                <w:sz w:val="21"/>
                <w:szCs w:val="21"/>
              </w:rPr>
            </w:pPr>
            <w:r>
              <w:rPr>
                <w:b/>
                <w:bCs/>
                <w:sz w:val="21"/>
                <w:szCs w:val="21"/>
              </w:rPr>
              <w:t>类别</w:t>
            </w:r>
          </w:p>
        </w:tc>
        <w:tc>
          <w:tcPr>
            <w:tcW w:w="2250" w:type="dxa"/>
            <w:vMerge w:val="restart"/>
            <w:shd w:val="clear" w:color="auto" w:fill="auto"/>
            <w:vAlign w:val="center"/>
            <mc:AlternateContent>
              <mc:Choice Requires="wpsCustomData">
                <wpsCustomData:diagonals>
                  <wpsCustomData:diagonal from="10000" to="30000">
                    <wpsCustomData:border w:val="single" w:color="auto" w:sz="4" w:space="0"/>
                  </wpsCustomData:diagonal>
                </wpsCustomData:diagonals>
              </mc:Choice>
            </mc:AlternateContent>
          </w:tcPr>
          <w:p>
            <w:pPr>
              <w:snapToGrid w:val="0"/>
              <w:spacing w:line="240" w:lineRule="auto"/>
              <w:jc w:val="center"/>
              <w:rPr>
                <w:b/>
                <w:bCs/>
                <w:color w:val="auto"/>
                <w:sz w:val="21"/>
                <w:szCs w:val="21"/>
              </w:rPr>
            </w:pPr>
          </w:p>
          <w:p>
            <w:pPr>
              <w:snapToGrid w:val="0"/>
              <w:spacing w:line="240" w:lineRule="auto"/>
              <w:jc w:val="right"/>
              <w:rPr>
                <w:b/>
                <w:bCs/>
                <w:color w:val="auto"/>
                <w:sz w:val="21"/>
                <w:szCs w:val="21"/>
              </w:rPr>
            </w:pPr>
          </w:p>
          <w:p>
            <w:pPr>
              <w:snapToGrid w:val="0"/>
              <w:spacing w:line="240" w:lineRule="auto"/>
              <w:jc w:val="right"/>
              <mc:AlternateContent>
                <mc:Choice Requires="wpsCustomData">
                  <wpsCustomData:diagonalParaType/>
                </mc:Choice>
              </mc:AlternateContent>
              <w:rPr>
                <w:rFonts w:hint="eastAsia" w:eastAsia="宋体"/>
                <w:b/>
                <w:bCs/>
                <w:color w:val="FF0000"/>
                <w:sz w:val="21"/>
                <w:szCs w:val="21"/>
                <w:lang w:eastAsia="zh-CN"/>
              </w:rPr>
            </w:pPr>
            <w:r>
              <w:rPr>
                <w:b/>
                <w:bCs/>
                <w:color w:val="auto"/>
                <w:sz w:val="21"/>
                <w:szCs w:val="21"/>
              </w:rPr>
              <w:t>监测</w:t>
            </w:r>
            <w:r>
              <w:rPr>
                <w:rFonts w:hint="eastAsia"/>
                <w:b/>
                <w:bCs/>
                <w:color w:val="auto"/>
                <w:sz w:val="21"/>
                <w:szCs w:val="21"/>
                <w:lang w:eastAsia="zh-CN"/>
              </w:rPr>
              <w:t>点位</w:t>
            </w:r>
          </w:p>
          <w:p>
            <w:pPr>
              <w:snapToGrid w:val="0"/>
              <w:spacing w:line="240" w:lineRule="auto"/>
              <w:jc w:val="left"/>
              <w:rPr>
                <w:rFonts w:hint="eastAsia" w:eastAsia="宋体"/>
                <w:b/>
                <w:bCs/>
                <w:color w:val="auto"/>
                <w:sz w:val="21"/>
                <w:szCs w:val="21"/>
                <w:lang w:eastAsia="zh-CN"/>
              </w:rPr>
            </w:pPr>
            <w:r>
              <w:rPr>
                <w:rFonts w:hint="eastAsia"/>
                <w:b/>
                <w:bCs/>
                <w:color w:val="auto"/>
                <w:sz w:val="21"/>
                <w:szCs w:val="21"/>
              </w:rPr>
              <w:t>监测</w:t>
            </w:r>
            <w:r>
              <w:rPr>
                <w:rFonts w:hint="eastAsia"/>
                <w:b/>
                <w:bCs/>
                <w:color w:val="auto"/>
                <w:sz w:val="21"/>
                <w:szCs w:val="21"/>
                <w:lang w:eastAsia="zh-CN"/>
              </w:rPr>
              <w:t>日期</w:t>
            </w:r>
          </w:p>
          <w:p>
            <w:pPr>
              <w:spacing w:line="240" w:lineRule="auto"/>
              <w:jc w:val="right"/>
              <w:rPr>
                <w:rFonts w:hint="eastAsia" w:eastAsia="宋体"/>
                <w:b/>
                <w:bCs/>
                <w:color w:val="FF0000"/>
                <w:sz w:val="21"/>
                <w:szCs w:val="21"/>
                <w:lang w:eastAsia="zh-CN"/>
              </w:rPr>
            </w:pPr>
          </w:p>
        </w:tc>
        <w:tc>
          <w:tcPr>
            <w:tcW w:w="2814" w:type="dxa"/>
            <w:gridSpan w:val="2"/>
            <w:shd w:val="clear" w:color="auto" w:fill="auto"/>
            <w:vAlign w:val="center"/>
          </w:tcPr>
          <w:p>
            <w:pPr>
              <w:spacing w:line="240" w:lineRule="auto"/>
              <w:jc w:val="center"/>
              <w:rPr>
                <w:rFonts w:hint="default" w:eastAsia="宋体"/>
                <w:b/>
                <w:bCs/>
                <w:sz w:val="21"/>
                <w:szCs w:val="21"/>
                <w:lang w:val="en-US" w:eastAsia="zh-CN"/>
              </w:rPr>
            </w:pPr>
            <w:r>
              <w:rPr>
                <w:sz w:val="21"/>
                <w:szCs w:val="21"/>
              </w:rPr>
              <w:t>2022.</w:t>
            </w:r>
            <w:r>
              <w:rPr>
                <w:rFonts w:hint="eastAsia"/>
                <w:sz w:val="21"/>
                <w:szCs w:val="21"/>
                <w:lang w:val="en-US" w:eastAsia="zh-CN"/>
              </w:rPr>
              <w:t>12</w:t>
            </w:r>
            <w:r>
              <w:rPr>
                <w:sz w:val="21"/>
                <w:szCs w:val="21"/>
              </w:rPr>
              <w:t>.</w:t>
            </w:r>
            <w:r>
              <w:rPr>
                <w:rFonts w:hint="eastAsia"/>
                <w:sz w:val="21"/>
                <w:szCs w:val="21"/>
                <w:lang w:val="en-US" w:eastAsia="zh-CN"/>
              </w:rPr>
              <w:t>13</w:t>
            </w:r>
          </w:p>
        </w:tc>
        <w:tc>
          <w:tcPr>
            <w:tcW w:w="2616" w:type="dxa"/>
            <w:gridSpan w:val="2"/>
            <w:shd w:val="clear" w:color="auto" w:fill="auto"/>
            <w:vAlign w:val="center"/>
          </w:tcPr>
          <w:p>
            <w:pPr>
              <w:spacing w:line="240" w:lineRule="auto"/>
              <w:jc w:val="center"/>
              <w:rPr>
                <w:rFonts w:hint="default" w:eastAsia="宋体"/>
                <w:b/>
                <w:bCs/>
                <w:sz w:val="21"/>
                <w:szCs w:val="21"/>
                <w:lang w:val="en-US" w:eastAsia="zh-CN"/>
              </w:rPr>
            </w:pPr>
            <w:r>
              <w:rPr>
                <w:sz w:val="21"/>
                <w:szCs w:val="21"/>
              </w:rPr>
              <w:t>2022.</w:t>
            </w:r>
            <w:r>
              <w:rPr>
                <w:rFonts w:hint="eastAsia"/>
                <w:sz w:val="21"/>
                <w:szCs w:val="21"/>
                <w:lang w:val="en-US" w:eastAsia="zh-CN"/>
              </w:rPr>
              <w:t>12</w:t>
            </w:r>
            <w:r>
              <w:rPr>
                <w:sz w:val="21"/>
                <w:szCs w:val="21"/>
              </w:rPr>
              <w:t>.</w:t>
            </w:r>
            <w:r>
              <w:rPr>
                <w:rFonts w:hint="eastAsia"/>
                <w:sz w:val="21"/>
                <w:szCs w:val="21"/>
                <w:lang w:val="en-US" w:eastAsia="zh-CN"/>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0000"/>
          <w:tblCellMar>
            <w:top w:w="0" w:type="dxa"/>
            <w:left w:w="108" w:type="dxa"/>
            <w:bottom w:w="0" w:type="dxa"/>
            <w:right w:w="108" w:type="dxa"/>
          </w:tblCellMar>
        </w:tblPrEx>
        <w:trPr>
          <w:trHeight w:val="90" w:hRule="atLeast"/>
        </w:trPr>
        <w:tc>
          <w:tcPr>
            <w:tcW w:w="991" w:type="dxa"/>
            <w:vMerge w:val="continue"/>
            <w:shd w:val="clear" w:color="auto" w:fill="auto"/>
            <w:vAlign w:val="center"/>
          </w:tcPr>
          <w:p>
            <w:pPr>
              <w:spacing w:line="240" w:lineRule="auto"/>
              <w:jc w:val="center"/>
              <w:rPr>
                <w:b/>
                <w:bCs/>
                <w:sz w:val="21"/>
                <w:szCs w:val="21"/>
              </w:rPr>
            </w:pPr>
          </w:p>
        </w:tc>
        <w:tc>
          <w:tcPr>
            <w:tcW w:w="2250" w:type="dxa"/>
            <w:vMerge w:val="continue"/>
            <w:shd w:val="clear" w:color="auto" w:fill="auto"/>
            <w:vAlign w:val="center"/>
          </w:tcPr>
          <w:p>
            <w:pPr>
              <w:spacing w:line="240" w:lineRule="auto"/>
              <w:jc w:val="center"/>
              <w:rPr>
                <w:b/>
                <w:bCs/>
                <w:sz w:val="21"/>
                <w:szCs w:val="21"/>
              </w:rPr>
            </w:pPr>
          </w:p>
        </w:tc>
        <w:tc>
          <w:tcPr>
            <w:tcW w:w="1582" w:type="dxa"/>
            <w:shd w:val="clear" w:color="auto" w:fill="auto"/>
            <w:vAlign w:val="center"/>
          </w:tcPr>
          <w:p>
            <w:pPr>
              <w:spacing w:line="240" w:lineRule="auto"/>
              <w:jc w:val="center"/>
              <w:rPr>
                <w:b/>
                <w:bCs/>
                <w:sz w:val="21"/>
                <w:szCs w:val="21"/>
              </w:rPr>
            </w:pPr>
            <w:r>
              <w:rPr>
                <w:b/>
                <w:bCs/>
                <w:sz w:val="21"/>
                <w:szCs w:val="21"/>
              </w:rPr>
              <w:t>昼间</w:t>
            </w:r>
          </w:p>
        </w:tc>
        <w:tc>
          <w:tcPr>
            <w:tcW w:w="1232" w:type="dxa"/>
            <w:shd w:val="clear" w:color="auto" w:fill="auto"/>
            <w:vAlign w:val="center"/>
          </w:tcPr>
          <w:p>
            <w:pPr>
              <w:spacing w:line="240" w:lineRule="auto"/>
              <w:jc w:val="center"/>
              <w:rPr>
                <w:b/>
                <w:bCs/>
                <w:sz w:val="21"/>
                <w:szCs w:val="21"/>
              </w:rPr>
            </w:pPr>
            <w:r>
              <w:rPr>
                <w:b/>
                <w:bCs/>
                <w:sz w:val="21"/>
                <w:szCs w:val="21"/>
              </w:rPr>
              <w:t>夜间</w:t>
            </w:r>
          </w:p>
        </w:tc>
        <w:tc>
          <w:tcPr>
            <w:tcW w:w="1521" w:type="dxa"/>
            <w:shd w:val="clear" w:color="auto" w:fill="auto"/>
            <w:vAlign w:val="center"/>
          </w:tcPr>
          <w:p>
            <w:pPr>
              <w:spacing w:line="240" w:lineRule="auto"/>
              <w:jc w:val="center"/>
              <w:rPr>
                <w:b/>
                <w:bCs/>
                <w:sz w:val="21"/>
                <w:szCs w:val="21"/>
              </w:rPr>
            </w:pPr>
            <w:r>
              <w:rPr>
                <w:b/>
                <w:bCs/>
                <w:sz w:val="21"/>
                <w:szCs w:val="21"/>
              </w:rPr>
              <w:t>昼间</w:t>
            </w:r>
          </w:p>
        </w:tc>
        <w:tc>
          <w:tcPr>
            <w:tcW w:w="1095" w:type="dxa"/>
            <w:shd w:val="clear" w:color="auto" w:fill="auto"/>
            <w:vAlign w:val="center"/>
          </w:tcPr>
          <w:p>
            <w:pPr>
              <w:spacing w:line="240" w:lineRule="auto"/>
              <w:jc w:val="center"/>
              <w:rPr>
                <w:b/>
                <w:bCs/>
                <w:sz w:val="21"/>
                <w:szCs w:val="21"/>
              </w:rPr>
            </w:pPr>
            <w:r>
              <w:rPr>
                <w:b/>
                <w:bCs/>
                <w:sz w:val="21"/>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0000"/>
          <w:tblCellMar>
            <w:top w:w="0" w:type="dxa"/>
            <w:left w:w="108" w:type="dxa"/>
            <w:bottom w:w="0" w:type="dxa"/>
            <w:right w:w="108" w:type="dxa"/>
          </w:tblCellMar>
        </w:tblPrEx>
        <w:trPr>
          <w:trHeight w:val="528" w:hRule="atLeast"/>
        </w:trPr>
        <w:tc>
          <w:tcPr>
            <w:tcW w:w="991" w:type="dxa"/>
            <w:vMerge w:val="restart"/>
            <w:shd w:val="clear" w:color="auto" w:fill="auto"/>
            <w:vAlign w:val="center"/>
          </w:tcPr>
          <w:p>
            <w:pPr>
              <w:spacing w:line="240" w:lineRule="auto"/>
              <w:jc w:val="center"/>
              <w:rPr>
                <w:sz w:val="21"/>
                <w:szCs w:val="21"/>
              </w:rPr>
            </w:pPr>
            <w:r>
              <w:rPr>
                <w:sz w:val="21"/>
                <w:szCs w:val="21"/>
              </w:rPr>
              <w:t>工业企业厂界噪声</w:t>
            </w:r>
          </w:p>
          <w:p>
            <w:pPr>
              <w:spacing w:line="240" w:lineRule="auto"/>
              <w:jc w:val="center"/>
              <w:rPr>
                <w:sz w:val="21"/>
                <w:szCs w:val="21"/>
              </w:rPr>
            </w:pPr>
            <w:r>
              <w:rPr>
                <w:sz w:val="21"/>
                <w:szCs w:val="21"/>
              </w:rPr>
              <w:t>dB（A）</w:t>
            </w:r>
          </w:p>
        </w:tc>
        <w:tc>
          <w:tcPr>
            <w:tcW w:w="2250" w:type="dxa"/>
            <w:shd w:val="clear" w:color="auto" w:fill="auto"/>
            <w:vAlign w:val="center"/>
          </w:tcPr>
          <w:p>
            <w:pPr>
              <w:spacing w:line="240" w:lineRule="auto"/>
              <w:jc w:val="center"/>
              <w:rPr>
                <w:sz w:val="21"/>
                <w:szCs w:val="21"/>
              </w:rPr>
            </w:pPr>
            <w:r>
              <w:rPr>
                <w:sz w:val="21"/>
                <w:szCs w:val="21"/>
              </w:rPr>
              <w:t>厂界</w:t>
            </w:r>
            <w:r>
              <w:rPr>
                <w:rFonts w:hint="eastAsia"/>
                <w:sz w:val="21"/>
                <w:szCs w:val="21"/>
              </w:rPr>
              <w:t>东</w:t>
            </w:r>
            <w:r>
              <w:rPr>
                <w:sz w:val="21"/>
                <w:szCs w:val="21"/>
              </w:rPr>
              <w:t>侧外1米</w:t>
            </w:r>
          </w:p>
        </w:tc>
        <w:tc>
          <w:tcPr>
            <w:tcW w:w="1582" w:type="dxa"/>
            <w:shd w:val="clear" w:color="auto" w:fill="auto"/>
            <w:vAlign w:val="center"/>
          </w:tcPr>
          <w:p>
            <w:pPr>
              <w:spacing w:line="240" w:lineRule="auto"/>
              <w:jc w:val="center"/>
              <w:rPr>
                <w:sz w:val="21"/>
                <w:szCs w:val="21"/>
              </w:rPr>
            </w:pPr>
            <w:r>
              <w:rPr>
                <w:rFonts w:hint="eastAsia"/>
                <w:sz w:val="21"/>
                <w:szCs w:val="21"/>
                <w:lang w:val="en-US" w:eastAsia="zh-CN"/>
              </w:rPr>
              <w:t>55</w:t>
            </w:r>
          </w:p>
        </w:tc>
        <w:tc>
          <w:tcPr>
            <w:tcW w:w="1232" w:type="dxa"/>
            <w:shd w:val="clear" w:color="auto" w:fill="auto"/>
            <w:vAlign w:val="center"/>
          </w:tcPr>
          <w:p>
            <w:pPr>
              <w:spacing w:line="240" w:lineRule="auto"/>
              <w:jc w:val="center"/>
              <w:rPr>
                <w:sz w:val="21"/>
                <w:szCs w:val="21"/>
              </w:rPr>
            </w:pPr>
            <w:r>
              <w:rPr>
                <w:rFonts w:hint="eastAsia"/>
                <w:sz w:val="21"/>
                <w:szCs w:val="21"/>
                <w:lang w:val="en-US" w:eastAsia="zh-CN"/>
              </w:rPr>
              <w:t>48</w:t>
            </w:r>
          </w:p>
        </w:tc>
        <w:tc>
          <w:tcPr>
            <w:tcW w:w="1521" w:type="dxa"/>
            <w:shd w:val="clear" w:color="auto" w:fill="auto"/>
            <w:vAlign w:val="center"/>
          </w:tcPr>
          <w:p>
            <w:pPr>
              <w:spacing w:line="240" w:lineRule="auto"/>
              <w:jc w:val="center"/>
              <w:rPr>
                <w:sz w:val="21"/>
                <w:szCs w:val="21"/>
              </w:rPr>
            </w:pPr>
            <w:r>
              <w:rPr>
                <w:rFonts w:hint="eastAsia"/>
                <w:sz w:val="21"/>
                <w:szCs w:val="21"/>
                <w:lang w:val="en-US" w:eastAsia="zh-CN"/>
              </w:rPr>
              <w:t>54</w:t>
            </w:r>
          </w:p>
        </w:tc>
        <w:tc>
          <w:tcPr>
            <w:tcW w:w="1095" w:type="dxa"/>
            <w:shd w:val="clear" w:color="auto" w:fill="auto"/>
            <w:vAlign w:val="center"/>
          </w:tcPr>
          <w:p>
            <w:pPr>
              <w:spacing w:line="240" w:lineRule="auto"/>
              <w:jc w:val="center"/>
              <w:rPr>
                <w:sz w:val="21"/>
                <w:szCs w:val="21"/>
              </w:rPr>
            </w:pPr>
            <w:r>
              <w:rPr>
                <w:rFonts w:hint="eastAsia"/>
                <w:sz w:val="21"/>
                <w:szCs w:val="21"/>
                <w:lang w:val="en-US" w:eastAsia="zh-CN"/>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0000"/>
          <w:tblCellMar>
            <w:top w:w="0" w:type="dxa"/>
            <w:left w:w="108" w:type="dxa"/>
            <w:bottom w:w="0" w:type="dxa"/>
            <w:right w:w="108" w:type="dxa"/>
          </w:tblCellMar>
        </w:tblPrEx>
        <w:trPr>
          <w:trHeight w:val="528" w:hRule="atLeast"/>
        </w:trPr>
        <w:tc>
          <w:tcPr>
            <w:tcW w:w="991" w:type="dxa"/>
            <w:vMerge w:val="continue"/>
            <w:shd w:val="clear" w:color="auto" w:fill="auto"/>
            <w:vAlign w:val="center"/>
          </w:tcPr>
          <w:p>
            <w:pPr>
              <w:spacing w:line="240" w:lineRule="auto"/>
              <w:jc w:val="center"/>
              <w:rPr>
                <w:sz w:val="21"/>
                <w:szCs w:val="21"/>
              </w:rPr>
            </w:pPr>
          </w:p>
        </w:tc>
        <w:tc>
          <w:tcPr>
            <w:tcW w:w="2250" w:type="dxa"/>
            <w:shd w:val="clear" w:color="auto" w:fill="auto"/>
            <w:vAlign w:val="center"/>
          </w:tcPr>
          <w:p>
            <w:pPr>
              <w:spacing w:line="240" w:lineRule="auto"/>
              <w:jc w:val="center"/>
              <w:rPr>
                <w:sz w:val="21"/>
                <w:szCs w:val="21"/>
              </w:rPr>
            </w:pPr>
            <w:r>
              <w:rPr>
                <w:sz w:val="21"/>
                <w:szCs w:val="21"/>
              </w:rPr>
              <w:t>厂界</w:t>
            </w:r>
            <w:r>
              <w:rPr>
                <w:rFonts w:hint="eastAsia"/>
                <w:sz w:val="21"/>
                <w:szCs w:val="21"/>
              </w:rPr>
              <w:t>南</w:t>
            </w:r>
            <w:r>
              <w:rPr>
                <w:sz w:val="21"/>
                <w:szCs w:val="21"/>
              </w:rPr>
              <w:t>侧外1米</w:t>
            </w:r>
          </w:p>
        </w:tc>
        <w:tc>
          <w:tcPr>
            <w:tcW w:w="1582" w:type="dxa"/>
            <w:shd w:val="clear" w:color="auto" w:fill="auto"/>
            <w:vAlign w:val="center"/>
          </w:tcPr>
          <w:p>
            <w:pPr>
              <w:spacing w:line="240" w:lineRule="auto"/>
              <w:jc w:val="center"/>
              <w:rPr>
                <w:sz w:val="21"/>
                <w:szCs w:val="21"/>
              </w:rPr>
            </w:pPr>
            <w:r>
              <w:rPr>
                <w:rFonts w:hint="eastAsia"/>
                <w:sz w:val="21"/>
                <w:szCs w:val="21"/>
                <w:lang w:val="en-US" w:eastAsia="zh-CN"/>
              </w:rPr>
              <w:t>55</w:t>
            </w:r>
          </w:p>
        </w:tc>
        <w:tc>
          <w:tcPr>
            <w:tcW w:w="1232" w:type="dxa"/>
            <w:shd w:val="clear" w:color="auto" w:fill="auto"/>
            <w:vAlign w:val="center"/>
          </w:tcPr>
          <w:p>
            <w:pPr>
              <w:spacing w:line="240" w:lineRule="auto"/>
              <w:jc w:val="center"/>
              <w:rPr>
                <w:sz w:val="21"/>
                <w:szCs w:val="21"/>
              </w:rPr>
            </w:pPr>
            <w:r>
              <w:rPr>
                <w:rFonts w:hint="eastAsia"/>
                <w:sz w:val="21"/>
                <w:szCs w:val="21"/>
                <w:lang w:val="en-US" w:eastAsia="zh-CN"/>
              </w:rPr>
              <w:t>47</w:t>
            </w:r>
          </w:p>
        </w:tc>
        <w:tc>
          <w:tcPr>
            <w:tcW w:w="1521" w:type="dxa"/>
            <w:shd w:val="clear" w:color="auto" w:fill="auto"/>
            <w:vAlign w:val="center"/>
          </w:tcPr>
          <w:p>
            <w:pPr>
              <w:spacing w:line="240" w:lineRule="auto"/>
              <w:jc w:val="center"/>
              <w:rPr>
                <w:sz w:val="21"/>
                <w:szCs w:val="21"/>
              </w:rPr>
            </w:pPr>
            <w:r>
              <w:rPr>
                <w:rFonts w:hint="eastAsia"/>
                <w:sz w:val="21"/>
                <w:szCs w:val="21"/>
                <w:lang w:val="en-US" w:eastAsia="zh-CN"/>
              </w:rPr>
              <w:t>55</w:t>
            </w:r>
          </w:p>
        </w:tc>
        <w:tc>
          <w:tcPr>
            <w:tcW w:w="1095" w:type="dxa"/>
            <w:shd w:val="clear" w:color="auto" w:fill="auto"/>
            <w:vAlign w:val="center"/>
          </w:tcPr>
          <w:p>
            <w:pPr>
              <w:spacing w:line="240" w:lineRule="auto"/>
              <w:jc w:val="center"/>
              <w:rPr>
                <w:sz w:val="21"/>
                <w:szCs w:val="21"/>
              </w:rPr>
            </w:pPr>
            <w:r>
              <w:rPr>
                <w:rFonts w:hint="eastAsia"/>
                <w:sz w:val="21"/>
                <w:szCs w:val="21"/>
                <w:lang w:val="en-US" w:eastAsia="zh-CN"/>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8" w:hRule="atLeast"/>
        </w:trPr>
        <w:tc>
          <w:tcPr>
            <w:tcW w:w="991" w:type="dxa"/>
            <w:vMerge w:val="continue"/>
            <w:shd w:val="clear" w:color="auto" w:fill="auto"/>
            <w:vAlign w:val="center"/>
          </w:tcPr>
          <w:p>
            <w:pPr>
              <w:spacing w:line="240" w:lineRule="auto"/>
              <w:jc w:val="center"/>
              <w:rPr>
                <w:sz w:val="21"/>
                <w:szCs w:val="21"/>
              </w:rPr>
            </w:pPr>
          </w:p>
        </w:tc>
        <w:tc>
          <w:tcPr>
            <w:tcW w:w="2250" w:type="dxa"/>
            <w:shd w:val="clear" w:color="auto" w:fill="auto"/>
            <w:vAlign w:val="center"/>
          </w:tcPr>
          <w:p>
            <w:pPr>
              <w:spacing w:line="240" w:lineRule="auto"/>
              <w:jc w:val="center"/>
              <w:rPr>
                <w:sz w:val="21"/>
                <w:szCs w:val="21"/>
              </w:rPr>
            </w:pPr>
            <w:r>
              <w:rPr>
                <w:sz w:val="21"/>
                <w:szCs w:val="21"/>
              </w:rPr>
              <w:t>厂界西侧外1米</w:t>
            </w:r>
          </w:p>
        </w:tc>
        <w:tc>
          <w:tcPr>
            <w:tcW w:w="1582" w:type="dxa"/>
            <w:shd w:val="clear" w:color="auto" w:fill="auto"/>
            <w:vAlign w:val="center"/>
          </w:tcPr>
          <w:p>
            <w:pPr>
              <w:spacing w:line="240" w:lineRule="auto"/>
              <w:jc w:val="center"/>
              <w:rPr>
                <w:sz w:val="21"/>
                <w:szCs w:val="21"/>
              </w:rPr>
            </w:pPr>
            <w:r>
              <w:rPr>
                <w:rFonts w:hint="eastAsia"/>
                <w:sz w:val="21"/>
                <w:szCs w:val="21"/>
                <w:lang w:val="en-US" w:eastAsia="zh-CN"/>
              </w:rPr>
              <w:t>54</w:t>
            </w:r>
          </w:p>
        </w:tc>
        <w:tc>
          <w:tcPr>
            <w:tcW w:w="1232" w:type="dxa"/>
            <w:shd w:val="clear" w:color="auto" w:fill="auto"/>
            <w:vAlign w:val="center"/>
          </w:tcPr>
          <w:p>
            <w:pPr>
              <w:spacing w:line="240" w:lineRule="auto"/>
              <w:jc w:val="center"/>
              <w:rPr>
                <w:sz w:val="21"/>
                <w:szCs w:val="21"/>
              </w:rPr>
            </w:pPr>
            <w:r>
              <w:rPr>
                <w:rFonts w:hint="eastAsia"/>
                <w:sz w:val="21"/>
                <w:szCs w:val="21"/>
                <w:lang w:val="en-US" w:eastAsia="zh-CN"/>
              </w:rPr>
              <w:t>46</w:t>
            </w:r>
          </w:p>
        </w:tc>
        <w:tc>
          <w:tcPr>
            <w:tcW w:w="1521" w:type="dxa"/>
            <w:shd w:val="clear" w:color="auto" w:fill="auto"/>
            <w:vAlign w:val="center"/>
          </w:tcPr>
          <w:p>
            <w:pPr>
              <w:spacing w:line="240" w:lineRule="auto"/>
              <w:jc w:val="center"/>
              <w:rPr>
                <w:sz w:val="21"/>
                <w:szCs w:val="21"/>
              </w:rPr>
            </w:pPr>
            <w:r>
              <w:rPr>
                <w:rFonts w:hint="eastAsia"/>
                <w:sz w:val="21"/>
                <w:szCs w:val="21"/>
                <w:lang w:val="en-US" w:eastAsia="zh-CN"/>
              </w:rPr>
              <w:t>53</w:t>
            </w:r>
          </w:p>
        </w:tc>
        <w:tc>
          <w:tcPr>
            <w:tcW w:w="1095" w:type="dxa"/>
            <w:shd w:val="clear" w:color="auto" w:fill="auto"/>
            <w:vAlign w:val="center"/>
          </w:tcPr>
          <w:p>
            <w:pPr>
              <w:spacing w:line="240" w:lineRule="auto"/>
              <w:jc w:val="center"/>
              <w:rPr>
                <w:sz w:val="21"/>
                <w:szCs w:val="21"/>
              </w:rPr>
            </w:pPr>
            <w:r>
              <w:rPr>
                <w:rFonts w:hint="eastAsia"/>
                <w:sz w:val="21"/>
                <w:szCs w:val="21"/>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0000"/>
          <w:tblCellMar>
            <w:top w:w="0" w:type="dxa"/>
            <w:left w:w="108" w:type="dxa"/>
            <w:bottom w:w="0" w:type="dxa"/>
            <w:right w:w="108" w:type="dxa"/>
          </w:tblCellMar>
        </w:tblPrEx>
        <w:trPr>
          <w:trHeight w:val="539" w:hRule="atLeast"/>
        </w:trPr>
        <w:tc>
          <w:tcPr>
            <w:tcW w:w="991" w:type="dxa"/>
            <w:vMerge w:val="continue"/>
            <w:shd w:val="clear" w:color="auto" w:fill="auto"/>
            <w:vAlign w:val="center"/>
          </w:tcPr>
          <w:p>
            <w:pPr>
              <w:spacing w:line="240" w:lineRule="auto"/>
              <w:jc w:val="center"/>
              <w:rPr>
                <w:sz w:val="21"/>
                <w:szCs w:val="21"/>
              </w:rPr>
            </w:pPr>
          </w:p>
        </w:tc>
        <w:tc>
          <w:tcPr>
            <w:tcW w:w="2250" w:type="dxa"/>
            <w:shd w:val="clear" w:color="auto" w:fill="auto"/>
            <w:vAlign w:val="center"/>
          </w:tcPr>
          <w:p>
            <w:pPr>
              <w:spacing w:line="240" w:lineRule="auto"/>
              <w:jc w:val="center"/>
              <w:rPr>
                <w:sz w:val="21"/>
                <w:szCs w:val="21"/>
              </w:rPr>
            </w:pPr>
            <w:r>
              <w:rPr>
                <w:sz w:val="21"/>
                <w:szCs w:val="21"/>
              </w:rPr>
              <w:t>厂界北侧外1米</w:t>
            </w:r>
          </w:p>
        </w:tc>
        <w:tc>
          <w:tcPr>
            <w:tcW w:w="1582" w:type="dxa"/>
            <w:shd w:val="clear" w:color="auto" w:fill="auto"/>
            <w:vAlign w:val="center"/>
          </w:tcPr>
          <w:p>
            <w:pPr>
              <w:spacing w:line="240" w:lineRule="auto"/>
              <w:jc w:val="center"/>
              <w:rPr>
                <w:sz w:val="21"/>
                <w:szCs w:val="21"/>
              </w:rPr>
            </w:pPr>
            <w:r>
              <w:rPr>
                <w:rFonts w:hint="eastAsia"/>
                <w:sz w:val="21"/>
                <w:szCs w:val="21"/>
                <w:lang w:val="en-US" w:eastAsia="zh-CN"/>
              </w:rPr>
              <w:t>54</w:t>
            </w:r>
          </w:p>
        </w:tc>
        <w:tc>
          <w:tcPr>
            <w:tcW w:w="1232" w:type="dxa"/>
            <w:shd w:val="clear" w:color="auto" w:fill="auto"/>
            <w:vAlign w:val="center"/>
          </w:tcPr>
          <w:p>
            <w:pPr>
              <w:spacing w:line="240" w:lineRule="auto"/>
              <w:jc w:val="center"/>
              <w:rPr>
                <w:sz w:val="21"/>
                <w:szCs w:val="21"/>
              </w:rPr>
            </w:pPr>
            <w:r>
              <w:rPr>
                <w:rFonts w:hint="eastAsia"/>
                <w:sz w:val="21"/>
                <w:szCs w:val="21"/>
                <w:lang w:val="en-US" w:eastAsia="zh-CN"/>
              </w:rPr>
              <w:t>47</w:t>
            </w:r>
          </w:p>
        </w:tc>
        <w:tc>
          <w:tcPr>
            <w:tcW w:w="1521" w:type="dxa"/>
            <w:shd w:val="clear" w:color="auto" w:fill="auto"/>
            <w:vAlign w:val="center"/>
          </w:tcPr>
          <w:p>
            <w:pPr>
              <w:spacing w:line="240" w:lineRule="auto"/>
              <w:jc w:val="center"/>
              <w:rPr>
                <w:sz w:val="21"/>
                <w:szCs w:val="21"/>
              </w:rPr>
            </w:pPr>
            <w:r>
              <w:rPr>
                <w:rFonts w:hint="eastAsia"/>
                <w:sz w:val="21"/>
                <w:szCs w:val="21"/>
                <w:lang w:val="en-US" w:eastAsia="zh-CN"/>
              </w:rPr>
              <w:t>55</w:t>
            </w:r>
          </w:p>
        </w:tc>
        <w:tc>
          <w:tcPr>
            <w:tcW w:w="1095" w:type="dxa"/>
            <w:shd w:val="clear" w:color="auto" w:fill="auto"/>
            <w:vAlign w:val="center"/>
          </w:tcPr>
          <w:p>
            <w:pPr>
              <w:spacing w:line="240" w:lineRule="auto"/>
              <w:jc w:val="center"/>
              <w:rPr>
                <w:sz w:val="21"/>
                <w:szCs w:val="21"/>
              </w:rPr>
            </w:pPr>
            <w:r>
              <w:rPr>
                <w:rFonts w:hint="eastAsia"/>
                <w:sz w:val="21"/>
                <w:szCs w:val="21"/>
                <w:lang w:val="en-US" w:eastAsia="zh-CN"/>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0000"/>
          <w:tblCellMar>
            <w:top w:w="0" w:type="dxa"/>
            <w:left w:w="108" w:type="dxa"/>
            <w:bottom w:w="0" w:type="dxa"/>
            <w:right w:w="108" w:type="dxa"/>
          </w:tblCellMar>
        </w:tblPrEx>
        <w:trPr>
          <w:trHeight w:val="539" w:hRule="atLeast"/>
        </w:trPr>
        <w:tc>
          <w:tcPr>
            <w:tcW w:w="3241" w:type="dxa"/>
            <w:gridSpan w:val="2"/>
            <w:shd w:val="clear" w:color="auto" w:fill="auto"/>
            <w:vAlign w:val="center"/>
          </w:tcPr>
          <w:p>
            <w:pPr>
              <w:spacing w:line="240" w:lineRule="auto"/>
              <w:jc w:val="center"/>
              <w:rPr>
                <w:sz w:val="21"/>
                <w:szCs w:val="21"/>
              </w:rPr>
            </w:pPr>
            <w:r>
              <w:rPr>
                <w:rFonts w:hint="eastAsia"/>
                <w:sz w:val="21"/>
                <w:szCs w:val="21"/>
                <w:lang w:val="en-US" w:eastAsia="zh-CN"/>
              </w:rPr>
              <w:t>执行标准</w:t>
            </w:r>
          </w:p>
        </w:tc>
        <w:tc>
          <w:tcPr>
            <w:tcW w:w="1582" w:type="dxa"/>
            <w:shd w:val="clear" w:color="auto" w:fill="auto"/>
            <w:vAlign w:val="center"/>
          </w:tcPr>
          <w:p>
            <w:pPr>
              <w:spacing w:line="240" w:lineRule="auto"/>
              <w:jc w:val="center"/>
              <w:rPr>
                <w:rFonts w:hint="eastAsia"/>
                <w:sz w:val="21"/>
                <w:szCs w:val="21"/>
                <w:lang w:val="en-US" w:eastAsia="zh-CN"/>
              </w:rPr>
            </w:pPr>
            <w:r>
              <w:rPr>
                <w:rFonts w:hint="eastAsia"/>
                <w:sz w:val="21"/>
                <w:szCs w:val="21"/>
                <w:lang w:val="en-US" w:eastAsia="zh-CN"/>
              </w:rPr>
              <w:t>70（北侧厂界）</w:t>
            </w:r>
          </w:p>
          <w:p>
            <w:pPr>
              <w:spacing w:line="240" w:lineRule="auto"/>
              <w:jc w:val="center"/>
              <w:rPr>
                <w:rFonts w:hint="eastAsia"/>
                <w:sz w:val="21"/>
                <w:szCs w:val="21"/>
                <w:lang w:val="en-US" w:eastAsia="zh-CN"/>
              </w:rPr>
            </w:pPr>
            <w:r>
              <w:rPr>
                <w:rFonts w:hint="eastAsia"/>
                <w:sz w:val="21"/>
                <w:szCs w:val="21"/>
                <w:lang w:val="en-US" w:eastAsia="zh-CN"/>
              </w:rPr>
              <w:t>65（其他侧）</w:t>
            </w:r>
          </w:p>
        </w:tc>
        <w:tc>
          <w:tcPr>
            <w:tcW w:w="1232" w:type="dxa"/>
            <w:shd w:val="clear" w:color="auto" w:fill="auto"/>
            <w:vAlign w:val="center"/>
          </w:tcPr>
          <w:p>
            <w:pPr>
              <w:spacing w:line="240" w:lineRule="auto"/>
              <w:jc w:val="center"/>
              <w:rPr>
                <w:rFonts w:hint="default"/>
                <w:sz w:val="21"/>
                <w:szCs w:val="21"/>
                <w:lang w:val="en-US" w:eastAsia="zh-CN"/>
              </w:rPr>
            </w:pPr>
            <w:r>
              <w:rPr>
                <w:rFonts w:hint="eastAsia"/>
                <w:sz w:val="21"/>
                <w:szCs w:val="21"/>
                <w:lang w:val="en-US" w:eastAsia="zh-CN"/>
              </w:rPr>
              <w:t>55</w:t>
            </w:r>
          </w:p>
        </w:tc>
        <w:tc>
          <w:tcPr>
            <w:tcW w:w="1521" w:type="dxa"/>
            <w:shd w:val="clear" w:color="auto" w:fill="auto"/>
            <w:vAlign w:val="center"/>
          </w:tcPr>
          <w:p>
            <w:pPr>
              <w:spacing w:line="240" w:lineRule="auto"/>
              <w:jc w:val="center"/>
              <w:rPr>
                <w:rFonts w:hint="eastAsia"/>
                <w:sz w:val="21"/>
                <w:szCs w:val="21"/>
                <w:lang w:val="en-US" w:eastAsia="zh-CN"/>
              </w:rPr>
            </w:pPr>
            <w:r>
              <w:rPr>
                <w:rFonts w:hint="eastAsia"/>
                <w:sz w:val="21"/>
                <w:szCs w:val="21"/>
                <w:lang w:val="en-US" w:eastAsia="zh-CN"/>
              </w:rPr>
              <w:t>70（北侧厂界）</w:t>
            </w:r>
          </w:p>
          <w:p>
            <w:pPr>
              <w:spacing w:line="240" w:lineRule="auto"/>
              <w:jc w:val="center"/>
              <w:rPr>
                <w:rFonts w:hint="eastAsia"/>
                <w:sz w:val="21"/>
                <w:szCs w:val="21"/>
                <w:lang w:val="en-US" w:eastAsia="zh-CN"/>
              </w:rPr>
            </w:pPr>
            <w:r>
              <w:rPr>
                <w:rFonts w:hint="eastAsia"/>
                <w:sz w:val="21"/>
                <w:szCs w:val="21"/>
                <w:lang w:val="en-US" w:eastAsia="zh-CN"/>
              </w:rPr>
              <w:t>65（其他侧）</w:t>
            </w:r>
          </w:p>
        </w:tc>
        <w:tc>
          <w:tcPr>
            <w:tcW w:w="1095" w:type="dxa"/>
            <w:shd w:val="clear" w:color="auto" w:fill="auto"/>
            <w:vAlign w:val="center"/>
          </w:tcPr>
          <w:p>
            <w:pPr>
              <w:spacing w:line="240" w:lineRule="auto"/>
              <w:jc w:val="center"/>
              <w:rPr>
                <w:rFonts w:hint="eastAsia"/>
                <w:sz w:val="21"/>
                <w:szCs w:val="21"/>
                <w:lang w:val="en-US" w:eastAsia="zh-CN"/>
              </w:rPr>
            </w:pPr>
            <w:r>
              <w:rPr>
                <w:rFonts w:hint="eastAsia"/>
                <w:sz w:val="21"/>
                <w:szCs w:val="21"/>
                <w:lang w:val="en-US" w:eastAsia="zh-CN"/>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0000"/>
          <w:tblCellMar>
            <w:top w:w="0" w:type="dxa"/>
            <w:left w:w="108" w:type="dxa"/>
            <w:bottom w:w="0" w:type="dxa"/>
            <w:right w:w="108" w:type="dxa"/>
          </w:tblCellMar>
        </w:tblPrEx>
        <w:trPr>
          <w:trHeight w:val="539" w:hRule="atLeast"/>
        </w:trPr>
        <w:tc>
          <w:tcPr>
            <w:tcW w:w="3241" w:type="dxa"/>
            <w:gridSpan w:val="2"/>
            <w:shd w:val="clear" w:color="auto" w:fill="auto"/>
            <w:vAlign w:val="center"/>
          </w:tcPr>
          <w:p>
            <w:pPr>
              <w:spacing w:line="240" w:lineRule="auto"/>
              <w:jc w:val="center"/>
              <w:rPr>
                <w:sz w:val="21"/>
                <w:szCs w:val="21"/>
              </w:rPr>
            </w:pPr>
            <w:r>
              <w:rPr>
                <w:rFonts w:hint="eastAsia"/>
                <w:sz w:val="21"/>
                <w:szCs w:val="21"/>
                <w:lang w:val="en-US" w:eastAsia="zh-CN"/>
              </w:rPr>
              <w:t>达标情况</w:t>
            </w:r>
          </w:p>
        </w:tc>
        <w:tc>
          <w:tcPr>
            <w:tcW w:w="1582" w:type="dxa"/>
            <w:shd w:val="clear" w:color="auto" w:fill="auto"/>
            <w:vAlign w:val="center"/>
          </w:tcPr>
          <w:p>
            <w:pPr>
              <w:spacing w:line="240" w:lineRule="auto"/>
              <w:jc w:val="center"/>
              <w:rPr>
                <w:rFonts w:hint="eastAsia"/>
                <w:sz w:val="21"/>
                <w:szCs w:val="21"/>
                <w:lang w:val="en-US" w:eastAsia="zh-CN"/>
              </w:rPr>
            </w:pPr>
            <w:r>
              <w:rPr>
                <w:rFonts w:hint="eastAsia"/>
                <w:sz w:val="21"/>
                <w:szCs w:val="21"/>
                <w:lang w:val="en-US" w:eastAsia="zh-CN"/>
              </w:rPr>
              <w:t>达标</w:t>
            </w:r>
          </w:p>
        </w:tc>
        <w:tc>
          <w:tcPr>
            <w:tcW w:w="1232" w:type="dxa"/>
            <w:shd w:val="clear" w:color="auto" w:fill="auto"/>
            <w:vAlign w:val="center"/>
          </w:tcPr>
          <w:p>
            <w:pPr>
              <w:spacing w:line="240" w:lineRule="auto"/>
              <w:jc w:val="center"/>
              <w:rPr>
                <w:rFonts w:hint="eastAsia"/>
                <w:sz w:val="21"/>
                <w:szCs w:val="21"/>
                <w:lang w:val="en-US" w:eastAsia="zh-CN"/>
              </w:rPr>
            </w:pPr>
            <w:r>
              <w:rPr>
                <w:rFonts w:hint="eastAsia"/>
                <w:sz w:val="21"/>
                <w:szCs w:val="21"/>
                <w:lang w:val="en-US" w:eastAsia="zh-CN"/>
              </w:rPr>
              <w:t>达标</w:t>
            </w:r>
          </w:p>
        </w:tc>
        <w:tc>
          <w:tcPr>
            <w:tcW w:w="1521" w:type="dxa"/>
            <w:shd w:val="clear" w:color="auto" w:fill="auto"/>
            <w:vAlign w:val="center"/>
          </w:tcPr>
          <w:p>
            <w:pPr>
              <w:spacing w:line="240" w:lineRule="auto"/>
              <w:jc w:val="center"/>
              <w:rPr>
                <w:rFonts w:hint="eastAsia"/>
                <w:sz w:val="21"/>
                <w:szCs w:val="21"/>
                <w:lang w:val="en-US" w:eastAsia="zh-CN"/>
              </w:rPr>
            </w:pPr>
            <w:r>
              <w:rPr>
                <w:rFonts w:hint="eastAsia"/>
                <w:sz w:val="21"/>
                <w:szCs w:val="21"/>
                <w:lang w:val="en-US" w:eastAsia="zh-CN"/>
              </w:rPr>
              <w:t>达标</w:t>
            </w:r>
          </w:p>
        </w:tc>
        <w:tc>
          <w:tcPr>
            <w:tcW w:w="1095" w:type="dxa"/>
            <w:shd w:val="clear" w:color="auto" w:fill="auto"/>
            <w:vAlign w:val="center"/>
          </w:tcPr>
          <w:p>
            <w:pPr>
              <w:spacing w:line="240" w:lineRule="auto"/>
              <w:jc w:val="center"/>
              <w:rPr>
                <w:rFonts w:hint="eastAsia"/>
                <w:sz w:val="21"/>
                <w:szCs w:val="21"/>
                <w:lang w:val="en-US" w:eastAsia="zh-CN"/>
              </w:rPr>
            </w:pPr>
            <w:r>
              <w:rPr>
                <w:rFonts w:hint="eastAsia"/>
                <w:sz w:val="21"/>
                <w:szCs w:val="21"/>
                <w:lang w:val="en-US" w:eastAsia="zh-CN"/>
              </w:rPr>
              <w:t>达标</w:t>
            </w:r>
          </w:p>
        </w:tc>
      </w:tr>
    </w:tbl>
    <w:p>
      <w:pPr>
        <w:spacing w:beforeLines="50"/>
        <w:ind w:firstLine="480" w:firstLineChars="200"/>
        <w:rPr>
          <w:rFonts w:hint="eastAsia"/>
        </w:rPr>
      </w:pPr>
      <w:r>
        <w:t>根据监测结果可知，本次验收监测</w:t>
      </w:r>
      <w:r>
        <w:rPr>
          <w:rFonts w:hint="eastAsia"/>
        </w:rPr>
        <w:t>期间</w:t>
      </w:r>
      <w:r>
        <w:rPr>
          <w:rFonts w:ascii="Times New Roman" w:hAnsi="Times New Roman" w:eastAsia="宋体" w:cs="Times New Roman"/>
        </w:rPr>
        <w:t>东厂界和北侧噪声排放执行《工业企业厂界环境噪声排放标准》(GB12348－2008)中的4类标准；其余两侧厂界噪声执行《工业企业厂界环境噪声排放标准》(GB12348－2008)中的3类标准。</w:t>
      </w:r>
    </w:p>
    <w:p>
      <w:pPr>
        <w:pStyle w:val="2"/>
        <w:ind w:left="0" w:leftChars="0" w:firstLine="0" w:firstLineChars="0"/>
        <w:rPr>
          <w:rFonts w:hint="eastAsia"/>
        </w:rPr>
      </w:pPr>
    </w:p>
    <w:p>
      <w:pPr>
        <w:sectPr>
          <w:pgSz w:w="11906" w:h="16838"/>
          <w:pgMar w:top="1440" w:right="1800" w:bottom="1440" w:left="1800" w:header="851" w:footer="992" w:gutter="0"/>
          <w:pgNumType w:fmt="decimal"/>
          <w:cols w:space="425" w:num="1"/>
          <w:docGrid w:type="lines" w:linePitch="312" w:charSpace="0"/>
        </w:sectPr>
      </w:pPr>
      <w:r>
        <w:br w:type="page"/>
      </w:r>
    </w:p>
    <w:p>
      <w:pPr>
        <w:pStyle w:val="7"/>
        <w:keepNext/>
        <w:keepLines/>
        <w:pageBreakBefore w:val="0"/>
        <w:widowControl w:val="0"/>
        <w:kinsoku/>
        <w:wordWrap/>
        <w:overflowPunct/>
        <w:topLinePunct w:val="0"/>
        <w:autoSpaceDE/>
        <w:autoSpaceDN/>
        <w:bidi w:val="0"/>
        <w:adjustRightInd/>
        <w:snapToGrid/>
        <w:spacing w:beforeLines="0" w:afterLines="0"/>
        <w:ind w:left="0" w:leftChars="0" w:firstLine="0" w:firstLineChars="0"/>
        <w:textAlignment w:val="auto"/>
        <w:rPr>
          <w:rFonts w:hint="eastAsia" w:eastAsia="宋体"/>
          <w:sz w:val="30"/>
          <w:szCs w:val="30"/>
          <w:lang w:eastAsia="zh-CN"/>
        </w:rPr>
      </w:pPr>
      <w:r>
        <w:rPr>
          <w:rFonts w:hint="eastAsia"/>
          <w:sz w:val="30"/>
          <w:szCs w:val="30"/>
        </w:rPr>
        <w:t>9</w:t>
      </w:r>
      <w:r>
        <w:rPr>
          <w:sz w:val="30"/>
          <w:szCs w:val="30"/>
        </w:rPr>
        <w:t>.</w:t>
      </w:r>
      <w:r>
        <w:rPr>
          <w:rFonts w:hint="eastAsia"/>
          <w:sz w:val="30"/>
          <w:szCs w:val="30"/>
        </w:rPr>
        <w:t>2</w:t>
      </w:r>
      <w:r>
        <w:rPr>
          <w:sz w:val="30"/>
          <w:szCs w:val="30"/>
        </w:rPr>
        <w:t>.</w:t>
      </w:r>
      <w:r>
        <w:rPr>
          <w:rFonts w:hint="eastAsia"/>
          <w:sz w:val="30"/>
          <w:szCs w:val="30"/>
          <w:lang w:val="en-US" w:eastAsia="zh-CN"/>
        </w:rPr>
        <w:t>3</w:t>
      </w:r>
      <w:r>
        <w:rPr>
          <w:rFonts w:hint="eastAsia"/>
          <w:sz w:val="30"/>
          <w:szCs w:val="30"/>
          <w:lang w:eastAsia="zh-CN"/>
        </w:rPr>
        <w:t>废水</w:t>
      </w:r>
    </w:p>
    <w:p>
      <w:pPr>
        <w:ind w:firstLine="480" w:firstLineChars="200"/>
        <w:jc w:val="left"/>
        <w:rPr>
          <w:b/>
          <w:bCs/>
          <w:szCs w:val="21"/>
        </w:rPr>
      </w:pPr>
      <w:r>
        <w:t>本次验收监测项目厂界噪声监测</w:t>
      </w:r>
      <w:r>
        <w:rPr>
          <w:bCs/>
          <w:kern w:val="0"/>
          <w:szCs w:val="20"/>
        </w:rPr>
        <w:t>情况如下所示。</w:t>
      </w:r>
    </w:p>
    <w:p>
      <w:pPr>
        <w:jc w:val="center"/>
        <w:rPr>
          <w:rFonts w:hint="eastAsia" w:ascii="Times New Roman" w:hAnsi="Times New Roman" w:eastAsia="黑体" w:cs="Times New Roman"/>
          <w:b w:val="0"/>
          <w:bCs w:val="0"/>
          <w:sz w:val="21"/>
          <w:szCs w:val="21"/>
          <w:lang w:val="en-US" w:eastAsia="zh-CN"/>
        </w:rPr>
      </w:pPr>
      <w:r>
        <w:rPr>
          <w:rFonts w:hint="eastAsia" w:ascii="Times New Roman" w:hAnsi="Times New Roman" w:eastAsia="黑体" w:cs="Times New Roman"/>
          <w:b w:val="0"/>
          <w:bCs w:val="0"/>
          <w:sz w:val="21"/>
          <w:szCs w:val="21"/>
          <w:lang w:val="en-US" w:eastAsia="zh-CN"/>
        </w:rPr>
        <w:t xml:space="preserve">表9.2-4 </w:t>
      </w:r>
      <w:r>
        <w:rPr>
          <w:rFonts w:hint="eastAsia" w:eastAsia="黑体" w:cs="Times New Roman"/>
          <w:b w:val="0"/>
          <w:bCs w:val="0"/>
          <w:sz w:val="21"/>
          <w:szCs w:val="21"/>
          <w:lang w:val="en-US" w:eastAsia="zh-CN"/>
        </w:rPr>
        <w:t>废水</w:t>
      </w:r>
      <w:r>
        <w:rPr>
          <w:rFonts w:hint="eastAsia" w:ascii="Times New Roman" w:hAnsi="Times New Roman" w:eastAsia="黑体" w:cs="Times New Roman"/>
          <w:b w:val="0"/>
          <w:bCs w:val="0"/>
          <w:sz w:val="21"/>
          <w:szCs w:val="21"/>
          <w:lang w:val="en-US" w:eastAsia="zh-CN"/>
        </w:rPr>
        <w:t>检测结果统计表</w:t>
      </w:r>
    </w:p>
    <w:tbl>
      <w:tblPr>
        <w:tblStyle w:val="18"/>
        <w:tblW w:w="576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3"/>
        <w:gridCol w:w="1196"/>
        <w:gridCol w:w="2563"/>
        <w:gridCol w:w="1601"/>
        <w:gridCol w:w="1601"/>
        <w:gridCol w:w="1601"/>
        <w:gridCol w:w="1603"/>
        <w:gridCol w:w="2058"/>
        <w:gridCol w:w="20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pct"/>
            <w:vMerge w:val="restart"/>
            <w:vAlign w:val="center"/>
          </w:tcPr>
          <w:p>
            <w:pPr>
              <w:adjustRightInd w:val="0"/>
              <w:snapToGrid w:val="0"/>
              <w:spacing w:line="221" w:lineRule="auto"/>
              <w:jc w:val="center"/>
              <w:rPr>
                <w:rFonts w:hint="eastAsia" w:eastAsia="宋体"/>
                <w:sz w:val="21"/>
                <w:szCs w:val="21"/>
                <w:lang w:eastAsia="zh-CN"/>
              </w:rPr>
            </w:pPr>
            <w:r>
              <w:rPr>
                <w:sz w:val="21"/>
                <w:szCs w:val="21"/>
              </w:rPr>
              <w:t>采样</w:t>
            </w:r>
            <w:r>
              <w:rPr>
                <w:rFonts w:hint="eastAsia"/>
                <w:sz w:val="21"/>
                <w:szCs w:val="21"/>
                <w:lang w:eastAsia="zh-CN"/>
              </w:rPr>
              <w:t>日期</w:t>
            </w:r>
          </w:p>
        </w:tc>
        <w:tc>
          <w:tcPr>
            <w:tcW w:w="385" w:type="pct"/>
            <w:vMerge w:val="restart"/>
            <w:vAlign w:val="center"/>
          </w:tcPr>
          <w:p>
            <w:pPr>
              <w:adjustRightInd w:val="0"/>
              <w:snapToGrid w:val="0"/>
              <w:spacing w:line="221" w:lineRule="auto"/>
              <w:jc w:val="center"/>
              <w:rPr>
                <w:sz w:val="21"/>
                <w:szCs w:val="21"/>
              </w:rPr>
            </w:pPr>
            <w:r>
              <w:rPr>
                <w:sz w:val="21"/>
                <w:szCs w:val="21"/>
              </w:rPr>
              <w:t>采样点位</w:t>
            </w:r>
          </w:p>
        </w:tc>
        <w:tc>
          <w:tcPr>
            <w:tcW w:w="826" w:type="pct"/>
            <w:vMerge w:val="restart"/>
            <w:vAlign w:val="center"/>
          </w:tcPr>
          <w:p>
            <w:pPr>
              <w:adjustRightInd w:val="0"/>
              <w:snapToGrid w:val="0"/>
              <w:spacing w:line="221" w:lineRule="auto"/>
              <w:jc w:val="center"/>
              <w:rPr>
                <w:sz w:val="21"/>
                <w:szCs w:val="21"/>
              </w:rPr>
            </w:pPr>
            <w:r>
              <w:rPr>
                <w:sz w:val="21"/>
                <w:szCs w:val="21"/>
              </w:rPr>
              <w:t>检测项目及单位</w:t>
            </w:r>
          </w:p>
        </w:tc>
        <w:tc>
          <w:tcPr>
            <w:tcW w:w="2064" w:type="pct"/>
            <w:gridSpan w:val="4"/>
            <w:vAlign w:val="center"/>
          </w:tcPr>
          <w:p>
            <w:pPr>
              <w:adjustRightInd w:val="0"/>
              <w:snapToGrid w:val="0"/>
              <w:spacing w:line="221" w:lineRule="auto"/>
              <w:jc w:val="center"/>
              <w:rPr>
                <w:sz w:val="21"/>
                <w:szCs w:val="21"/>
              </w:rPr>
            </w:pPr>
            <w:r>
              <w:rPr>
                <w:sz w:val="21"/>
                <w:szCs w:val="21"/>
              </w:rPr>
              <w:t>检测结果</w:t>
            </w:r>
          </w:p>
        </w:tc>
        <w:tc>
          <w:tcPr>
            <w:tcW w:w="663" w:type="pct"/>
            <w:vMerge w:val="restart"/>
            <w:vAlign w:val="center"/>
          </w:tcPr>
          <w:p>
            <w:pPr>
              <w:adjustRightInd w:val="0"/>
              <w:snapToGrid w:val="0"/>
              <w:spacing w:line="221" w:lineRule="auto"/>
              <w:jc w:val="center"/>
              <w:rPr>
                <w:sz w:val="21"/>
                <w:szCs w:val="21"/>
              </w:rPr>
            </w:pPr>
            <w:r>
              <w:rPr>
                <w:rFonts w:hint="eastAsia"/>
                <w:sz w:val="21"/>
                <w:szCs w:val="21"/>
              </w:rPr>
              <w:t>标准限值</w:t>
            </w:r>
          </w:p>
        </w:tc>
        <w:tc>
          <w:tcPr>
            <w:tcW w:w="663" w:type="pct"/>
            <w:vMerge w:val="restart"/>
            <w:vAlign w:val="center"/>
          </w:tcPr>
          <w:p>
            <w:pPr>
              <w:adjustRightInd w:val="0"/>
              <w:snapToGrid w:val="0"/>
              <w:spacing w:line="221" w:lineRule="auto"/>
              <w:jc w:val="center"/>
              <w:rPr>
                <w:rFonts w:hint="default" w:eastAsia="宋体"/>
                <w:sz w:val="21"/>
                <w:szCs w:val="21"/>
                <w:lang w:val="en-US" w:eastAsia="zh-CN"/>
              </w:rPr>
            </w:pPr>
            <w:r>
              <w:rPr>
                <w:rFonts w:hint="eastAsia"/>
                <w:sz w:val="21"/>
                <w:szCs w:val="21"/>
                <w:lang w:val="en-US" w:eastAsia="zh-CN"/>
              </w:rPr>
              <w:t>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397" w:type="pct"/>
            <w:vMerge w:val="continue"/>
            <w:vAlign w:val="center"/>
          </w:tcPr>
          <w:p>
            <w:pPr>
              <w:adjustRightInd w:val="0"/>
              <w:snapToGrid w:val="0"/>
              <w:spacing w:line="221" w:lineRule="auto"/>
              <w:jc w:val="center"/>
            </w:pPr>
          </w:p>
        </w:tc>
        <w:tc>
          <w:tcPr>
            <w:tcW w:w="385" w:type="pct"/>
            <w:vMerge w:val="continue"/>
            <w:vAlign w:val="center"/>
          </w:tcPr>
          <w:p>
            <w:pPr>
              <w:adjustRightInd w:val="0"/>
              <w:snapToGrid w:val="0"/>
              <w:spacing w:line="221" w:lineRule="auto"/>
              <w:jc w:val="center"/>
            </w:pPr>
          </w:p>
        </w:tc>
        <w:tc>
          <w:tcPr>
            <w:tcW w:w="826" w:type="pct"/>
            <w:vMerge w:val="continue"/>
            <w:vAlign w:val="center"/>
          </w:tcPr>
          <w:p>
            <w:pPr>
              <w:adjustRightInd w:val="0"/>
              <w:snapToGrid w:val="0"/>
              <w:spacing w:line="221" w:lineRule="auto"/>
              <w:jc w:val="center"/>
            </w:pPr>
          </w:p>
        </w:tc>
        <w:tc>
          <w:tcPr>
            <w:tcW w:w="515" w:type="pct"/>
            <w:vAlign w:val="center"/>
          </w:tcPr>
          <w:p>
            <w:pPr>
              <w:keepNext w:val="0"/>
              <w:keepLines w:val="0"/>
              <w:suppressLineNumbers w:val="0"/>
              <w:adjustRightInd w:val="0"/>
              <w:snapToGrid w:val="0"/>
              <w:spacing w:before="0" w:beforeAutospacing="0" w:after="0" w:afterAutospacing="0" w:line="221" w:lineRule="auto"/>
              <w:ind w:left="0" w:leftChars="0" w:right="0" w:rightChars="0"/>
              <w:jc w:val="center"/>
              <w:rPr>
                <w:sz w:val="21"/>
                <w:szCs w:val="21"/>
              </w:rPr>
            </w:pPr>
            <w:r>
              <w:rPr>
                <w:rFonts w:hint="default" w:ascii="Times New Roman" w:hAnsi="Times New Roman" w:cs="Times New Roman"/>
                <w:sz w:val="21"/>
                <w:szCs w:val="21"/>
                <w:lang w:eastAsia="zh-CN"/>
              </w:rPr>
              <w:t>第一次</w:t>
            </w:r>
          </w:p>
        </w:tc>
        <w:tc>
          <w:tcPr>
            <w:tcW w:w="515" w:type="pct"/>
            <w:vAlign w:val="center"/>
          </w:tcPr>
          <w:p>
            <w:pPr>
              <w:keepNext w:val="0"/>
              <w:keepLines w:val="0"/>
              <w:suppressLineNumbers w:val="0"/>
              <w:adjustRightInd w:val="0"/>
              <w:snapToGrid w:val="0"/>
              <w:spacing w:before="0" w:beforeAutospacing="0" w:after="0" w:afterAutospacing="0" w:line="221" w:lineRule="auto"/>
              <w:ind w:left="0" w:leftChars="0" w:right="0" w:rightChars="0"/>
              <w:jc w:val="center"/>
              <w:rPr>
                <w:sz w:val="21"/>
                <w:szCs w:val="21"/>
              </w:rPr>
            </w:pPr>
            <w:r>
              <w:rPr>
                <w:rFonts w:hint="default" w:ascii="Times New Roman" w:hAnsi="Times New Roman" w:cs="Times New Roman"/>
                <w:sz w:val="21"/>
                <w:szCs w:val="21"/>
                <w:lang w:eastAsia="zh-CN"/>
              </w:rPr>
              <w:t>第二次</w:t>
            </w:r>
          </w:p>
        </w:tc>
        <w:tc>
          <w:tcPr>
            <w:tcW w:w="515" w:type="pct"/>
            <w:vAlign w:val="center"/>
          </w:tcPr>
          <w:p>
            <w:pPr>
              <w:keepNext w:val="0"/>
              <w:keepLines w:val="0"/>
              <w:suppressLineNumbers w:val="0"/>
              <w:adjustRightInd w:val="0"/>
              <w:snapToGrid w:val="0"/>
              <w:spacing w:before="0" w:beforeAutospacing="0" w:after="0" w:afterAutospacing="0" w:line="221" w:lineRule="auto"/>
              <w:ind w:left="0" w:leftChars="0" w:right="0" w:rightChars="0"/>
              <w:jc w:val="center"/>
              <w:rPr>
                <w:sz w:val="21"/>
                <w:szCs w:val="21"/>
              </w:rPr>
            </w:pPr>
            <w:r>
              <w:rPr>
                <w:rFonts w:hint="default" w:ascii="Times New Roman" w:hAnsi="Times New Roman" w:cs="Times New Roman"/>
                <w:sz w:val="21"/>
                <w:szCs w:val="21"/>
                <w:lang w:eastAsia="zh-CN"/>
              </w:rPr>
              <w:t>第三次</w:t>
            </w:r>
          </w:p>
        </w:tc>
        <w:tc>
          <w:tcPr>
            <w:tcW w:w="516" w:type="pct"/>
            <w:vAlign w:val="center"/>
          </w:tcPr>
          <w:p>
            <w:pPr>
              <w:keepNext w:val="0"/>
              <w:keepLines w:val="0"/>
              <w:suppressLineNumbers w:val="0"/>
              <w:adjustRightInd w:val="0"/>
              <w:snapToGrid w:val="0"/>
              <w:spacing w:before="0" w:beforeAutospacing="0" w:after="0" w:afterAutospacing="0" w:line="221" w:lineRule="auto"/>
              <w:ind w:left="0" w:leftChars="0" w:right="0" w:rightChars="0"/>
              <w:jc w:val="center"/>
              <w:rPr>
                <w:sz w:val="21"/>
                <w:szCs w:val="21"/>
              </w:rPr>
            </w:pPr>
            <w:r>
              <w:rPr>
                <w:rFonts w:hint="default" w:ascii="Times New Roman" w:hAnsi="Times New Roman" w:cs="Times New Roman"/>
                <w:sz w:val="21"/>
                <w:szCs w:val="21"/>
                <w:lang w:eastAsia="zh-CN"/>
              </w:rPr>
              <w:t>第</w:t>
            </w:r>
            <w:r>
              <w:rPr>
                <w:rFonts w:hint="eastAsia" w:ascii="Times New Roman" w:hAnsi="Times New Roman" w:cs="Times New Roman"/>
                <w:sz w:val="21"/>
                <w:szCs w:val="21"/>
                <w:lang w:eastAsia="zh-CN"/>
              </w:rPr>
              <w:t>四</w:t>
            </w:r>
            <w:r>
              <w:rPr>
                <w:rFonts w:hint="default" w:ascii="Times New Roman" w:hAnsi="Times New Roman" w:cs="Times New Roman"/>
                <w:sz w:val="21"/>
                <w:szCs w:val="21"/>
                <w:lang w:eastAsia="zh-CN"/>
              </w:rPr>
              <w:t>次</w:t>
            </w:r>
          </w:p>
        </w:tc>
        <w:tc>
          <w:tcPr>
            <w:tcW w:w="663" w:type="pct"/>
            <w:vMerge w:val="continue"/>
            <w:vAlign w:val="center"/>
          </w:tcPr>
          <w:p>
            <w:pPr>
              <w:adjustRightInd w:val="0"/>
              <w:snapToGrid w:val="0"/>
              <w:spacing w:line="221" w:lineRule="auto"/>
              <w:jc w:val="center"/>
              <w:rPr>
                <w:sz w:val="21"/>
                <w:szCs w:val="21"/>
              </w:rPr>
            </w:pPr>
          </w:p>
        </w:tc>
        <w:tc>
          <w:tcPr>
            <w:tcW w:w="663" w:type="pct"/>
            <w:vMerge w:val="continue"/>
            <w:vAlign w:val="center"/>
          </w:tcPr>
          <w:p>
            <w:pPr>
              <w:adjustRightInd w:val="0"/>
              <w:snapToGrid w:val="0"/>
              <w:spacing w:line="221" w:lineRule="auto"/>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7" w:type="pct"/>
            <w:vMerge w:val="restart"/>
            <w:vAlign w:val="center"/>
          </w:tcPr>
          <w:p>
            <w:pPr>
              <w:widowControl/>
              <w:jc w:val="center"/>
              <w:textAlignment w:val="center"/>
              <w:rPr>
                <w:sz w:val="21"/>
                <w:szCs w:val="21"/>
              </w:rPr>
            </w:pPr>
            <w:r>
              <w:rPr>
                <w:rFonts w:hint="eastAsia" w:ascii="Times New Roman" w:hAnsi="Times New Roman" w:cs="Times New Roman"/>
                <w:sz w:val="21"/>
                <w:szCs w:val="21"/>
                <w:lang w:val="en-US" w:eastAsia="zh-CN"/>
              </w:rPr>
              <w:t>2022.05.31</w:t>
            </w:r>
          </w:p>
        </w:tc>
        <w:tc>
          <w:tcPr>
            <w:tcW w:w="385" w:type="pct"/>
            <w:vMerge w:val="restart"/>
            <w:vAlign w:val="center"/>
          </w:tcPr>
          <w:p>
            <w:pPr>
              <w:widowControl/>
              <w:jc w:val="center"/>
              <w:textAlignment w:val="center"/>
              <w:rPr>
                <w:rFonts w:hint="eastAsia"/>
                <w:sz w:val="21"/>
                <w:szCs w:val="21"/>
              </w:rPr>
            </w:pPr>
            <w:r>
              <w:rPr>
                <w:rFonts w:hint="eastAsia" w:ascii="宋体" w:hAnsi="宋体" w:eastAsia="宋体" w:cs="宋体"/>
                <w:sz w:val="21"/>
                <w:szCs w:val="21"/>
                <w:lang w:val="en-US" w:eastAsia="zh-CN"/>
              </w:rPr>
              <w:t>废水排口</w:t>
            </w:r>
          </w:p>
        </w:tc>
        <w:tc>
          <w:tcPr>
            <w:tcW w:w="826" w:type="pct"/>
            <w:vAlign w:val="center"/>
          </w:tcPr>
          <w:p>
            <w:pPr>
              <w:keepNext w:val="0"/>
              <w:keepLines w:val="0"/>
              <w:widowControl/>
              <w:suppressLineNumbers w:val="0"/>
              <w:spacing w:before="0" w:beforeAutospacing="0" w:after="0" w:afterAutospacing="0"/>
              <w:ind w:left="0" w:leftChars="0" w:right="0" w:rightChars="0"/>
              <w:jc w:val="center"/>
              <w:textAlignment w:val="center"/>
              <w:rPr>
                <w:kern w:val="0"/>
                <w:sz w:val="21"/>
                <w:szCs w:val="21"/>
              </w:rPr>
            </w:pPr>
            <w:r>
              <w:rPr>
                <w:rFonts w:hint="default" w:ascii="Times New Roman" w:hAnsi="Times New Roman" w:cs="Times New Roman" w:eastAsiaTheme="minorEastAsia"/>
                <w:b w:val="0"/>
                <w:bCs w:val="0"/>
                <w:i w:val="0"/>
                <w:color w:val="auto"/>
                <w:kern w:val="0"/>
                <w:sz w:val="21"/>
                <w:szCs w:val="21"/>
                <w:u w:val="none"/>
                <w:lang w:val="en-US" w:eastAsia="zh-CN" w:bidi="ar"/>
              </w:rPr>
              <w:t>pH（无量纲）</w:t>
            </w:r>
          </w:p>
        </w:tc>
        <w:tc>
          <w:tcPr>
            <w:tcW w:w="515" w:type="pct"/>
            <w:vAlign w:val="center"/>
          </w:tcPr>
          <w:p>
            <w:pPr>
              <w:widowControl/>
              <w:jc w:val="center"/>
              <w:textAlignment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7.1</w:t>
            </w:r>
            <w:r>
              <w:rPr>
                <w:rFonts w:hint="default" w:ascii="Times New Roman" w:hAnsi="Times New Roman" w:cs="Times New Roman"/>
                <w:sz w:val="21"/>
                <w:szCs w:val="21"/>
                <w:lang w:val="en-US" w:eastAsia="zh-CN"/>
              </w:rPr>
              <w:t>（</w:t>
            </w:r>
            <w:r>
              <w:rPr>
                <w:rFonts w:hint="eastAsia" w:ascii="Times New Roman" w:hAnsi="Times New Roman" w:cs="Times New Roman"/>
                <w:sz w:val="21"/>
                <w:szCs w:val="21"/>
                <w:lang w:val="en-US" w:eastAsia="zh-CN"/>
              </w:rPr>
              <w:t>22.2</w:t>
            </w:r>
            <w:r>
              <w:rPr>
                <w:rFonts w:hint="default" w:ascii="Times New Roman" w:hAnsi="Times New Roman" w:cs="Times New Roman"/>
                <w:sz w:val="21"/>
                <w:szCs w:val="21"/>
                <w:lang w:val="en-US" w:eastAsia="zh-CN"/>
              </w:rPr>
              <w:t>℃）</w:t>
            </w:r>
          </w:p>
        </w:tc>
        <w:tc>
          <w:tcPr>
            <w:tcW w:w="515" w:type="pct"/>
            <w:vAlign w:val="center"/>
          </w:tcPr>
          <w:p>
            <w:pPr>
              <w:widowControl/>
              <w:jc w:val="center"/>
              <w:textAlignment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7.0</w:t>
            </w:r>
            <w:r>
              <w:rPr>
                <w:rFonts w:hint="default" w:ascii="Times New Roman" w:hAnsi="Times New Roman" w:cs="Times New Roman"/>
                <w:sz w:val="21"/>
                <w:szCs w:val="21"/>
                <w:lang w:val="en-US" w:eastAsia="zh-CN"/>
              </w:rPr>
              <w:t>（</w:t>
            </w:r>
            <w:r>
              <w:rPr>
                <w:rFonts w:hint="eastAsia" w:ascii="Times New Roman" w:hAnsi="Times New Roman" w:cs="Times New Roman"/>
                <w:sz w:val="21"/>
                <w:szCs w:val="21"/>
                <w:lang w:val="en-US" w:eastAsia="zh-CN"/>
              </w:rPr>
              <w:t>22.6</w:t>
            </w:r>
            <w:r>
              <w:rPr>
                <w:rFonts w:hint="default" w:ascii="Times New Roman" w:hAnsi="Times New Roman" w:cs="Times New Roman"/>
                <w:sz w:val="21"/>
                <w:szCs w:val="21"/>
                <w:lang w:val="en-US" w:eastAsia="zh-CN"/>
              </w:rPr>
              <w:t>℃）</w:t>
            </w:r>
          </w:p>
        </w:tc>
        <w:tc>
          <w:tcPr>
            <w:tcW w:w="515" w:type="pct"/>
            <w:vAlign w:val="center"/>
          </w:tcPr>
          <w:p>
            <w:pPr>
              <w:widowControl/>
              <w:jc w:val="center"/>
              <w:textAlignment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7.1</w:t>
            </w:r>
            <w:r>
              <w:rPr>
                <w:rFonts w:hint="default" w:ascii="Times New Roman" w:hAnsi="Times New Roman" w:cs="Times New Roman"/>
                <w:sz w:val="21"/>
                <w:szCs w:val="21"/>
                <w:lang w:val="en-US" w:eastAsia="zh-CN"/>
              </w:rPr>
              <w:t>（</w:t>
            </w:r>
            <w:r>
              <w:rPr>
                <w:rFonts w:hint="eastAsia" w:ascii="Times New Roman" w:hAnsi="Times New Roman" w:cs="Times New Roman"/>
                <w:sz w:val="21"/>
                <w:szCs w:val="21"/>
                <w:lang w:val="en-US" w:eastAsia="zh-CN"/>
              </w:rPr>
              <w:t>22.8</w:t>
            </w:r>
            <w:r>
              <w:rPr>
                <w:rFonts w:hint="default" w:ascii="Times New Roman" w:hAnsi="Times New Roman" w:cs="Times New Roman"/>
                <w:sz w:val="21"/>
                <w:szCs w:val="21"/>
                <w:lang w:val="en-US" w:eastAsia="zh-CN"/>
              </w:rPr>
              <w:t>℃）</w:t>
            </w:r>
          </w:p>
        </w:tc>
        <w:tc>
          <w:tcPr>
            <w:tcW w:w="516" w:type="pct"/>
            <w:vAlign w:val="center"/>
          </w:tcPr>
          <w:p>
            <w:pPr>
              <w:widowControl/>
              <w:jc w:val="center"/>
              <w:textAlignment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7.1</w:t>
            </w:r>
            <w:r>
              <w:rPr>
                <w:rFonts w:hint="default" w:ascii="Times New Roman" w:hAnsi="Times New Roman" w:cs="Times New Roman"/>
                <w:sz w:val="21"/>
                <w:szCs w:val="21"/>
                <w:lang w:val="en-US" w:eastAsia="zh-CN"/>
              </w:rPr>
              <w:t>（</w:t>
            </w:r>
            <w:r>
              <w:rPr>
                <w:rFonts w:hint="eastAsia" w:ascii="Times New Roman" w:hAnsi="Times New Roman" w:cs="Times New Roman"/>
                <w:sz w:val="21"/>
                <w:szCs w:val="21"/>
                <w:lang w:val="en-US" w:eastAsia="zh-CN"/>
              </w:rPr>
              <w:t>22.6</w:t>
            </w:r>
            <w:r>
              <w:rPr>
                <w:rFonts w:hint="default" w:ascii="Times New Roman" w:hAnsi="Times New Roman" w:cs="Times New Roman"/>
                <w:sz w:val="21"/>
                <w:szCs w:val="21"/>
                <w:lang w:val="en-US" w:eastAsia="zh-CN"/>
              </w:rPr>
              <w:t>℃）</w:t>
            </w:r>
          </w:p>
        </w:tc>
        <w:tc>
          <w:tcPr>
            <w:tcW w:w="663" w:type="pct"/>
            <w:vAlign w:val="center"/>
          </w:tcPr>
          <w:p>
            <w:pPr>
              <w:widowControl/>
              <w:jc w:val="center"/>
              <w:textAlignment w:val="center"/>
              <w:rPr>
                <w:rFonts w:hint="default" w:eastAsia="宋体"/>
                <w:bCs/>
                <w:sz w:val="21"/>
                <w:szCs w:val="21"/>
                <w:lang w:val="en-US" w:eastAsia="zh-CN"/>
              </w:rPr>
            </w:pPr>
            <w:r>
              <w:rPr>
                <w:rFonts w:hint="eastAsia"/>
                <w:bCs/>
                <w:sz w:val="21"/>
                <w:szCs w:val="21"/>
                <w:lang w:val="en-US" w:eastAsia="zh-CN"/>
              </w:rPr>
              <w:t>7-9</w:t>
            </w:r>
          </w:p>
        </w:tc>
        <w:tc>
          <w:tcPr>
            <w:tcW w:w="663" w:type="pct"/>
            <w:vAlign w:val="center"/>
          </w:tcPr>
          <w:p>
            <w:pPr>
              <w:widowControl/>
              <w:jc w:val="center"/>
              <w:textAlignment w:val="center"/>
              <w:rPr>
                <w:rFonts w:hint="eastAsia"/>
                <w:bCs/>
                <w:sz w:val="21"/>
                <w:szCs w:val="21"/>
                <w:lang w:val="en-US" w:eastAsia="zh-CN"/>
              </w:rPr>
            </w:pPr>
            <w:r>
              <w:rPr>
                <w:rFonts w:hint="eastAsia"/>
                <w:sz w:val="21"/>
                <w:szCs w:val="21"/>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7" w:type="pct"/>
            <w:vMerge w:val="continue"/>
            <w:vAlign w:val="center"/>
          </w:tcPr>
          <w:p>
            <w:pPr>
              <w:widowControl/>
              <w:jc w:val="center"/>
              <w:textAlignment w:val="center"/>
              <w:rPr>
                <w:sz w:val="21"/>
                <w:szCs w:val="21"/>
              </w:rPr>
            </w:pPr>
          </w:p>
        </w:tc>
        <w:tc>
          <w:tcPr>
            <w:tcW w:w="385" w:type="pct"/>
            <w:vMerge w:val="continue"/>
            <w:vAlign w:val="center"/>
          </w:tcPr>
          <w:p>
            <w:pPr>
              <w:widowControl/>
              <w:jc w:val="center"/>
              <w:textAlignment w:val="center"/>
              <w:rPr>
                <w:sz w:val="21"/>
                <w:szCs w:val="21"/>
              </w:rPr>
            </w:pPr>
          </w:p>
        </w:tc>
        <w:tc>
          <w:tcPr>
            <w:tcW w:w="826" w:type="pct"/>
            <w:vAlign w:val="center"/>
          </w:tcPr>
          <w:p>
            <w:pPr>
              <w:keepNext w:val="0"/>
              <w:keepLines w:val="0"/>
              <w:widowControl/>
              <w:suppressLineNumbers w:val="0"/>
              <w:spacing w:before="0" w:beforeAutospacing="0" w:after="0" w:afterAutospacing="0"/>
              <w:ind w:left="0" w:leftChars="0" w:right="0" w:rightChars="0"/>
              <w:jc w:val="center"/>
              <w:textAlignment w:val="center"/>
              <w:rPr>
                <w:kern w:val="0"/>
                <w:sz w:val="21"/>
                <w:szCs w:val="21"/>
              </w:rPr>
            </w:pPr>
            <w:r>
              <w:rPr>
                <w:rFonts w:hint="default" w:ascii="Times New Roman" w:hAnsi="Times New Roman" w:cs="Times New Roman"/>
                <w:i w:val="0"/>
                <w:iCs w:val="0"/>
                <w:color w:val="000000"/>
                <w:kern w:val="0"/>
                <w:sz w:val="21"/>
                <w:szCs w:val="21"/>
                <w:u w:val="none"/>
                <w:lang w:val="en-US" w:eastAsia="zh-CN" w:bidi="ar"/>
              </w:rPr>
              <w:t>化学需氧量（mg/L）</w:t>
            </w:r>
          </w:p>
        </w:tc>
        <w:tc>
          <w:tcPr>
            <w:tcW w:w="515"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227</w:t>
            </w:r>
          </w:p>
        </w:tc>
        <w:tc>
          <w:tcPr>
            <w:tcW w:w="515"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205</w:t>
            </w:r>
          </w:p>
        </w:tc>
        <w:tc>
          <w:tcPr>
            <w:tcW w:w="515"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241</w:t>
            </w:r>
          </w:p>
        </w:tc>
        <w:tc>
          <w:tcPr>
            <w:tcW w:w="516"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195</w:t>
            </w:r>
          </w:p>
        </w:tc>
        <w:tc>
          <w:tcPr>
            <w:tcW w:w="663" w:type="pct"/>
            <w:vAlign w:val="center"/>
          </w:tcPr>
          <w:p>
            <w:pPr>
              <w:widowControl/>
              <w:jc w:val="center"/>
              <w:textAlignment w:val="center"/>
              <w:rPr>
                <w:rFonts w:hint="default" w:eastAsia="宋体"/>
                <w:bCs/>
                <w:sz w:val="21"/>
                <w:szCs w:val="21"/>
                <w:lang w:val="en-US" w:eastAsia="zh-CN"/>
              </w:rPr>
            </w:pPr>
            <w:r>
              <w:rPr>
                <w:rFonts w:hint="eastAsia"/>
                <w:bCs/>
                <w:sz w:val="21"/>
                <w:szCs w:val="21"/>
                <w:lang w:val="en-US" w:eastAsia="zh-CN"/>
              </w:rPr>
              <w:t>500</w:t>
            </w:r>
          </w:p>
        </w:tc>
        <w:tc>
          <w:tcPr>
            <w:tcW w:w="663" w:type="pct"/>
            <w:vAlign w:val="center"/>
          </w:tcPr>
          <w:p>
            <w:pPr>
              <w:widowControl/>
              <w:jc w:val="center"/>
              <w:textAlignment w:val="center"/>
              <w:rPr>
                <w:rFonts w:hint="eastAsia"/>
                <w:bCs/>
                <w:sz w:val="21"/>
                <w:szCs w:val="21"/>
                <w:lang w:val="en-US" w:eastAsia="zh-CN"/>
              </w:rPr>
            </w:pPr>
            <w:r>
              <w:rPr>
                <w:rFonts w:hint="eastAsia"/>
                <w:sz w:val="21"/>
                <w:szCs w:val="21"/>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7" w:type="pct"/>
            <w:vMerge w:val="continue"/>
            <w:vAlign w:val="center"/>
          </w:tcPr>
          <w:p>
            <w:pPr>
              <w:widowControl/>
              <w:jc w:val="center"/>
              <w:textAlignment w:val="center"/>
              <w:rPr>
                <w:sz w:val="21"/>
                <w:szCs w:val="21"/>
              </w:rPr>
            </w:pPr>
          </w:p>
        </w:tc>
        <w:tc>
          <w:tcPr>
            <w:tcW w:w="385" w:type="pct"/>
            <w:vMerge w:val="continue"/>
            <w:vAlign w:val="center"/>
          </w:tcPr>
          <w:p>
            <w:pPr>
              <w:widowControl/>
              <w:jc w:val="center"/>
              <w:textAlignment w:val="center"/>
              <w:rPr>
                <w:sz w:val="21"/>
                <w:szCs w:val="21"/>
              </w:rPr>
            </w:pPr>
          </w:p>
        </w:tc>
        <w:tc>
          <w:tcPr>
            <w:tcW w:w="826" w:type="pct"/>
            <w:vAlign w:val="center"/>
          </w:tcPr>
          <w:p>
            <w:pPr>
              <w:keepNext w:val="0"/>
              <w:keepLines w:val="0"/>
              <w:widowControl/>
              <w:suppressLineNumbers w:val="0"/>
              <w:spacing w:before="0" w:beforeAutospacing="0" w:after="0" w:afterAutospacing="0"/>
              <w:ind w:left="0" w:leftChars="0" w:right="0" w:rightChars="0"/>
              <w:jc w:val="center"/>
              <w:textAlignment w:val="center"/>
              <w:rPr>
                <w:kern w:val="0"/>
                <w:sz w:val="21"/>
                <w:szCs w:val="21"/>
              </w:rPr>
            </w:pPr>
            <w:r>
              <w:rPr>
                <w:rFonts w:hint="default" w:ascii="Times New Roman" w:hAnsi="Times New Roman" w:cs="Times New Roman"/>
                <w:i w:val="0"/>
                <w:iCs w:val="0"/>
                <w:color w:val="000000"/>
                <w:kern w:val="0"/>
                <w:sz w:val="21"/>
                <w:szCs w:val="21"/>
                <w:u w:val="none"/>
                <w:lang w:val="en-US" w:eastAsia="zh-CN" w:bidi="ar"/>
              </w:rPr>
              <w:t>氨氮（mg/L）</w:t>
            </w:r>
          </w:p>
        </w:tc>
        <w:tc>
          <w:tcPr>
            <w:tcW w:w="515"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29.9</w:t>
            </w:r>
          </w:p>
        </w:tc>
        <w:tc>
          <w:tcPr>
            <w:tcW w:w="515"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29.3</w:t>
            </w:r>
          </w:p>
        </w:tc>
        <w:tc>
          <w:tcPr>
            <w:tcW w:w="515"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28.2</w:t>
            </w:r>
          </w:p>
        </w:tc>
        <w:tc>
          <w:tcPr>
            <w:tcW w:w="516"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26.7</w:t>
            </w:r>
          </w:p>
        </w:tc>
        <w:tc>
          <w:tcPr>
            <w:tcW w:w="663" w:type="pct"/>
            <w:vAlign w:val="center"/>
          </w:tcPr>
          <w:p>
            <w:pPr>
              <w:widowControl/>
              <w:jc w:val="center"/>
              <w:textAlignment w:val="center"/>
              <w:rPr>
                <w:rFonts w:hint="default" w:eastAsia="宋体"/>
                <w:bCs/>
                <w:sz w:val="21"/>
                <w:szCs w:val="21"/>
                <w:lang w:val="en-US" w:eastAsia="zh-CN"/>
              </w:rPr>
            </w:pPr>
            <w:r>
              <w:rPr>
                <w:rFonts w:hint="eastAsia"/>
                <w:bCs/>
                <w:sz w:val="21"/>
                <w:szCs w:val="21"/>
                <w:lang w:val="en-US" w:eastAsia="zh-CN"/>
              </w:rPr>
              <w:t>35</w:t>
            </w:r>
          </w:p>
        </w:tc>
        <w:tc>
          <w:tcPr>
            <w:tcW w:w="663" w:type="pct"/>
            <w:vAlign w:val="center"/>
          </w:tcPr>
          <w:p>
            <w:pPr>
              <w:widowControl/>
              <w:jc w:val="center"/>
              <w:textAlignment w:val="center"/>
              <w:rPr>
                <w:rFonts w:hint="eastAsia"/>
                <w:bCs/>
                <w:sz w:val="21"/>
                <w:szCs w:val="21"/>
                <w:lang w:val="en-US" w:eastAsia="zh-CN"/>
              </w:rPr>
            </w:pPr>
            <w:r>
              <w:rPr>
                <w:rFonts w:hint="eastAsia"/>
                <w:sz w:val="21"/>
                <w:szCs w:val="21"/>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7" w:type="pct"/>
            <w:vMerge w:val="continue"/>
            <w:vAlign w:val="center"/>
          </w:tcPr>
          <w:p>
            <w:pPr>
              <w:widowControl/>
              <w:jc w:val="center"/>
              <w:textAlignment w:val="center"/>
              <w:rPr>
                <w:sz w:val="21"/>
                <w:szCs w:val="21"/>
              </w:rPr>
            </w:pPr>
          </w:p>
        </w:tc>
        <w:tc>
          <w:tcPr>
            <w:tcW w:w="385" w:type="pct"/>
            <w:vMerge w:val="continue"/>
            <w:vAlign w:val="center"/>
          </w:tcPr>
          <w:p>
            <w:pPr>
              <w:widowControl/>
              <w:jc w:val="center"/>
              <w:textAlignment w:val="center"/>
              <w:rPr>
                <w:sz w:val="21"/>
                <w:szCs w:val="21"/>
              </w:rPr>
            </w:pPr>
          </w:p>
        </w:tc>
        <w:tc>
          <w:tcPr>
            <w:tcW w:w="826" w:type="pct"/>
            <w:vAlign w:val="center"/>
          </w:tcPr>
          <w:p>
            <w:pPr>
              <w:keepNext w:val="0"/>
              <w:keepLines w:val="0"/>
              <w:widowControl/>
              <w:suppressLineNumbers w:val="0"/>
              <w:spacing w:before="0" w:beforeAutospacing="0" w:after="0" w:afterAutospacing="0"/>
              <w:ind w:left="0" w:leftChars="0" w:right="0" w:rightChars="0"/>
              <w:jc w:val="center"/>
              <w:textAlignment w:val="center"/>
              <w:rPr>
                <w:kern w:val="0"/>
                <w:sz w:val="21"/>
                <w:szCs w:val="21"/>
              </w:rPr>
            </w:pPr>
            <w:r>
              <w:rPr>
                <w:rFonts w:hint="eastAsia" w:ascii="Times New Roman" w:hAnsi="Times New Roman" w:cs="Times New Roman"/>
                <w:i w:val="0"/>
                <w:iCs w:val="0"/>
                <w:color w:val="000000"/>
                <w:kern w:val="0"/>
                <w:sz w:val="21"/>
                <w:szCs w:val="21"/>
                <w:u w:val="none"/>
                <w:lang w:val="en-US" w:eastAsia="zh-CN" w:bidi="ar"/>
              </w:rPr>
              <w:t>动植物油</w:t>
            </w:r>
            <w:r>
              <w:rPr>
                <w:rFonts w:hint="default" w:ascii="Times New Roman" w:hAnsi="Times New Roman" w:cs="Times New Roman"/>
                <w:i w:val="0"/>
                <w:iCs w:val="0"/>
                <w:color w:val="000000"/>
                <w:kern w:val="0"/>
                <w:sz w:val="21"/>
                <w:szCs w:val="21"/>
                <w:u w:val="none"/>
                <w:lang w:val="en-US" w:eastAsia="zh-CN" w:bidi="ar"/>
              </w:rPr>
              <w:t>（mg/L）</w:t>
            </w:r>
          </w:p>
        </w:tc>
        <w:tc>
          <w:tcPr>
            <w:tcW w:w="515"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0.76</w:t>
            </w:r>
          </w:p>
        </w:tc>
        <w:tc>
          <w:tcPr>
            <w:tcW w:w="515"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0.70</w:t>
            </w:r>
          </w:p>
        </w:tc>
        <w:tc>
          <w:tcPr>
            <w:tcW w:w="515"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0.67</w:t>
            </w:r>
          </w:p>
        </w:tc>
        <w:tc>
          <w:tcPr>
            <w:tcW w:w="516"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0.67</w:t>
            </w:r>
          </w:p>
        </w:tc>
        <w:tc>
          <w:tcPr>
            <w:tcW w:w="663" w:type="pct"/>
            <w:vAlign w:val="center"/>
          </w:tcPr>
          <w:p>
            <w:pPr>
              <w:widowControl/>
              <w:jc w:val="center"/>
              <w:textAlignment w:val="center"/>
              <w:rPr>
                <w:rFonts w:hint="default" w:eastAsia="宋体"/>
                <w:bCs/>
                <w:sz w:val="21"/>
                <w:szCs w:val="21"/>
                <w:lang w:val="en-US" w:eastAsia="zh-CN"/>
              </w:rPr>
            </w:pPr>
            <w:r>
              <w:rPr>
                <w:rFonts w:hint="eastAsia"/>
                <w:bCs/>
                <w:sz w:val="21"/>
                <w:szCs w:val="21"/>
                <w:lang w:val="en-US" w:eastAsia="zh-CN"/>
              </w:rPr>
              <w:t>100</w:t>
            </w:r>
          </w:p>
        </w:tc>
        <w:tc>
          <w:tcPr>
            <w:tcW w:w="663" w:type="pct"/>
            <w:vAlign w:val="center"/>
          </w:tcPr>
          <w:p>
            <w:pPr>
              <w:widowControl/>
              <w:jc w:val="center"/>
              <w:textAlignment w:val="center"/>
              <w:rPr>
                <w:rFonts w:hint="eastAsia"/>
                <w:bCs/>
                <w:sz w:val="21"/>
                <w:szCs w:val="21"/>
                <w:lang w:val="en-US" w:eastAsia="zh-CN"/>
              </w:rPr>
            </w:pPr>
            <w:r>
              <w:rPr>
                <w:rFonts w:hint="eastAsia"/>
                <w:sz w:val="21"/>
                <w:szCs w:val="21"/>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7" w:type="pct"/>
            <w:vMerge w:val="continue"/>
            <w:vAlign w:val="center"/>
          </w:tcPr>
          <w:p>
            <w:pPr>
              <w:widowControl/>
              <w:jc w:val="center"/>
              <w:textAlignment w:val="center"/>
              <w:rPr>
                <w:sz w:val="21"/>
                <w:szCs w:val="21"/>
              </w:rPr>
            </w:pPr>
          </w:p>
        </w:tc>
        <w:tc>
          <w:tcPr>
            <w:tcW w:w="385" w:type="pct"/>
            <w:vMerge w:val="continue"/>
            <w:vAlign w:val="center"/>
          </w:tcPr>
          <w:p>
            <w:pPr>
              <w:widowControl/>
              <w:jc w:val="center"/>
              <w:textAlignment w:val="center"/>
              <w:rPr>
                <w:sz w:val="21"/>
                <w:szCs w:val="21"/>
              </w:rPr>
            </w:pPr>
          </w:p>
        </w:tc>
        <w:tc>
          <w:tcPr>
            <w:tcW w:w="826" w:type="pct"/>
            <w:vAlign w:val="center"/>
          </w:tcPr>
          <w:p>
            <w:pPr>
              <w:keepNext w:val="0"/>
              <w:keepLines w:val="0"/>
              <w:widowControl/>
              <w:suppressLineNumbers w:val="0"/>
              <w:spacing w:before="0" w:beforeAutospacing="0" w:after="0" w:afterAutospacing="0"/>
              <w:ind w:left="0" w:leftChars="0" w:right="0" w:rightChars="0"/>
              <w:jc w:val="center"/>
              <w:textAlignment w:val="center"/>
              <w:rPr>
                <w:kern w:val="0"/>
                <w:sz w:val="21"/>
                <w:szCs w:val="21"/>
              </w:rPr>
            </w:pPr>
            <w:r>
              <w:rPr>
                <w:rFonts w:hint="eastAsia" w:ascii="Times New Roman" w:hAnsi="Times New Roman" w:cs="Times New Roman"/>
                <w:i w:val="0"/>
                <w:iCs w:val="0"/>
                <w:color w:val="000000"/>
                <w:kern w:val="0"/>
                <w:sz w:val="21"/>
                <w:szCs w:val="21"/>
                <w:u w:val="none"/>
                <w:lang w:val="en-US" w:eastAsia="zh-CN" w:bidi="ar"/>
              </w:rPr>
              <w:t>悬浮物</w:t>
            </w:r>
            <w:r>
              <w:rPr>
                <w:rFonts w:hint="default" w:ascii="Times New Roman" w:hAnsi="Times New Roman" w:cs="Times New Roman"/>
                <w:i w:val="0"/>
                <w:iCs w:val="0"/>
                <w:color w:val="000000"/>
                <w:kern w:val="0"/>
                <w:sz w:val="21"/>
                <w:szCs w:val="21"/>
                <w:u w:val="none"/>
                <w:lang w:val="en-US" w:eastAsia="zh-CN" w:bidi="ar"/>
              </w:rPr>
              <w:t>（mg/L）</w:t>
            </w:r>
          </w:p>
        </w:tc>
        <w:tc>
          <w:tcPr>
            <w:tcW w:w="515"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59</w:t>
            </w:r>
          </w:p>
        </w:tc>
        <w:tc>
          <w:tcPr>
            <w:tcW w:w="515"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58</w:t>
            </w:r>
          </w:p>
        </w:tc>
        <w:tc>
          <w:tcPr>
            <w:tcW w:w="515"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60</w:t>
            </w:r>
          </w:p>
        </w:tc>
        <w:tc>
          <w:tcPr>
            <w:tcW w:w="516"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61</w:t>
            </w:r>
          </w:p>
        </w:tc>
        <w:tc>
          <w:tcPr>
            <w:tcW w:w="663" w:type="pct"/>
            <w:vAlign w:val="center"/>
          </w:tcPr>
          <w:p>
            <w:pPr>
              <w:widowControl/>
              <w:jc w:val="center"/>
              <w:textAlignment w:val="center"/>
              <w:rPr>
                <w:rFonts w:hint="default" w:eastAsia="宋体"/>
                <w:bCs/>
                <w:sz w:val="21"/>
                <w:szCs w:val="21"/>
                <w:lang w:val="en-US" w:eastAsia="zh-CN"/>
              </w:rPr>
            </w:pPr>
            <w:r>
              <w:rPr>
                <w:rFonts w:hint="eastAsia"/>
                <w:bCs/>
                <w:sz w:val="21"/>
                <w:szCs w:val="21"/>
                <w:lang w:val="en-US" w:eastAsia="zh-CN"/>
              </w:rPr>
              <w:t>400</w:t>
            </w:r>
          </w:p>
        </w:tc>
        <w:tc>
          <w:tcPr>
            <w:tcW w:w="663" w:type="pct"/>
            <w:vAlign w:val="center"/>
          </w:tcPr>
          <w:p>
            <w:pPr>
              <w:widowControl/>
              <w:jc w:val="center"/>
              <w:textAlignment w:val="center"/>
              <w:rPr>
                <w:rFonts w:hint="eastAsia"/>
                <w:bCs/>
                <w:sz w:val="21"/>
                <w:szCs w:val="21"/>
                <w:lang w:val="en-US" w:eastAsia="zh-CN"/>
              </w:rPr>
            </w:pPr>
            <w:r>
              <w:rPr>
                <w:rFonts w:hint="eastAsia"/>
                <w:sz w:val="21"/>
                <w:szCs w:val="21"/>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7" w:type="pct"/>
            <w:vMerge w:val="continue"/>
            <w:vAlign w:val="center"/>
          </w:tcPr>
          <w:p>
            <w:pPr>
              <w:widowControl/>
              <w:jc w:val="center"/>
              <w:textAlignment w:val="center"/>
              <w:rPr>
                <w:sz w:val="21"/>
                <w:szCs w:val="21"/>
              </w:rPr>
            </w:pPr>
          </w:p>
        </w:tc>
        <w:tc>
          <w:tcPr>
            <w:tcW w:w="385" w:type="pct"/>
            <w:vMerge w:val="continue"/>
            <w:vAlign w:val="center"/>
          </w:tcPr>
          <w:p>
            <w:pPr>
              <w:widowControl/>
              <w:jc w:val="center"/>
              <w:textAlignment w:val="center"/>
              <w:rPr>
                <w:sz w:val="21"/>
                <w:szCs w:val="21"/>
              </w:rPr>
            </w:pPr>
          </w:p>
        </w:tc>
        <w:tc>
          <w:tcPr>
            <w:tcW w:w="826" w:type="pct"/>
            <w:vAlign w:val="center"/>
          </w:tcPr>
          <w:p>
            <w:pPr>
              <w:keepNext w:val="0"/>
              <w:keepLines w:val="0"/>
              <w:widowControl/>
              <w:suppressLineNumbers w:val="0"/>
              <w:spacing w:before="0" w:beforeAutospacing="0" w:after="0" w:afterAutospacing="0"/>
              <w:ind w:left="0" w:leftChars="0" w:right="0" w:rightChars="0"/>
              <w:jc w:val="center"/>
              <w:textAlignment w:val="center"/>
              <w:rPr>
                <w:kern w:val="0"/>
                <w:sz w:val="21"/>
                <w:szCs w:val="21"/>
              </w:rPr>
            </w:pPr>
            <w:r>
              <w:rPr>
                <w:rFonts w:hint="eastAsia" w:ascii="Times New Roman" w:hAnsi="Times New Roman" w:cs="Times New Roman"/>
                <w:i w:val="0"/>
                <w:iCs w:val="0"/>
                <w:color w:val="000000"/>
                <w:kern w:val="0"/>
                <w:sz w:val="21"/>
                <w:szCs w:val="21"/>
                <w:u w:val="none"/>
                <w:lang w:val="en-US" w:eastAsia="zh-CN" w:bidi="ar"/>
              </w:rPr>
              <w:t>五日生化需氧量</w:t>
            </w:r>
            <w:r>
              <w:rPr>
                <w:rFonts w:hint="default" w:ascii="Times New Roman" w:hAnsi="Times New Roman" w:cs="Times New Roman"/>
                <w:i w:val="0"/>
                <w:iCs w:val="0"/>
                <w:color w:val="000000"/>
                <w:kern w:val="0"/>
                <w:sz w:val="21"/>
                <w:szCs w:val="21"/>
                <w:u w:val="none"/>
                <w:lang w:val="en-US" w:eastAsia="zh-CN" w:bidi="ar"/>
              </w:rPr>
              <w:t>（mg/L）</w:t>
            </w:r>
          </w:p>
        </w:tc>
        <w:tc>
          <w:tcPr>
            <w:tcW w:w="515"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56.8</w:t>
            </w:r>
          </w:p>
        </w:tc>
        <w:tc>
          <w:tcPr>
            <w:tcW w:w="515"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55.1</w:t>
            </w:r>
          </w:p>
        </w:tc>
        <w:tc>
          <w:tcPr>
            <w:tcW w:w="515"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57.6</w:t>
            </w:r>
          </w:p>
        </w:tc>
        <w:tc>
          <w:tcPr>
            <w:tcW w:w="516"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55.4</w:t>
            </w:r>
          </w:p>
        </w:tc>
        <w:tc>
          <w:tcPr>
            <w:tcW w:w="663" w:type="pct"/>
            <w:vAlign w:val="center"/>
          </w:tcPr>
          <w:p>
            <w:pPr>
              <w:widowControl/>
              <w:jc w:val="center"/>
              <w:textAlignment w:val="center"/>
              <w:rPr>
                <w:rFonts w:hint="default" w:eastAsia="宋体"/>
                <w:bCs/>
                <w:sz w:val="21"/>
                <w:szCs w:val="21"/>
                <w:lang w:val="en-US" w:eastAsia="zh-CN"/>
              </w:rPr>
            </w:pPr>
            <w:r>
              <w:rPr>
                <w:rFonts w:hint="eastAsia"/>
                <w:bCs/>
                <w:sz w:val="21"/>
                <w:szCs w:val="21"/>
                <w:lang w:val="en-US" w:eastAsia="zh-CN"/>
              </w:rPr>
              <w:t>300</w:t>
            </w:r>
          </w:p>
        </w:tc>
        <w:tc>
          <w:tcPr>
            <w:tcW w:w="663" w:type="pct"/>
            <w:vAlign w:val="center"/>
          </w:tcPr>
          <w:p>
            <w:pPr>
              <w:widowControl/>
              <w:jc w:val="center"/>
              <w:textAlignment w:val="center"/>
              <w:rPr>
                <w:rFonts w:hint="eastAsia"/>
                <w:bCs/>
                <w:sz w:val="21"/>
                <w:szCs w:val="21"/>
                <w:lang w:val="en-US" w:eastAsia="zh-CN"/>
              </w:rPr>
            </w:pPr>
            <w:r>
              <w:rPr>
                <w:rFonts w:hint="eastAsia"/>
                <w:sz w:val="21"/>
                <w:szCs w:val="21"/>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7" w:type="pct"/>
            <w:vMerge w:val="restart"/>
            <w:vAlign w:val="center"/>
          </w:tcPr>
          <w:p>
            <w:pPr>
              <w:widowControl/>
              <w:jc w:val="center"/>
              <w:textAlignment w:val="center"/>
              <w:rPr>
                <w:sz w:val="21"/>
                <w:szCs w:val="21"/>
              </w:rPr>
            </w:pPr>
            <w:r>
              <w:rPr>
                <w:rFonts w:hint="eastAsia" w:ascii="Times New Roman" w:hAnsi="Times New Roman" w:cs="Times New Roman"/>
                <w:sz w:val="21"/>
                <w:szCs w:val="21"/>
                <w:lang w:val="en-US" w:eastAsia="zh-CN"/>
              </w:rPr>
              <w:t>2022.06.01</w:t>
            </w:r>
          </w:p>
        </w:tc>
        <w:tc>
          <w:tcPr>
            <w:tcW w:w="385" w:type="pct"/>
            <w:vMerge w:val="restart"/>
            <w:vAlign w:val="center"/>
          </w:tcPr>
          <w:p>
            <w:pPr>
              <w:widowControl/>
              <w:jc w:val="center"/>
              <w:textAlignment w:val="center"/>
              <w:rPr>
                <w:sz w:val="21"/>
                <w:szCs w:val="21"/>
              </w:rPr>
            </w:pPr>
            <w:r>
              <w:rPr>
                <w:rFonts w:hint="eastAsia" w:ascii="宋体" w:hAnsi="宋体" w:eastAsia="宋体" w:cs="宋体"/>
                <w:sz w:val="21"/>
                <w:szCs w:val="21"/>
                <w:lang w:val="en-US" w:eastAsia="zh-CN"/>
              </w:rPr>
              <w:t>废水排口</w:t>
            </w:r>
          </w:p>
        </w:tc>
        <w:tc>
          <w:tcPr>
            <w:tcW w:w="826" w:type="pct"/>
            <w:vAlign w:val="center"/>
          </w:tcPr>
          <w:p>
            <w:pPr>
              <w:keepNext w:val="0"/>
              <w:keepLines w:val="0"/>
              <w:widowControl/>
              <w:suppressLineNumbers w:val="0"/>
              <w:spacing w:before="0" w:beforeAutospacing="0" w:after="0" w:afterAutospacing="0"/>
              <w:ind w:left="0" w:leftChars="0" w:right="0" w:rightChars="0"/>
              <w:jc w:val="center"/>
              <w:textAlignment w:val="center"/>
              <w:rPr>
                <w:kern w:val="0"/>
                <w:sz w:val="21"/>
                <w:szCs w:val="21"/>
              </w:rPr>
            </w:pPr>
            <w:r>
              <w:rPr>
                <w:rFonts w:hint="default" w:ascii="Times New Roman" w:hAnsi="Times New Roman" w:cs="Times New Roman" w:eastAsiaTheme="minorEastAsia"/>
                <w:b w:val="0"/>
                <w:bCs w:val="0"/>
                <w:i w:val="0"/>
                <w:color w:val="auto"/>
                <w:kern w:val="0"/>
                <w:sz w:val="21"/>
                <w:szCs w:val="21"/>
                <w:u w:val="none"/>
                <w:lang w:val="en-US" w:eastAsia="zh-CN" w:bidi="ar"/>
              </w:rPr>
              <w:t>pH（无量纲）</w:t>
            </w:r>
          </w:p>
        </w:tc>
        <w:tc>
          <w:tcPr>
            <w:tcW w:w="515" w:type="pct"/>
            <w:vAlign w:val="center"/>
          </w:tcPr>
          <w:p>
            <w:pPr>
              <w:widowControl/>
              <w:jc w:val="center"/>
              <w:textAlignment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7.1（21.8℃）</w:t>
            </w:r>
          </w:p>
        </w:tc>
        <w:tc>
          <w:tcPr>
            <w:tcW w:w="515" w:type="pct"/>
            <w:vAlign w:val="center"/>
          </w:tcPr>
          <w:p>
            <w:pPr>
              <w:widowControl/>
              <w:jc w:val="center"/>
              <w:textAlignment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7.0（22.2℃）</w:t>
            </w:r>
          </w:p>
        </w:tc>
        <w:tc>
          <w:tcPr>
            <w:tcW w:w="515" w:type="pct"/>
            <w:vAlign w:val="center"/>
          </w:tcPr>
          <w:p>
            <w:pPr>
              <w:widowControl/>
              <w:jc w:val="center"/>
              <w:textAlignment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7.0（22.2℃）</w:t>
            </w:r>
          </w:p>
        </w:tc>
        <w:tc>
          <w:tcPr>
            <w:tcW w:w="516" w:type="pct"/>
            <w:vAlign w:val="center"/>
          </w:tcPr>
          <w:p>
            <w:pPr>
              <w:widowControl/>
              <w:jc w:val="center"/>
              <w:textAlignment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7.1（22.0℃）</w:t>
            </w:r>
          </w:p>
        </w:tc>
        <w:tc>
          <w:tcPr>
            <w:tcW w:w="663" w:type="pct"/>
            <w:vAlign w:val="center"/>
          </w:tcPr>
          <w:p>
            <w:pPr>
              <w:widowControl/>
              <w:jc w:val="center"/>
              <w:textAlignment w:val="center"/>
              <w:rPr>
                <w:bCs/>
                <w:sz w:val="21"/>
                <w:szCs w:val="21"/>
              </w:rPr>
            </w:pPr>
            <w:r>
              <w:rPr>
                <w:rFonts w:hint="eastAsia"/>
                <w:bCs/>
                <w:sz w:val="21"/>
                <w:szCs w:val="21"/>
                <w:lang w:val="en-US" w:eastAsia="zh-CN"/>
              </w:rPr>
              <w:t>7-9</w:t>
            </w:r>
          </w:p>
        </w:tc>
        <w:tc>
          <w:tcPr>
            <w:tcW w:w="663" w:type="pct"/>
            <w:vAlign w:val="center"/>
          </w:tcPr>
          <w:p>
            <w:pPr>
              <w:widowControl/>
              <w:jc w:val="center"/>
              <w:textAlignment w:val="center"/>
              <w:rPr>
                <w:rFonts w:hint="eastAsia"/>
                <w:bCs/>
                <w:sz w:val="21"/>
                <w:szCs w:val="21"/>
                <w:lang w:val="en-US" w:eastAsia="zh-CN"/>
              </w:rPr>
            </w:pPr>
            <w:r>
              <w:rPr>
                <w:rFonts w:hint="eastAsia"/>
                <w:sz w:val="21"/>
                <w:szCs w:val="21"/>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7" w:type="pct"/>
            <w:vMerge w:val="continue"/>
            <w:vAlign w:val="center"/>
          </w:tcPr>
          <w:p>
            <w:pPr>
              <w:widowControl/>
              <w:jc w:val="center"/>
              <w:textAlignment w:val="center"/>
              <w:rPr>
                <w:sz w:val="21"/>
                <w:szCs w:val="21"/>
              </w:rPr>
            </w:pPr>
          </w:p>
        </w:tc>
        <w:tc>
          <w:tcPr>
            <w:tcW w:w="385" w:type="pct"/>
            <w:vMerge w:val="continue"/>
            <w:vAlign w:val="center"/>
          </w:tcPr>
          <w:p>
            <w:pPr>
              <w:widowControl/>
              <w:jc w:val="center"/>
              <w:textAlignment w:val="center"/>
              <w:rPr>
                <w:sz w:val="21"/>
                <w:szCs w:val="21"/>
              </w:rPr>
            </w:pPr>
          </w:p>
        </w:tc>
        <w:tc>
          <w:tcPr>
            <w:tcW w:w="826" w:type="pct"/>
            <w:vAlign w:val="center"/>
          </w:tcPr>
          <w:p>
            <w:pPr>
              <w:keepNext w:val="0"/>
              <w:keepLines w:val="0"/>
              <w:widowControl/>
              <w:suppressLineNumbers w:val="0"/>
              <w:spacing w:before="0" w:beforeAutospacing="0" w:after="0" w:afterAutospacing="0"/>
              <w:ind w:left="0" w:leftChars="0" w:right="0" w:rightChars="0"/>
              <w:jc w:val="center"/>
              <w:textAlignment w:val="center"/>
              <w:rPr>
                <w:kern w:val="0"/>
                <w:sz w:val="21"/>
                <w:szCs w:val="21"/>
              </w:rPr>
            </w:pPr>
            <w:r>
              <w:rPr>
                <w:rFonts w:hint="default" w:ascii="Times New Roman" w:hAnsi="Times New Roman" w:cs="Times New Roman"/>
                <w:i w:val="0"/>
                <w:iCs w:val="0"/>
                <w:color w:val="000000"/>
                <w:kern w:val="0"/>
                <w:sz w:val="21"/>
                <w:szCs w:val="21"/>
                <w:u w:val="none"/>
                <w:lang w:val="en-US" w:eastAsia="zh-CN" w:bidi="ar"/>
              </w:rPr>
              <w:t>化学需氧量（mg/L）</w:t>
            </w:r>
          </w:p>
        </w:tc>
        <w:tc>
          <w:tcPr>
            <w:tcW w:w="515"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395</w:t>
            </w:r>
          </w:p>
        </w:tc>
        <w:tc>
          <w:tcPr>
            <w:tcW w:w="515"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374</w:t>
            </w:r>
          </w:p>
        </w:tc>
        <w:tc>
          <w:tcPr>
            <w:tcW w:w="515"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402</w:t>
            </w:r>
          </w:p>
        </w:tc>
        <w:tc>
          <w:tcPr>
            <w:tcW w:w="516"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369</w:t>
            </w:r>
          </w:p>
        </w:tc>
        <w:tc>
          <w:tcPr>
            <w:tcW w:w="663" w:type="pct"/>
            <w:vAlign w:val="center"/>
          </w:tcPr>
          <w:p>
            <w:pPr>
              <w:widowControl/>
              <w:jc w:val="center"/>
              <w:textAlignment w:val="center"/>
              <w:rPr>
                <w:bCs/>
                <w:sz w:val="21"/>
                <w:szCs w:val="21"/>
              </w:rPr>
            </w:pPr>
            <w:r>
              <w:rPr>
                <w:rFonts w:hint="eastAsia"/>
                <w:bCs/>
                <w:sz w:val="21"/>
                <w:szCs w:val="21"/>
                <w:lang w:val="en-US" w:eastAsia="zh-CN"/>
              </w:rPr>
              <w:t>500</w:t>
            </w:r>
          </w:p>
        </w:tc>
        <w:tc>
          <w:tcPr>
            <w:tcW w:w="663" w:type="pct"/>
            <w:vAlign w:val="center"/>
          </w:tcPr>
          <w:p>
            <w:pPr>
              <w:widowControl/>
              <w:jc w:val="center"/>
              <w:textAlignment w:val="center"/>
              <w:rPr>
                <w:rFonts w:hint="eastAsia"/>
                <w:bCs/>
                <w:sz w:val="21"/>
                <w:szCs w:val="21"/>
                <w:lang w:val="en-US" w:eastAsia="zh-CN"/>
              </w:rPr>
            </w:pPr>
            <w:r>
              <w:rPr>
                <w:rFonts w:hint="eastAsia"/>
                <w:sz w:val="21"/>
                <w:szCs w:val="21"/>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7" w:type="pct"/>
            <w:vMerge w:val="continue"/>
            <w:vAlign w:val="center"/>
          </w:tcPr>
          <w:p>
            <w:pPr>
              <w:widowControl/>
              <w:jc w:val="center"/>
              <w:textAlignment w:val="center"/>
              <w:rPr>
                <w:sz w:val="21"/>
                <w:szCs w:val="21"/>
              </w:rPr>
            </w:pPr>
          </w:p>
        </w:tc>
        <w:tc>
          <w:tcPr>
            <w:tcW w:w="385" w:type="pct"/>
            <w:vMerge w:val="continue"/>
            <w:vAlign w:val="center"/>
          </w:tcPr>
          <w:p>
            <w:pPr>
              <w:widowControl/>
              <w:jc w:val="center"/>
              <w:textAlignment w:val="center"/>
              <w:rPr>
                <w:rFonts w:hint="eastAsia"/>
                <w:sz w:val="21"/>
                <w:szCs w:val="21"/>
              </w:rPr>
            </w:pPr>
          </w:p>
        </w:tc>
        <w:tc>
          <w:tcPr>
            <w:tcW w:w="826" w:type="pct"/>
            <w:vAlign w:val="center"/>
          </w:tcPr>
          <w:p>
            <w:pPr>
              <w:keepNext w:val="0"/>
              <w:keepLines w:val="0"/>
              <w:widowControl/>
              <w:suppressLineNumbers w:val="0"/>
              <w:spacing w:before="0" w:beforeAutospacing="0" w:after="0" w:afterAutospacing="0"/>
              <w:ind w:left="0" w:leftChars="0" w:right="0" w:rightChars="0"/>
              <w:jc w:val="center"/>
              <w:textAlignment w:val="center"/>
              <w:rPr>
                <w:kern w:val="0"/>
                <w:sz w:val="21"/>
                <w:szCs w:val="21"/>
              </w:rPr>
            </w:pPr>
            <w:r>
              <w:rPr>
                <w:rFonts w:hint="default" w:ascii="Times New Roman" w:hAnsi="Times New Roman" w:cs="Times New Roman"/>
                <w:i w:val="0"/>
                <w:iCs w:val="0"/>
                <w:color w:val="000000"/>
                <w:kern w:val="0"/>
                <w:sz w:val="21"/>
                <w:szCs w:val="21"/>
                <w:u w:val="none"/>
                <w:lang w:val="en-US" w:eastAsia="zh-CN" w:bidi="ar"/>
              </w:rPr>
              <w:t>氨氮（mg/L）</w:t>
            </w:r>
          </w:p>
        </w:tc>
        <w:tc>
          <w:tcPr>
            <w:tcW w:w="515"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27.9</w:t>
            </w:r>
          </w:p>
        </w:tc>
        <w:tc>
          <w:tcPr>
            <w:tcW w:w="515"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26.3</w:t>
            </w:r>
          </w:p>
        </w:tc>
        <w:tc>
          <w:tcPr>
            <w:tcW w:w="515"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25.8</w:t>
            </w:r>
          </w:p>
        </w:tc>
        <w:tc>
          <w:tcPr>
            <w:tcW w:w="516"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24.9</w:t>
            </w:r>
          </w:p>
        </w:tc>
        <w:tc>
          <w:tcPr>
            <w:tcW w:w="663" w:type="pct"/>
            <w:vAlign w:val="center"/>
          </w:tcPr>
          <w:p>
            <w:pPr>
              <w:widowControl/>
              <w:jc w:val="center"/>
              <w:textAlignment w:val="center"/>
              <w:rPr>
                <w:bCs/>
                <w:sz w:val="21"/>
                <w:szCs w:val="21"/>
              </w:rPr>
            </w:pPr>
            <w:r>
              <w:rPr>
                <w:rFonts w:hint="eastAsia"/>
                <w:bCs/>
                <w:sz w:val="21"/>
                <w:szCs w:val="21"/>
                <w:lang w:val="en-US" w:eastAsia="zh-CN"/>
              </w:rPr>
              <w:t>35</w:t>
            </w:r>
          </w:p>
        </w:tc>
        <w:tc>
          <w:tcPr>
            <w:tcW w:w="663" w:type="pct"/>
            <w:vAlign w:val="center"/>
          </w:tcPr>
          <w:p>
            <w:pPr>
              <w:widowControl/>
              <w:jc w:val="center"/>
              <w:textAlignment w:val="center"/>
              <w:rPr>
                <w:rFonts w:hint="eastAsia"/>
                <w:bCs/>
                <w:sz w:val="21"/>
                <w:szCs w:val="21"/>
                <w:lang w:val="en-US" w:eastAsia="zh-CN"/>
              </w:rPr>
            </w:pPr>
            <w:r>
              <w:rPr>
                <w:rFonts w:hint="eastAsia"/>
                <w:sz w:val="21"/>
                <w:szCs w:val="21"/>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7" w:type="pct"/>
            <w:vMerge w:val="continue"/>
            <w:vAlign w:val="center"/>
          </w:tcPr>
          <w:p>
            <w:pPr>
              <w:widowControl/>
              <w:jc w:val="center"/>
              <w:textAlignment w:val="center"/>
              <w:rPr>
                <w:sz w:val="21"/>
                <w:szCs w:val="21"/>
              </w:rPr>
            </w:pPr>
          </w:p>
        </w:tc>
        <w:tc>
          <w:tcPr>
            <w:tcW w:w="385" w:type="pct"/>
            <w:vMerge w:val="continue"/>
            <w:vAlign w:val="center"/>
          </w:tcPr>
          <w:p>
            <w:pPr>
              <w:widowControl/>
              <w:jc w:val="center"/>
              <w:textAlignment w:val="center"/>
              <w:rPr>
                <w:sz w:val="21"/>
                <w:szCs w:val="21"/>
              </w:rPr>
            </w:pPr>
          </w:p>
        </w:tc>
        <w:tc>
          <w:tcPr>
            <w:tcW w:w="826" w:type="pct"/>
            <w:vAlign w:val="center"/>
          </w:tcPr>
          <w:p>
            <w:pPr>
              <w:keepNext w:val="0"/>
              <w:keepLines w:val="0"/>
              <w:widowControl/>
              <w:suppressLineNumbers w:val="0"/>
              <w:spacing w:before="0" w:beforeAutospacing="0" w:after="0" w:afterAutospacing="0"/>
              <w:ind w:left="0" w:leftChars="0" w:right="0" w:rightChars="0"/>
              <w:jc w:val="center"/>
              <w:textAlignment w:val="center"/>
              <w:rPr>
                <w:kern w:val="0"/>
                <w:sz w:val="21"/>
                <w:szCs w:val="21"/>
              </w:rPr>
            </w:pPr>
            <w:r>
              <w:rPr>
                <w:rFonts w:hint="eastAsia" w:ascii="Times New Roman" w:hAnsi="Times New Roman" w:cs="Times New Roman"/>
                <w:i w:val="0"/>
                <w:iCs w:val="0"/>
                <w:color w:val="000000"/>
                <w:kern w:val="0"/>
                <w:sz w:val="21"/>
                <w:szCs w:val="21"/>
                <w:u w:val="none"/>
                <w:lang w:val="en-US" w:eastAsia="zh-CN" w:bidi="ar"/>
              </w:rPr>
              <w:t>动植物油</w:t>
            </w:r>
            <w:r>
              <w:rPr>
                <w:rFonts w:hint="default" w:ascii="Times New Roman" w:hAnsi="Times New Roman" w:cs="Times New Roman"/>
                <w:i w:val="0"/>
                <w:iCs w:val="0"/>
                <w:color w:val="000000"/>
                <w:kern w:val="0"/>
                <w:sz w:val="21"/>
                <w:szCs w:val="21"/>
                <w:u w:val="none"/>
                <w:lang w:val="en-US" w:eastAsia="zh-CN" w:bidi="ar"/>
              </w:rPr>
              <w:t>（mg/L）</w:t>
            </w:r>
          </w:p>
        </w:tc>
        <w:tc>
          <w:tcPr>
            <w:tcW w:w="515"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0.8</w:t>
            </w:r>
          </w:p>
        </w:tc>
        <w:tc>
          <w:tcPr>
            <w:tcW w:w="515"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0.77</w:t>
            </w:r>
          </w:p>
        </w:tc>
        <w:tc>
          <w:tcPr>
            <w:tcW w:w="515"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0.79</w:t>
            </w:r>
          </w:p>
        </w:tc>
        <w:tc>
          <w:tcPr>
            <w:tcW w:w="516"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0.78</w:t>
            </w:r>
          </w:p>
        </w:tc>
        <w:tc>
          <w:tcPr>
            <w:tcW w:w="663" w:type="pct"/>
            <w:vAlign w:val="center"/>
          </w:tcPr>
          <w:p>
            <w:pPr>
              <w:widowControl/>
              <w:jc w:val="center"/>
              <w:textAlignment w:val="center"/>
              <w:rPr>
                <w:bCs/>
                <w:sz w:val="21"/>
                <w:szCs w:val="21"/>
              </w:rPr>
            </w:pPr>
            <w:r>
              <w:rPr>
                <w:rFonts w:hint="eastAsia"/>
                <w:bCs/>
                <w:sz w:val="21"/>
                <w:szCs w:val="21"/>
                <w:lang w:val="en-US" w:eastAsia="zh-CN"/>
              </w:rPr>
              <w:t>100</w:t>
            </w:r>
          </w:p>
        </w:tc>
        <w:tc>
          <w:tcPr>
            <w:tcW w:w="663" w:type="pct"/>
            <w:vAlign w:val="center"/>
          </w:tcPr>
          <w:p>
            <w:pPr>
              <w:widowControl/>
              <w:jc w:val="center"/>
              <w:textAlignment w:val="center"/>
              <w:rPr>
                <w:rFonts w:hint="eastAsia"/>
                <w:bCs/>
                <w:sz w:val="21"/>
                <w:szCs w:val="21"/>
                <w:lang w:val="en-US" w:eastAsia="zh-CN"/>
              </w:rPr>
            </w:pPr>
            <w:r>
              <w:rPr>
                <w:rFonts w:hint="eastAsia"/>
                <w:sz w:val="21"/>
                <w:szCs w:val="21"/>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97" w:type="pct"/>
            <w:vMerge w:val="continue"/>
            <w:vAlign w:val="center"/>
          </w:tcPr>
          <w:p>
            <w:pPr>
              <w:widowControl/>
              <w:jc w:val="center"/>
              <w:textAlignment w:val="center"/>
              <w:rPr>
                <w:sz w:val="21"/>
                <w:szCs w:val="21"/>
              </w:rPr>
            </w:pPr>
          </w:p>
        </w:tc>
        <w:tc>
          <w:tcPr>
            <w:tcW w:w="385" w:type="pct"/>
            <w:vMerge w:val="continue"/>
            <w:vAlign w:val="center"/>
          </w:tcPr>
          <w:p>
            <w:pPr>
              <w:widowControl/>
              <w:jc w:val="center"/>
              <w:textAlignment w:val="center"/>
              <w:rPr>
                <w:sz w:val="21"/>
                <w:szCs w:val="21"/>
              </w:rPr>
            </w:pPr>
          </w:p>
        </w:tc>
        <w:tc>
          <w:tcPr>
            <w:tcW w:w="826" w:type="pct"/>
            <w:vAlign w:val="center"/>
          </w:tcPr>
          <w:p>
            <w:pPr>
              <w:keepNext w:val="0"/>
              <w:keepLines w:val="0"/>
              <w:widowControl/>
              <w:suppressLineNumbers w:val="0"/>
              <w:spacing w:before="0" w:beforeAutospacing="0" w:after="0" w:afterAutospacing="0"/>
              <w:ind w:left="0" w:leftChars="0" w:right="0" w:rightChars="0"/>
              <w:jc w:val="center"/>
              <w:textAlignment w:val="center"/>
              <w:rPr>
                <w:kern w:val="0"/>
                <w:sz w:val="21"/>
                <w:szCs w:val="21"/>
              </w:rPr>
            </w:pPr>
            <w:r>
              <w:rPr>
                <w:rFonts w:hint="eastAsia" w:ascii="Times New Roman" w:hAnsi="Times New Roman" w:cs="Times New Roman"/>
                <w:i w:val="0"/>
                <w:iCs w:val="0"/>
                <w:color w:val="000000"/>
                <w:kern w:val="0"/>
                <w:sz w:val="21"/>
                <w:szCs w:val="21"/>
                <w:u w:val="none"/>
                <w:lang w:val="en-US" w:eastAsia="zh-CN" w:bidi="ar"/>
              </w:rPr>
              <w:t>悬浮物</w:t>
            </w:r>
            <w:r>
              <w:rPr>
                <w:rFonts w:hint="default" w:ascii="Times New Roman" w:hAnsi="Times New Roman" w:cs="Times New Roman"/>
                <w:i w:val="0"/>
                <w:iCs w:val="0"/>
                <w:color w:val="000000"/>
                <w:kern w:val="0"/>
                <w:sz w:val="21"/>
                <w:szCs w:val="21"/>
                <w:u w:val="none"/>
                <w:lang w:val="en-US" w:eastAsia="zh-CN" w:bidi="ar"/>
              </w:rPr>
              <w:t>（mg/L）</w:t>
            </w:r>
          </w:p>
        </w:tc>
        <w:tc>
          <w:tcPr>
            <w:tcW w:w="515"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57</w:t>
            </w:r>
          </w:p>
        </w:tc>
        <w:tc>
          <w:tcPr>
            <w:tcW w:w="515"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55</w:t>
            </w:r>
          </w:p>
        </w:tc>
        <w:tc>
          <w:tcPr>
            <w:tcW w:w="515"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56</w:t>
            </w:r>
          </w:p>
        </w:tc>
        <w:tc>
          <w:tcPr>
            <w:tcW w:w="516"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55</w:t>
            </w:r>
          </w:p>
        </w:tc>
        <w:tc>
          <w:tcPr>
            <w:tcW w:w="663" w:type="pct"/>
            <w:vAlign w:val="center"/>
          </w:tcPr>
          <w:p>
            <w:pPr>
              <w:widowControl/>
              <w:jc w:val="center"/>
              <w:textAlignment w:val="center"/>
              <w:rPr>
                <w:bCs/>
                <w:sz w:val="21"/>
                <w:szCs w:val="21"/>
              </w:rPr>
            </w:pPr>
            <w:r>
              <w:rPr>
                <w:rFonts w:hint="eastAsia"/>
                <w:bCs/>
                <w:sz w:val="21"/>
                <w:szCs w:val="21"/>
                <w:lang w:val="en-US" w:eastAsia="zh-CN"/>
              </w:rPr>
              <w:t>400</w:t>
            </w:r>
          </w:p>
        </w:tc>
        <w:tc>
          <w:tcPr>
            <w:tcW w:w="663" w:type="pct"/>
            <w:vAlign w:val="center"/>
          </w:tcPr>
          <w:p>
            <w:pPr>
              <w:widowControl/>
              <w:jc w:val="center"/>
              <w:textAlignment w:val="center"/>
              <w:rPr>
                <w:rFonts w:hint="eastAsia"/>
                <w:bCs/>
                <w:sz w:val="21"/>
                <w:szCs w:val="21"/>
                <w:lang w:val="en-US" w:eastAsia="zh-CN"/>
              </w:rPr>
            </w:pPr>
            <w:r>
              <w:rPr>
                <w:rFonts w:hint="eastAsia"/>
                <w:sz w:val="21"/>
                <w:szCs w:val="21"/>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97" w:type="pct"/>
            <w:vMerge w:val="continue"/>
            <w:vAlign w:val="center"/>
          </w:tcPr>
          <w:p>
            <w:pPr>
              <w:widowControl/>
              <w:jc w:val="center"/>
              <w:textAlignment w:val="center"/>
              <w:rPr>
                <w:sz w:val="21"/>
                <w:szCs w:val="21"/>
              </w:rPr>
            </w:pPr>
          </w:p>
        </w:tc>
        <w:tc>
          <w:tcPr>
            <w:tcW w:w="385" w:type="pct"/>
            <w:vMerge w:val="continue"/>
            <w:vAlign w:val="center"/>
          </w:tcPr>
          <w:p>
            <w:pPr>
              <w:widowControl/>
              <w:jc w:val="center"/>
              <w:textAlignment w:val="center"/>
              <w:rPr>
                <w:sz w:val="21"/>
                <w:szCs w:val="21"/>
              </w:rPr>
            </w:pPr>
          </w:p>
        </w:tc>
        <w:tc>
          <w:tcPr>
            <w:tcW w:w="826" w:type="pct"/>
            <w:vAlign w:val="center"/>
          </w:tcPr>
          <w:p>
            <w:pPr>
              <w:keepNext w:val="0"/>
              <w:keepLines w:val="0"/>
              <w:widowControl/>
              <w:suppressLineNumbers w:val="0"/>
              <w:spacing w:before="0" w:beforeAutospacing="0" w:after="0" w:afterAutospacing="0"/>
              <w:ind w:left="0" w:leftChars="0" w:right="0" w:rightChars="0"/>
              <w:jc w:val="center"/>
              <w:textAlignment w:val="center"/>
              <w:rPr>
                <w:kern w:val="0"/>
                <w:sz w:val="21"/>
                <w:szCs w:val="21"/>
              </w:rPr>
            </w:pPr>
            <w:r>
              <w:rPr>
                <w:rFonts w:hint="eastAsia" w:ascii="Times New Roman" w:hAnsi="Times New Roman" w:cs="Times New Roman"/>
                <w:i w:val="0"/>
                <w:iCs w:val="0"/>
                <w:color w:val="000000"/>
                <w:kern w:val="0"/>
                <w:sz w:val="21"/>
                <w:szCs w:val="21"/>
                <w:u w:val="none"/>
                <w:lang w:val="en-US" w:eastAsia="zh-CN" w:bidi="ar"/>
              </w:rPr>
              <w:t>五日生化需氧量</w:t>
            </w:r>
            <w:r>
              <w:rPr>
                <w:rFonts w:hint="default" w:ascii="Times New Roman" w:hAnsi="Times New Roman" w:cs="Times New Roman"/>
                <w:i w:val="0"/>
                <w:iCs w:val="0"/>
                <w:color w:val="000000"/>
                <w:kern w:val="0"/>
                <w:sz w:val="21"/>
                <w:szCs w:val="21"/>
                <w:u w:val="none"/>
                <w:lang w:val="en-US" w:eastAsia="zh-CN" w:bidi="ar"/>
              </w:rPr>
              <w:t>（mg/L）</w:t>
            </w:r>
          </w:p>
        </w:tc>
        <w:tc>
          <w:tcPr>
            <w:tcW w:w="515"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101</w:t>
            </w:r>
          </w:p>
        </w:tc>
        <w:tc>
          <w:tcPr>
            <w:tcW w:w="515"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104</w:t>
            </w:r>
          </w:p>
        </w:tc>
        <w:tc>
          <w:tcPr>
            <w:tcW w:w="515"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106</w:t>
            </w:r>
          </w:p>
        </w:tc>
        <w:tc>
          <w:tcPr>
            <w:tcW w:w="516" w:type="pct"/>
            <w:vAlign w:val="center"/>
          </w:tcPr>
          <w:p>
            <w:pPr>
              <w:keepNext w:val="0"/>
              <w:keepLines w:val="0"/>
              <w:widowControl/>
              <w:suppressLineNumbers w:val="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102</w:t>
            </w:r>
          </w:p>
        </w:tc>
        <w:tc>
          <w:tcPr>
            <w:tcW w:w="663" w:type="pct"/>
            <w:vAlign w:val="center"/>
          </w:tcPr>
          <w:p>
            <w:pPr>
              <w:widowControl/>
              <w:jc w:val="center"/>
              <w:textAlignment w:val="center"/>
              <w:rPr>
                <w:rFonts w:hint="default"/>
                <w:bCs/>
                <w:sz w:val="21"/>
                <w:szCs w:val="21"/>
                <w:lang w:val="en-US"/>
              </w:rPr>
            </w:pPr>
            <w:r>
              <w:rPr>
                <w:rFonts w:hint="eastAsia"/>
                <w:bCs/>
                <w:sz w:val="21"/>
                <w:szCs w:val="21"/>
                <w:lang w:val="en-US" w:eastAsia="zh-CN"/>
              </w:rPr>
              <w:t>300</w:t>
            </w:r>
          </w:p>
        </w:tc>
        <w:tc>
          <w:tcPr>
            <w:tcW w:w="663" w:type="pct"/>
            <w:vAlign w:val="center"/>
          </w:tcPr>
          <w:p>
            <w:pPr>
              <w:widowControl/>
              <w:jc w:val="center"/>
              <w:textAlignment w:val="center"/>
              <w:rPr>
                <w:rFonts w:hint="eastAsia"/>
                <w:bCs/>
                <w:sz w:val="21"/>
                <w:szCs w:val="21"/>
                <w:lang w:val="en-US" w:eastAsia="zh-CN"/>
              </w:rPr>
            </w:pPr>
            <w:r>
              <w:rPr>
                <w:rFonts w:hint="eastAsia"/>
                <w:sz w:val="21"/>
                <w:szCs w:val="21"/>
                <w:lang w:val="en-US" w:eastAsia="zh-CN"/>
              </w:rPr>
              <w:t>合格</w:t>
            </w:r>
          </w:p>
        </w:tc>
      </w:tr>
    </w:tbl>
    <w:p>
      <w:pPr>
        <w:rPr>
          <w:rFonts w:hint="eastAsia" w:eastAsia="宋体"/>
          <w:bCs/>
          <w:lang w:eastAsia="zh-CN"/>
        </w:rPr>
        <w:sectPr>
          <w:pgSz w:w="16838" w:h="11906" w:orient="landscape"/>
          <w:pgMar w:top="1440" w:right="1800" w:bottom="1440" w:left="1800" w:header="907" w:footer="992" w:gutter="0"/>
          <w:pgNumType w:fmt="decimal"/>
          <w:cols w:space="425" w:num="1"/>
          <w:docGrid w:type="lines" w:linePitch="312" w:charSpace="0"/>
        </w:sectPr>
      </w:pPr>
      <w:r>
        <w:t>废水经预处理</w:t>
      </w:r>
      <w:r>
        <w:rPr>
          <w:rFonts w:hint="eastAsia"/>
          <w:lang w:eastAsia="zh-CN"/>
        </w:rPr>
        <w:t>满足</w:t>
      </w:r>
      <w:r>
        <w:t>《污水综合排放标准》(GB8978-1996)中的三级标准</w:t>
      </w:r>
      <w:r>
        <w:rPr>
          <w:rFonts w:hint="eastAsia"/>
          <w:lang w:eastAsia="zh-CN"/>
        </w:rPr>
        <w:t>。</w:t>
      </w:r>
    </w:p>
    <w:p>
      <w:pPr>
        <w:keepNext w:val="0"/>
        <w:keepLines w:val="0"/>
        <w:pageBreakBefore w:val="0"/>
        <w:widowControl w:val="0"/>
        <w:kinsoku/>
        <w:wordWrap/>
        <w:overflowPunct/>
        <w:topLinePunct w:val="0"/>
        <w:autoSpaceDE/>
        <w:autoSpaceDN/>
        <w:bidi w:val="0"/>
        <w:adjustRightInd/>
        <w:snapToGrid/>
        <w:spacing w:before="120" w:after="120"/>
        <w:textAlignment w:val="auto"/>
        <w:outlineLvl w:val="0"/>
        <w:rPr>
          <w:sz w:val="36"/>
          <w:szCs w:val="36"/>
        </w:rPr>
      </w:pPr>
      <w:bookmarkStart w:id="129" w:name="_Toc10614"/>
      <w:r>
        <w:rPr>
          <w:rStyle w:val="23"/>
          <w:sz w:val="36"/>
          <w:szCs w:val="36"/>
        </w:rPr>
        <w:t>1</w:t>
      </w:r>
      <w:r>
        <w:rPr>
          <w:rStyle w:val="23"/>
          <w:rFonts w:hint="eastAsia"/>
          <w:sz w:val="36"/>
          <w:szCs w:val="36"/>
        </w:rPr>
        <w:t>0验收监测结论</w:t>
      </w:r>
      <w:bookmarkEnd w:id="129"/>
    </w:p>
    <w:p>
      <w:pPr>
        <w:pStyle w:val="6"/>
        <w:keepNext/>
        <w:keepLines w:val="0"/>
        <w:pageBreakBefore w:val="0"/>
        <w:widowControl w:val="0"/>
        <w:kinsoku/>
        <w:wordWrap/>
        <w:overflowPunct/>
        <w:topLinePunct w:val="0"/>
        <w:autoSpaceDE/>
        <w:autoSpaceDN/>
        <w:bidi w:val="0"/>
        <w:adjustRightInd/>
        <w:snapToGrid/>
        <w:spacing w:beforeLines="0" w:afterLines="0"/>
        <w:textAlignment w:val="auto"/>
        <w:rPr>
          <w:color w:val="auto"/>
          <w:sz w:val="32"/>
          <w:szCs w:val="32"/>
        </w:rPr>
      </w:pPr>
      <w:bookmarkStart w:id="130" w:name="_Toc20097"/>
      <w:r>
        <w:rPr>
          <w:rFonts w:hint="eastAsia"/>
          <w:color w:val="auto"/>
          <w:sz w:val="32"/>
          <w:szCs w:val="32"/>
        </w:rPr>
        <w:t>10.1环保设施调试效果</w:t>
      </w:r>
      <w:bookmarkEnd w:id="130"/>
    </w:p>
    <w:p>
      <w:pPr>
        <w:ind w:firstLine="480" w:firstLineChars="200"/>
      </w:pPr>
      <w:r>
        <w:t>（1）本次竣工环境保护验收为芜湖徽氏新材料科技有限公司锂电池胶带生产和精加工项目</w:t>
      </w:r>
      <w:r>
        <w:rPr>
          <w:rFonts w:hint="eastAsia"/>
          <w:lang w:eastAsia="zh-CN"/>
        </w:rPr>
        <w:t>（第</w:t>
      </w:r>
      <w:r>
        <w:rPr>
          <w:rFonts w:hint="eastAsia"/>
          <w:lang w:val="en-US" w:eastAsia="zh-CN"/>
        </w:rPr>
        <w:t>4、5、6</w:t>
      </w:r>
      <w:r>
        <w:rPr>
          <w:rFonts w:hint="eastAsia"/>
          <w:lang w:eastAsia="zh-CN"/>
        </w:rPr>
        <w:t>生产线）</w:t>
      </w:r>
      <w:r>
        <w:t>，验收监测时间为</w:t>
      </w:r>
      <w:r>
        <w:rPr>
          <w:rFonts w:hint="eastAsia"/>
        </w:rPr>
        <w:t>2022</w:t>
      </w:r>
      <w:r>
        <w:t>年</w:t>
      </w:r>
      <w:r>
        <w:rPr>
          <w:rFonts w:hint="eastAsia"/>
          <w:lang w:val="en-US" w:eastAsia="zh-CN"/>
        </w:rPr>
        <w:t>12</w:t>
      </w:r>
      <w:r>
        <w:t>月</w:t>
      </w:r>
      <w:r>
        <w:rPr>
          <w:rFonts w:hint="eastAsia"/>
          <w:lang w:val="en-US" w:eastAsia="zh-CN"/>
        </w:rPr>
        <w:t>13</w:t>
      </w:r>
      <w:r>
        <w:t>日-</w:t>
      </w:r>
      <w:r>
        <w:rPr>
          <w:rFonts w:hint="eastAsia"/>
          <w:lang w:val="en-US" w:eastAsia="zh-CN"/>
        </w:rPr>
        <w:t>12</w:t>
      </w:r>
      <w:r>
        <w:t>月</w:t>
      </w:r>
      <w:r>
        <w:rPr>
          <w:rFonts w:hint="eastAsia"/>
          <w:lang w:val="en-US" w:eastAsia="zh-CN"/>
        </w:rPr>
        <w:t>14</w:t>
      </w:r>
      <w:r>
        <w:t>日，验收监测期间建设项目实际生产</w:t>
      </w:r>
      <w:r>
        <w:rPr>
          <w:rFonts w:hint="eastAsia"/>
          <w:lang w:eastAsia="zh-CN"/>
        </w:rPr>
        <w:t>平均</w:t>
      </w:r>
      <w:r>
        <w:t>负荷</w:t>
      </w:r>
      <w:r>
        <w:rPr>
          <w:rFonts w:hint="eastAsia"/>
        </w:rPr>
        <w:t>为</w:t>
      </w:r>
      <w:r>
        <w:rPr>
          <w:rFonts w:hint="eastAsia"/>
          <w:lang w:val="en-US" w:eastAsia="zh-CN"/>
        </w:rPr>
        <w:t>91</w:t>
      </w:r>
      <w:r>
        <w:rPr>
          <w:rFonts w:hint="eastAsia"/>
        </w:rPr>
        <w:t>%</w:t>
      </w:r>
      <w:r>
        <w:t>，</w:t>
      </w:r>
      <w:r>
        <w:rPr>
          <w:rFonts w:hint="eastAsia"/>
        </w:rPr>
        <w:t>验收监测期间正常运行，</w:t>
      </w:r>
      <w:r>
        <w:t>符合竣工环境保护验收监测技术规范要求。</w:t>
      </w:r>
    </w:p>
    <w:p>
      <w:pPr>
        <w:pStyle w:val="21"/>
        <w:ind w:firstLine="480" w:firstLineChars="200"/>
        <w:rPr>
          <w:rFonts w:hint="eastAsia"/>
          <w:lang w:eastAsia="zh-CN"/>
        </w:rPr>
      </w:pPr>
      <w:r>
        <w:t>（</w:t>
      </w:r>
      <w:r>
        <w:rPr>
          <w:rFonts w:hint="eastAsia"/>
        </w:rPr>
        <w:t>2</w:t>
      </w:r>
      <w:r>
        <w:t>）根据监测结果可知，本次验收监测</w:t>
      </w:r>
      <w:r>
        <w:rPr>
          <w:rFonts w:hint="eastAsia"/>
          <w:lang w:eastAsia="zh-CN"/>
        </w:rPr>
        <w:t>有组织废气颗粒物、</w:t>
      </w:r>
      <w:r>
        <w:rPr>
          <w:rFonts w:hint="eastAsia"/>
          <w:lang w:val="en-US" w:eastAsia="zh-CN"/>
        </w:rPr>
        <w:t>甲苯</w:t>
      </w:r>
      <w:r>
        <w:rPr>
          <w:rFonts w:hint="eastAsia"/>
          <w:lang w:eastAsia="zh-CN"/>
        </w:rPr>
        <w:t>、非甲烷总烃</w:t>
      </w:r>
      <w:r>
        <w:t>排放</w:t>
      </w:r>
      <w:r>
        <w:rPr>
          <w:rFonts w:hint="eastAsia"/>
          <w:lang w:eastAsia="zh-CN"/>
        </w:rPr>
        <w:t>满足</w:t>
      </w:r>
      <w:r>
        <w:t>《大气污染物综合排放标准》（GB16297-1996）新污染源二级标准；</w:t>
      </w:r>
      <w:r>
        <w:rPr>
          <w:rFonts w:hint="eastAsia"/>
          <w:lang w:eastAsia="zh-CN"/>
        </w:rPr>
        <w:t>乙酸乙酯满足GBZ2-2002《工作场所有害因素职业接触限值》分为GBZ2.1《工作场所有害因素职业接触限值第1部分：化学有害因素》。</w:t>
      </w:r>
    </w:p>
    <w:p>
      <w:pPr>
        <w:spacing w:line="360" w:lineRule="auto"/>
        <w:ind w:firstLine="480" w:firstLineChars="200"/>
      </w:pPr>
      <w:r>
        <w:t>（</w:t>
      </w:r>
      <w:r>
        <w:rPr>
          <w:rFonts w:hint="eastAsia"/>
        </w:rPr>
        <w:t>3</w:t>
      </w:r>
      <w:r>
        <w:t>）根据监测结果可知，本次验收监测</w:t>
      </w:r>
      <w:r>
        <w:rPr>
          <w:rFonts w:hint="eastAsia"/>
        </w:rPr>
        <w:t>期间，</w:t>
      </w:r>
      <w:r>
        <w:t>厂界</w:t>
      </w:r>
      <w:r>
        <w:rPr>
          <w:rFonts w:hint="eastAsia"/>
          <w:lang w:eastAsia="zh-CN"/>
        </w:rPr>
        <w:t>无组织废气</w:t>
      </w:r>
      <w:r>
        <w:t>排放</w:t>
      </w:r>
      <w:r>
        <w:rPr>
          <w:rFonts w:hint="eastAsia"/>
          <w:lang w:eastAsia="zh-CN"/>
        </w:rPr>
        <w:t>满足</w:t>
      </w:r>
      <w:r>
        <w:t>《大气污染物综合排放标准》(GB16297-1996)</w:t>
      </w:r>
      <w:r>
        <w:rPr>
          <w:rFonts w:hint="eastAsia"/>
          <w:lang w:eastAsia="zh-CN"/>
        </w:rPr>
        <w:t>限值</w:t>
      </w:r>
      <w:r>
        <w:rPr>
          <w:rFonts w:hint="eastAsia"/>
        </w:rPr>
        <w:t>。</w:t>
      </w:r>
    </w:p>
    <w:p>
      <w:pPr>
        <w:spacing w:line="360" w:lineRule="auto"/>
        <w:ind w:firstLine="480" w:firstLineChars="200"/>
        <w:rPr>
          <w:rFonts w:hint="eastAsia"/>
          <w:lang w:val="en-US" w:eastAsia="zh-CN"/>
        </w:rPr>
      </w:pPr>
      <w:r>
        <w:t>（</w:t>
      </w:r>
      <w:r>
        <w:rPr>
          <w:rFonts w:hint="eastAsia"/>
        </w:rPr>
        <w:t>4</w:t>
      </w:r>
      <w:r>
        <w:t>）</w:t>
      </w:r>
      <w:r>
        <w:rPr>
          <w:rFonts w:hint="eastAsia"/>
          <w:lang w:eastAsia="zh-CN"/>
        </w:rPr>
        <w:t>根据监测结果可知，本次验收监测期间东厂界和北侧噪声排放满足《工业企业厂界环境噪声排放标准》(GB12348－2008)中的4类标准；其余两侧厂界噪声满足《工业企业厂界环境噪声排放标准》(GB12348－2008)中的3类标准。</w:t>
      </w:r>
    </w:p>
    <w:p>
      <w:pPr>
        <w:spacing w:line="360" w:lineRule="auto"/>
        <w:ind w:firstLine="480" w:firstLineChars="200"/>
      </w:pPr>
      <w:r>
        <w:t>（</w:t>
      </w:r>
      <w:r>
        <w:rPr>
          <w:rFonts w:hint="eastAsia"/>
        </w:rPr>
        <w:t>5</w:t>
      </w:r>
      <w:r>
        <w:t>）废水经预处理达到纳管要求后排入市政污水管网，送无为城东污水处理厂统一处置，</w:t>
      </w:r>
      <w:r>
        <w:rPr>
          <w:rFonts w:hint="eastAsia"/>
          <w:lang w:eastAsia="zh-CN"/>
        </w:rPr>
        <w:t>满足</w:t>
      </w:r>
      <w:r>
        <w:t>《污水综合排放标准》(GB8978-1996)中的三级标准</w:t>
      </w:r>
      <w:r>
        <w:rPr>
          <w:rFonts w:hint="eastAsia"/>
        </w:rPr>
        <w:t>。</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2" w:firstLineChars="200"/>
        <w:jc w:val="both"/>
        <w:rPr>
          <w:rFonts w:ascii="Times New Roman" w:hAnsi="Times New Roman" w:eastAsia="宋体"/>
          <w:b/>
          <w:bCs/>
          <w:sz w:val="24"/>
          <w:szCs w:val="24"/>
          <w:highlight w:val="yellow"/>
          <w:lang w:val="zh-TW"/>
        </w:rPr>
      </w:pPr>
      <w:r>
        <w:rPr>
          <w:rFonts w:hint="eastAsia" w:ascii="Times New Roman" w:hAnsi="Times New Roman" w:eastAsia="宋体"/>
          <w:b/>
          <w:bCs/>
          <w:sz w:val="24"/>
          <w:szCs w:val="24"/>
          <w:highlight w:val="none"/>
          <w:lang w:val="en-US" w:eastAsia="zh-CN"/>
        </w:rPr>
        <w:t>芜湖</w:t>
      </w:r>
      <w:r>
        <w:rPr>
          <w:rFonts w:hint="eastAsia" w:ascii="Times New Roman" w:hAnsi="Times New Roman" w:eastAsia="宋体"/>
          <w:b/>
          <w:bCs/>
          <w:sz w:val="24"/>
          <w:szCs w:val="24"/>
          <w:highlight w:val="none"/>
          <w:lang w:val="zh-TW"/>
        </w:rPr>
        <w:t>徽氏新材料科技有限公司</w:t>
      </w:r>
      <w:r>
        <w:rPr>
          <w:rFonts w:hint="eastAsia" w:ascii="Times New Roman" w:hAnsi="Times New Roman" w:eastAsia="宋体"/>
          <w:b/>
          <w:bCs/>
          <w:sz w:val="24"/>
          <w:szCs w:val="24"/>
          <w:highlight w:val="none"/>
          <w:lang w:val="en-US" w:eastAsia="zh-CN"/>
        </w:rPr>
        <w:t>锂电池</w:t>
      </w:r>
      <w:r>
        <w:rPr>
          <w:rFonts w:hint="eastAsia" w:ascii="Times New Roman" w:hAnsi="Times New Roman" w:eastAsia="宋体"/>
          <w:b/>
          <w:bCs/>
          <w:sz w:val="24"/>
          <w:szCs w:val="24"/>
          <w:highlight w:val="none"/>
          <w:lang w:val="zh-TW"/>
        </w:rPr>
        <w:t>胶带生产和精加工项目4、5、6号生产线</w:t>
      </w:r>
      <w:r>
        <w:rPr>
          <w:rFonts w:ascii="Times New Roman" w:hAnsi="Times New Roman" w:eastAsia="宋体"/>
          <w:b/>
          <w:bCs/>
          <w:sz w:val="24"/>
          <w:szCs w:val="24"/>
          <w:highlight w:val="none"/>
          <w:lang w:val="zh-TW"/>
        </w:rPr>
        <w:t>环境保护审查、审批手续完备，项目建设过程中基本按照环评及批复的要求落实了各项污染防治措施，各类外排污染物均能实现达标排放</w:t>
      </w:r>
      <w:r>
        <w:rPr>
          <w:rFonts w:hint="eastAsia" w:ascii="Times New Roman" w:hAnsi="Times New Roman" w:eastAsia="宋体"/>
          <w:b/>
          <w:bCs/>
          <w:sz w:val="24"/>
          <w:szCs w:val="24"/>
          <w:highlight w:val="none"/>
          <w:lang w:val="zh-TW"/>
        </w:rPr>
        <w:t>，</w:t>
      </w:r>
      <w:r>
        <w:rPr>
          <w:rFonts w:ascii="Times New Roman" w:hAnsi="Times New Roman" w:eastAsia="宋体"/>
          <w:b/>
          <w:bCs/>
          <w:sz w:val="24"/>
          <w:szCs w:val="24"/>
          <w:highlight w:val="none"/>
          <w:lang w:val="zh-TW"/>
        </w:rPr>
        <w:t>验收工作组</w:t>
      </w:r>
      <w:r>
        <w:rPr>
          <w:rFonts w:hint="eastAsia" w:ascii="Times New Roman" w:hAnsi="Times New Roman" w:eastAsia="宋体"/>
          <w:b/>
          <w:bCs/>
          <w:sz w:val="24"/>
          <w:szCs w:val="24"/>
          <w:highlight w:val="none"/>
          <w:lang w:val="zh-TW"/>
        </w:rPr>
        <w:t>同意</w:t>
      </w:r>
      <w:r>
        <w:rPr>
          <w:rFonts w:ascii="Times New Roman" w:hAnsi="Times New Roman" w:eastAsia="宋体"/>
          <w:b/>
          <w:bCs/>
          <w:sz w:val="24"/>
          <w:szCs w:val="24"/>
          <w:highlight w:val="none"/>
          <w:lang w:val="zh-TW"/>
        </w:rPr>
        <w:t>项目</w:t>
      </w:r>
      <w:r>
        <w:rPr>
          <w:rFonts w:hint="eastAsia" w:ascii="Times New Roman" w:hAnsi="Times New Roman" w:eastAsia="宋体"/>
          <w:b/>
          <w:bCs/>
          <w:sz w:val="24"/>
          <w:szCs w:val="24"/>
          <w:highlight w:val="none"/>
          <w:lang w:val="zh-TW"/>
        </w:rPr>
        <w:t>通过</w:t>
      </w:r>
      <w:r>
        <w:rPr>
          <w:rFonts w:ascii="Times New Roman" w:hAnsi="Times New Roman" w:eastAsia="宋体"/>
          <w:b/>
          <w:bCs/>
          <w:sz w:val="24"/>
          <w:szCs w:val="24"/>
          <w:highlight w:val="none"/>
          <w:lang w:val="zh-TW"/>
        </w:rPr>
        <w:t>竣工环境保护验收。</w:t>
      </w:r>
    </w:p>
    <w:p>
      <w:pPr>
        <w:pStyle w:val="6"/>
        <w:keepNext/>
        <w:keepLines/>
        <w:pageBreakBefore w:val="0"/>
        <w:widowControl w:val="0"/>
        <w:kinsoku/>
        <w:wordWrap/>
        <w:overflowPunct/>
        <w:topLinePunct w:val="0"/>
        <w:autoSpaceDE/>
        <w:autoSpaceDN/>
        <w:bidi w:val="0"/>
        <w:adjustRightInd/>
        <w:snapToGrid/>
        <w:spacing w:beforeLines="0" w:afterLines="0" w:line="360" w:lineRule="auto"/>
        <w:textAlignment w:val="auto"/>
        <w:rPr>
          <w:color w:val="auto"/>
          <w:kern w:val="2"/>
          <w:sz w:val="32"/>
          <w:szCs w:val="32"/>
        </w:rPr>
      </w:pPr>
      <w:bookmarkStart w:id="131" w:name="_Toc27182"/>
      <w:r>
        <w:rPr>
          <w:rFonts w:hint="eastAsia"/>
          <w:color w:val="auto"/>
          <w:kern w:val="2"/>
          <w:sz w:val="32"/>
          <w:szCs w:val="32"/>
        </w:rPr>
        <w:t>10.2建议</w:t>
      </w:r>
      <w:bookmarkEnd w:id="131"/>
    </w:p>
    <w:p>
      <w:pPr>
        <w:ind w:firstLine="480" w:firstLineChars="200"/>
      </w:pPr>
      <w:r>
        <w:t>（1）加强公司的环境保护建设和监督管理职能，提高工作人员的理论及操作水平、岗位培训，完善环境保护组织机构和环境保护档案管理。</w:t>
      </w:r>
    </w:p>
    <w:p>
      <w:pPr>
        <w:ind w:firstLine="480" w:firstLineChars="200"/>
        <w:rPr>
          <w:color w:val="auto"/>
        </w:rPr>
      </w:pPr>
      <w:r>
        <w:t>（2）加强项目废气处理设施的维护与管理，确保</w:t>
      </w:r>
      <w:r>
        <w:rPr>
          <w:rFonts w:hint="eastAsia"/>
          <w:lang w:eastAsia="zh-CN"/>
        </w:rPr>
        <w:t>废气</w:t>
      </w:r>
      <w:r>
        <w:t>装置正常运行，</w:t>
      </w:r>
      <w:r>
        <w:rPr>
          <w:color w:val="auto"/>
        </w:rPr>
        <w:t>保证项目工艺废气的达标排放。</w:t>
      </w:r>
    </w:p>
    <w:p>
      <w:pPr>
        <w:ind w:firstLine="480" w:firstLineChars="200"/>
        <w:rPr>
          <w:rFonts w:hint="eastAsia"/>
          <w:lang w:eastAsia="zh-CN"/>
        </w:rPr>
        <w:sectPr>
          <w:pgSz w:w="11906" w:h="16838"/>
          <w:pgMar w:top="1440" w:right="1800" w:bottom="1440" w:left="1800" w:header="851" w:footer="992" w:gutter="0"/>
          <w:pgNumType w:fmt="decimal"/>
          <w:cols w:space="425" w:num="1"/>
          <w:docGrid w:type="lines" w:linePitch="312" w:charSpace="0"/>
        </w:sectPr>
      </w:pPr>
      <w:r>
        <w:t>（3）加强污染源管理和环境风险事故防范，控制污染，预防厂区内突发环境风险事故的发生。</w:t>
      </w:r>
    </w:p>
    <w:p>
      <w:pPr>
        <w:outlineLvl w:val="0"/>
        <w:rPr>
          <w:b/>
          <w:bCs/>
          <w:sz w:val="24"/>
          <w:szCs w:val="24"/>
        </w:rPr>
      </w:pPr>
      <w:bookmarkStart w:id="132" w:name="_Toc17323"/>
      <w:bookmarkStart w:id="133" w:name="_Toc12063"/>
      <w:r>
        <w:rPr>
          <w:rFonts w:hint="eastAsia"/>
          <w:b/>
          <w:bCs/>
          <w:sz w:val="24"/>
          <w:szCs w:val="24"/>
        </w:rPr>
        <w:t>附图：</w:t>
      </w:r>
      <w:bookmarkEnd w:id="132"/>
      <w:bookmarkEnd w:id="133"/>
    </w:p>
    <w:p>
      <w:pPr>
        <w:keepNext w:val="0"/>
        <w:keepLines w:val="0"/>
        <w:pageBreakBefore w:val="0"/>
        <w:widowControl w:val="0"/>
        <w:kinsoku/>
        <w:wordWrap/>
        <w:overflowPunct/>
        <w:topLinePunct w:val="0"/>
        <w:autoSpaceDE/>
        <w:autoSpaceDN/>
        <w:bidi w:val="0"/>
        <w:adjustRightInd/>
        <w:snapToGrid/>
        <w:ind w:firstLine="480" w:firstLineChars="200"/>
        <w:textAlignment w:val="auto"/>
        <w:outlineLvl w:val="0"/>
        <w:rPr>
          <w:rFonts w:hint="default" w:eastAsia="宋体"/>
          <w:b w:val="0"/>
          <w:bCs w:val="0"/>
          <w:sz w:val="24"/>
          <w:szCs w:val="24"/>
          <w:lang w:val="en-US" w:eastAsia="zh-CN"/>
        </w:rPr>
      </w:pPr>
      <w:bookmarkStart w:id="134" w:name="_Toc4271"/>
      <w:bookmarkStart w:id="135" w:name="_Toc2776"/>
      <w:r>
        <w:rPr>
          <w:rFonts w:hint="eastAsia"/>
          <w:b w:val="0"/>
          <w:bCs w:val="0"/>
          <w:sz w:val="24"/>
          <w:szCs w:val="24"/>
        </w:rPr>
        <w:t>附图</w:t>
      </w:r>
      <w:r>
        <w:rPr>
          <w:b w:val="0"/>
          <w:bCs w:val="0"/>
          <w:sz w:val="24"/>
          <w:szCs w:val="24"/>
        </w:rPr>
        <w:t>1</w:t>
      </w:r>
      <w:r>
        <w:rPr>
          <w:rFonts w:hint="eastAsia"/>
          <w:b w:val="0"/>
          <w:bCs w:val="0"/>
          <w:sz w:val="24"/>
          <w:szCs w:val="24"/>
        </w:rPr>
        <w:t>：</w:t>
      </w:r>
      <w:bookmarkEnd w:id="134"/>
      <w:r>
        <w:rPr>
          <w:rFonts w:hint="eastAsia"/>
          <w:b w:val="0"/>
          <w:bCs w:val="0"/>
          <w:sz w:val="24"/>
          <w:szCs w:val="24"/>
          <w:lang w:val="en-US" w:eastAsia="zh-CN"/>
        </w:rPr>
        <w:t>采样图片</w:t>
      </w:r>
      <w:bookmarkEnd w:id="135"/>
    </w:p>
    <w:p>
      <w:pPr>
        <w:keepNext w:val="0"/>
        <w:keepLines w:val="0"/>
        <w:pageBreakBefore w:val="0"/>
        <w:widowControl w:val="0"/>
        <w:kinsoku/>
        <w:wordWrap/>
        <w:overflowPunct/>
        <w:topLinePunct w:val="0"/>
        <w:autoSpaceDE/>
        <w:autoSpaceDN/>
        <w:bidi w:val="0"/>
        <w:adjustRightInd/>
        <w:snapToGrid/>
        <w:ind w:firstLine="480" w:firstLineChars="200"/>
        <w:textAlignment w:val="auto"/>
        <w:outlineLvl w:val="0"/>
        <w:rPr>
          <w:rFonts w:hint="default" w:eastAsia="宋体"/>
          <w:b w:val="0"/>
          <w:bCs w:val="0"/>
          <w:sz w:val="24"/>
          <w:szCs w:val="24"/>
          <w:lang w:val="en-US" w:eastAsia="zh-CN"/>
        </w:rPr>
      </w:pPr>
      <w:bookmarkStart w:id="136" w:name="_Toc26388"/>
      <w:bookmarkStart w:id="137" w:name="_Toc28377"/>
      <w:r>
        <w:rPr>
          <w:rFonts w:hint="eastAsia"/>
          <w:b w:val="0"/>
          <w:bCs w:val="0"/>
          <w:sz w:val="24"/>
          <w:szCs w:val="24"/>
        </w:rPr>
        <w:t>附图2：</w:t>
      </w:r>
      <w:bookmarkEnd w:id="136"/>
      <w:r>
        <w:rPr>
          <w:rFonts w:hint="eastAsia"/>
          <w:b w:val="0"/>
          <w:bCs w:val="0"/>
          <w:sz w:val="24"/>
          <w:szCs w:val="24"/>
          <w:lang w:val="en-US" w:eastAsia="zh-CN"/>
        </w:rPr>
        <w:t>地理位置图</w:t>
      </w:r>
      <w:bookmarkEnd w:id="137"/>
    </w:p>
    <w:p>
      <w:pPr>
        <w:keepNext w:val="0"/>
        <w:keepLines w:val="0"/>
        <w:pageBreakBefore w:val="0"/>
        <w:widowControl w:val="0"/>
        <w:kinsoku/>
        <w:wordWrap/>
        <w:overflowPunct/>
        <w:topLinePunct w:val="0"/>
        <w:autoSpaceDE/>
        <w:autoSpaceDN/>
        <w:bidi w:val="0"/>
        <w:adjustRightInd/>
        <w:snapToGrid/>
        <w:ind w:firstLine="480" w:firstLineChars="200"/>
        <w:textAlignment w:val="auto"/>
        <w:outlineLvl w:val="0"/>
        <w:rPr>
          <w:b w:val="0"/>
          <w:bCs w:val="0"/>
          <w:sz w:val="24"/>
          <w:szCs w:val="24"/>
        </w:rPr>
      </w:pPr>
      <w:bookmarkStart w:id="138" w:name="_Toc14570"/>
      <w:bookmarkStart w:id="139" w:name="_Toc3031"/>
      <w:r>
        <w:rPr>
          <w:rFonts w:hint="eastAsia"/>
          <w:b w:val="0"/>
          <w:bCs w:val="0"/>
          <w:sz w:val="24"/>
          <w:szCs w:val="24"/>
        </w:rPr>
        <w:t>附图3：</w:t>
      </w:r>
      <w:r>
        <w:rPr>
          <w:rFonts w:hint="eastAsia"/>
          <w:b w:val="0"/>
          <w:bCs w:val="0"/>
          <w:sz w:val="24"/>
          <w:szCs w:val="24"/>
          <w:lang w:val="en-US" w:eastAsia="zh-CN"/>
        </w:rPr>
        <w:t>厂区</w:t>
      </w:r>
      <w:r>
        <w:rPr>
          <w:rFonts w:hint="eastAsia"/>
          <w:b w:val="0"/>
          <w:bCs w:val="0"/>
          <w:sz w:val="24"/>
          <w:szCs w:val="24"/>
        </w:rPr>
        <w:t>平面布置图</w:t>
      </w:r>
      <w:bookmarkEnd w:id="138"/>
      <w:bookmarkEnd w:id="139"/>
    </w:p>
    <w:p>
      <w:pPr>
        <w:outlineLvl w:val="0"/>
        <w:rPr>
          <w:b/>
          <w:bCs/>
          <w:sz w:val="24"/>
          <w:szCs w:val="24"/>
        </w:rPr>
      </w:pPr>
      <w:bookmarkStart w:id="140" w:name="_Toc23578"/>
      <w:bookmarkStart w:id="141" w:name="_Toc20585"/>
      <w:r>
        <w:rPr>
          <w:rFonts w:hint="eastAsia"/>
          <w:b/>
          <w:bCs/>
          <w:sz w:val="24"/>
          <w:szCs w:val="24"/>
        </w:rPr>
        <w:t>附件：</w:t>
      </w:r>
      <w:bookmarkEnd w:id="140"/>
      <w:bookmarkEnd w:id="141"/>
    </w:p>
    <w:p>
      <w:pPr>
        <w:keepNext w:val="0"/>
        <w:keepLines w:val="0"/>
        <w:pageBreakBefore w:val="0"/>
        <w:widowControl w:val="0"/>
        <w:kinsoku/>
        <w:wordWrap/>
        <w:overflowPunct/>
        <w:topLinePunct w:val="0"/>
        <w:bidi w:val="0"/>
        <w:snapToGrid/>
        <w:ind w:firstLine="480" w:firstLineChars="200"/>
        <w:textAlignment w:val="auto"/>
        <w:outlineLvl w:val="0"/>
        <w:rPr>
          <w:b w:val="0"/>
          <w:bCs w:val="0"/>
          <w:sz w:val="24"/>
          <w:szCs w:val="24"/>
        </w:rPr>
      </w:pPr>
      <w:bookmarkStart w:id="142" w:name="_Toc26501"/>
      <w:bookmarkStart w:id="143" w:name="_Toc24841"/>
      <w:r>
        <w:rPr>
          <w:b w:val="0"/>
          <w:bCs w:val="0"/>
          <w:sz w:val="24"/>
          <w:szCs w:val="24"/>
        </w:rPr>
        <w:t>附件1</w:t>
      </w:r>
      <w:r>
        <w:rPr>
          <w:rFonts w:hint="eastAsia"/>
          <w:b w:val="0"/>
          <w:bCs w:val="0"/>
          <w:sz w:val="24"/>
          <w:szCs w:val="24"/>
        </w:rPr>
        <w:t>：验收委托书</w:t>
      </w:r>
      <w:bookmarkEnd w:id="142"/>
      <w:bookmarkEnd w:id="143"/>
    </w:p>
    <w:p>
      <w:pPr>
        <w:keepNext w:val="0"/>
        <w:keepLines w:val="0"/>
        <w:pageBreakBefore w:val="0"/>
        <w:widowControl w:val="0"/>
        <w:kinsoku/>
        <w:wordWrap/>
        <w:overflowPunct/>
        <w:topLinePunct w:val="0"/>
        <w:bidi w:val="0"/>
        <w:snapToGrid/>
        <w:ind w:firstLine="480" w:firstLineChars="200"/>
        <w:textAlignment w:val="auto"/>
        <w:outlineLvl w:val="0"/>
        <w:rPr>
          <w:rFonts w:hint="eastAsia" w:eastAsia="宋体"/>
          <w:b w:val="0"/>
          <w:bCs w:val="0"/>
          <w:sz w:val="24"/>
          <w:szCs w:val="24"/>
          <w:lang w:eastAsia="zh-CN"/>
        </w:rPr>
      </w:pPr>
      <w:bookmarkStart w:id="144" w:name="_Toc16700"/>
      <w:bookmarkStart w:id="145" w:name="_Toc18867"/>
      <w:r>
        <w:rPr>
          <w:b w:val="0"/>
          <w:bCs w:val="0"/>
          <w:sz w:val="24"/>
          <w:szCs w:val="24"/>
        </w:rPr>
        <w:t>附件</w:t>
      </w:r>
      <w:r>
        <w:rPr>
          <w:rFonts w:hint="eastAsia"/>
          <w:b w:val="0"/>
          <w:bCs w:val="0"/>
          <w:sz w:val="24"/>
          <w:szCs w:val="24"/>
        </w:rPr>
        <w:t>2：</w:t>
      </w:r>
      <w:r>
        <w:rPr>
          <w:rFonts w:hint="eastAsia"/>
          <w:b w:val="0"/>
          <w:bCs w:val="0"/>
          <w:sz w:val="24"/>
          <w:szCs w:val="24"/>
          <w:lang w:eastAsia="zh-CN"/>
        </w:rPr>
        <w:t>项目环评批复</w:t>
      </w:r>
      <w:bookmarkEnd w:id="144"/>
      <w:bookmarkEnd w:id="145"/>
    </w:p>
    <w:p>
      <w:pPr>
        <w:keepNext w:val="0"/>
        <w:keepLines w:val="0"/>
        <w:pageBreakBefore w:val="0"/>
        <w:widowControl w:val="0"/>
        <w:kinsoku/>
        <w:wordWrap/>
        <w:overflowPunct/>
        <w:topLinePunct w:val="0"/>
        <w:bidi w:val="0"/>
        <w:snapToGrid/>
        <w:ind w:firstLine="480" w:firstLineChars="200"/>
        <w:textAlignment w:val="auto"/>
        <w:outlineLvl w:val="0"/>
        <w:rPr>
          <w:rFonts w:hint="eastAsia" w:eastAsia="宋体"/>
          <w:b w:val="0"/>
          <w:bCs w:val="0"/>
          <w:sz w:val="24"/>
          <w:szCs w:val="24"/>
          <w:lang w:eastAsia="zh-CN"/>
        </w:rPr>
      </w:pPr>
      <w:bookmarkStart w:id="146" w:name="_Toc3413"/>
      <w:bookmarkStart w:id="147" w:name="_Toc25629"/>
      <w:r>
        <w:rPr>
          <w:b w:val="0"/>
          <w:bCs w:val="0"/>
          <w:sz w:val="24"/>
          <w:szCs w:val="24"/>
        </w:rPr>
        <w:t>附件</w:t>
      </w:r>
      <w:r>
        <w:rPr>
          <w:rFonts w:hint="eastAsia"/>
          <w:b w:val="0"/>
          <w:bCs w:val="0"/>
          <w:sz w:val="24"/>
          <w:szCs w:val="24"/>
          <w:lang w:val="en-US" w:eastAsia="zh-CN"/>
        </w:rPr>
        <w:t>3</w:t>
      </w:r>
      <w:r>
        <w:rPr>
          <w:rFonts w:hint="eastAsia"/>
          <w:b w:val="0"/>
          <w:bCs w:val="0"/>
          <w:sz w:val="24"/>
          <w:szCs w:val="24"/>
        </w:rPr>
        <w:t>：</w:t>
      </w:r>
      <w:r>
        <w:rPr>
          <w:rFonts w:hint="eastAsia"/>
          <w:b w:val="0"/>
          <w:bCs w:val="0"/>
          <w:sz w:val="24"/>
          <w:szCs w:val="24"/>
          <w:lang w:eastAsia="zh-CN"/>
        </w:rPr>
        <w:t>危险废物处置协议</w:t>
      </w:r>
      <w:bookmarkEnd w:id="146"/>
      <w:bookmarkEnd w:id="147"/>
    </w:p>
    <w:p>
      <w:pPr>
        <w:keepNext w:val="0"/>
        <w:keepLines w:val="0"/>
        <w:pageBreakBefore w:val="0"/>
        <w:widowControl w:val="0"/>
        <w:kinsoku/>
        <w:wordWrap/>
        <w:overflowPunct/>
        <w:topLinePunct w:val="0"/>
        <w:bidi w:val="0"/>
        <w:snapToGrid/>
        <w:ind w:firstLine="480" w:firstLineChars="200"/>
        <w:textAlignment w:val="auto"/>
        <w:outlineLvl w:val="0"/>
        <w:rPr>
          <w:b w:val="0"/>
          <w:bCs w:val="0"/>
          <w:sz w:val="24"/>
          <w:szCs w:val="24"/>
        </w:rPr>
      </w:pPr>
      <w:bookmarkStart w:id="148" w:name="_Toc686"/>
      <w:bookmarkStart w:id="149" w:name="_Toc1025"/>
      <w:r>
        <w:rPr>
          <w:b w:val="0"/>
          <w:bCs w:val="0"/>
          <w:sz w:val="24"/>
          <w:szCs w:val="24"/>
        </w:rPr>
        <w:t>附件</w:t>
      </w:r>
      <w:r>
        <w:rPr>
          <w:rFonts w:hint="eastAsia"/>
          <w:b w:val="0"/>
          <w:bCs w:val="0"/>
          <w:sz w:val="24"/>
          <w:szCs w:val="24"/>
          <w:lang w:val="en-US" w:eastAsia="zh-CN"/>
        </w:rPr>
        <w:t>4</w:t>
      </w:r>
      <w:r>
        <w:rPr>
          <w:rFonts w:hint="eastAsia"/>
          <w:b w:val="0"/>
          <w:bCs w:val="0"/>
          <w:sz w:val="24"/>
          <w:szCs w:val="24"/>
        </w:rPr>
        <w:t>：</w:t>
      </w:r>
      <w:r>
        <w:rPr>
          <w:rFonts w:hint="eastAsia"/>
          <w:b w:val="0"/>
          <w:bCs w:val="0"/>
          <w:sz w:val="24"/>
          <w:szCs w:val="24"/>
          <w:lang w:eastAsia="zh-CN"/>
        </w:rPr>
        <w:t>胶水桶、包装桶回收</w:t>
      </w:r>
      <w:r>
        <w:rPr>
          <w:rFonts w:hint="eastAsia"/>
          <w:b w:val="0"/>
          <w:bCs w:val="0"/>
          <w:sz w:val="24"/>
          <w:szCs w:val="24"/>
        </w:rPr>
        <w:t>协议</w:t>
      </w:r>
      <w:bookmarkEnd w:id="148"/>
      <w:bookmarkEnd w:id="149"/>
    </w:p>
    <w:p>
      <w:pPr>
        <w:keepNext w:val="0"/>
        <w:keepLines w:val="0"/>
        <w:pageBreakBefore w:val="0"/>
        <w:widowControl w:val="0"/>
        <w:kinsoku/>
        <w:wordWrap/>
        <w:overflowPunct/>
        <w:topLinePunct w:val="0"/>
        <w:bidi w:val="0"/>
        <w:snapToGrid/>
        <w:ind w:firstLine="480" w:firstLineChars="200"/>
        <w:textAlignment w:val="auto"/>
        <w:outlineLvl w:val="0"/>
        <w:rPr>
          <w:rFonts w:hint="eastAsia"/>
          <w:b w:val="0"/>
          <w:bCs w:val="0"/>
          <w:sz w:val="24"/>
          <w:szCs w:val="24"/>
          <w:lang w:eastAsia="zh-CN"/>
        </w:rPr>
      </w:pPr>
      <w:bookmarkStart w:id="150" w:name="_Toc16730"/>
      <w:bookmarkStart w:id="151" w:name="_Toc20974"/>
      <w:r>
        <w:rPr>
          <w:rFonts w:hint="eastAsia"/>
          <w:b w:val="0"/>
          <w:bCs w:val="0"/>
          <w:sz w:val="24"/>
          <w:szCs w:val="24"/>
          <w:lang w:eastAsia="zh-CN"/>
        </w:rPr>
        <w:t>附件</w:t>
      </w:r>
      <w:r>
        <w:rPr>
          <w:rFonts w:hint="eastAsia"/>
          <w:b w:val="0"/>
          <w:bCs w:val="0"/>
          <w:sz w:val="24"/>
          <w:szCs w:val="24"/>
          <w:lang w:val="en-US" w:eastAsia="zh-CN"/>
        </w:rPr>
        <w:t>5</w:t>
      </w:r>
      <w:r>
        <w:rPr>
          <w:rFonts w:hint="eastAsia"/>
          <w:b w:val="0"/>
          <w:bCs w:val="0"/>
          <w:sz w:val="24"/>
          <w:szCs w:val="24"/>
          <w:lang w:eastAsia="zh-CN"/>
        </w:rPr>
        <w:t>：污水纳管协议</w:t>
      </w:r>
      <w:bookmarkEnd w:id="150"/>
      <w:bookmarkEnd w:id="151"/>
    </w:p>
    <w:p>
      <w:pPr>
        <w:keepNext w:val="0"/>
        <w:keepLines w:val="0"/>
        <w:pageBreakBefore w:val="0"/>
        <w:widowControl w:val="0"/>
        <w:kinsoku/>
        <w:wordWrap/>
        <w:overflowPunct/>
        <w:topLinePunct w:val="0"/>
        <w:bidi w:val="0"/>
        <w:snapToGrid/>
        <w:ind w:firstLine="480" w:firstLineChars="200"/>
        <w:textAlignment w:val="auto"/>
        <w:outlineLvl w:val="0"/>
        <w:rPr>
          <w:rFonts w:hint="eastAsia"/>
          <w:b w:val="0"/>
          <w:bCs w:val="0"/>
          <w:sz w:val="24"/>
          <w:szCs w:val="24"/>
          <w:lang w:val="en-US" w:eastAsia="zh-CN"/>
        </w:rPr>
      </w:pPr>
      <w:r>
        <w:rPr>
          <w:rFonts w:hint="eastAsia"/>
          <w:b w:val="0"/>
          <w:bCs w:val="0"/>
          <w:sz w:val="24"/>
          <w:szCs w:val="24"/>
          <w:lang w:val="en-US" w:eastAsia="zh-CN"/>
        </w:rPr>
        <w:t>附件6：排污许可证</w:t>
      </w:r>
    </w:p>
    <w:p>
      <w:pPr>
        <w:keepNext w:val="0"/>
        <w:keepLines w:val="0"/>
        <w:pageBreakBefore w:val="0"/>
        <w:widowControl w:val="0"/>
        <w:kinsoku/>
        <w:wordWrap/>
        <w:overflowPunct/>
        <w:topLinePunct w:val="0"/>
        <w:bidi w:val="0"/>
        <w:snapToGrid/>
        <w:ind w:firstLine="480" w:firstLineChars="200"/>
        <w:textAlignment w:val="auto"/>
        <w:outlineLvl w:val="0"/>
        <w:rPr>
          <w:rFonts w:hint="default"/>
          <w:b w:val="0"/>
          <w:bCs w:val="0"/>
          <w:sz w:val="24"/>
          <w:szCs w:val="24"/>
          <w:lang w:val="en-US" w:eastAsia="zh-CN"/>
        </w:rPr>
      </w:pPr>
      <w:r>
        <w:rPr>
          <w:rFonts w:hint="eastAsia"/>
          <w:b w:val="0"/>
          <w:bCs w:val="0"/>
          <w:sz w:val="24"/>
          <w:szCs w:val="24"/>
          <w:lang w:val="en-US" w:eastAsia="zh-CN"/>
        </w:rPr>
        <w:t>附件7：应急预案备案函</w:t>
      </w:r>
    </w:p>
    <w:p>
      <w:pPr>
        <w:pStyle w:val="21"/>
        <w:keepNext w:val="0"/>
        <w:keepLines w:val="0"/>
        <w:pageBreakBefore w:val="0"/>
        <w:widowControl w:val="0"/>
        <w:kinsoku/>
        <w:wordWrap/>
        <w:overflowPunct/>
        <w:topLinePunct w:val="0"/>
        <w:bidi w:val="0"/>
        <w:snapToGrid/>
        <w:ind w:firstLine="480" w:firstLineChars="200"/>
        <w:textAlignment w:val="auto"/>
        <w:outlineLvl w:val="0"/>
        <w:rPr>
          <w:rFonts w:hint="eastAsia"/>
          <w:b w:val="0"/>
          <w:bCs w:val="0"/>
          <w:color w:val="auto"/>
          <w:sz w:val="24"/>
          <w:szCs w:val="24"/>
        </w:rPr>
      </w:pPr>
    </w:p>
    <w:p>
      <w:pPr>
        <w:pStyle w:val="21"/>
        <w:keepNext w:val="0"/>
        <w:keepLines w:val="0"/>
        <w:pageBreakBefore w:val="0"/>
        <w:widowControl w:val="0"/>
        <w:kinsoku/>
        <w:wordWrap/>
        <w:overflowPunct/>
        <w:topLinePunct w:val="0"/>
        <w:bidi w:val="0"/>
        <w:snapToGrid/>
        <w:ind w:firstLine="480" w:firstLineChars="200"/>
        <w:textAlignment w:val="auto"/>
        <w:outlineLvl w:val="0"/>
        <w:rPr>
          <w:rFonts w:hint="eastAsia"/>
          <w:b w:val="0"/>
          <w:bCs w:val="0"/>
          <w:color w:val="auto"/>
          <w:sz w:val="24"/>
          <w:szCs w:val="24"/>
        </w:rPr>
        <w:sectPr>
          <w:pgSz w:w="11906" w:h="16838"/>
          <w:pgMar w:top="1440" w:right="1800" w:bottom="1440" w:left="1800" w:header="851" w:footer="992" w:gutter="0"/>
          <w:pgNumType w:fmt="decimal"/>
          <w:cols w:space="425" w:num="1"/>
          <w:docGrid w:type="lines" w:linePitch="312" w:charSpace="0"/>
        </w:sectPr>
      </w:pPr>
    </w:p>
    <w:p>
      <w:pPr>
        <w:jc w:val="center"/>
        <w:outlineLvl w:val="0"/>
        <w:rPr>
          <w:b/>
          <w:bCs/>
          <w:sz w:val="28"/>
          <w:szCs w:val="36"/>
        </w:rPr>
      </w:pPr>
      <w:bookmarkStart w:id="152" w:name="_Toc18894"/>
      <w:bookmarkStart w:id="153" w:name="_Toc4442"/>
      <w:bookmarkStart w:id="154" w:name="_Toc10684"/>
      <w:bookmarkStart w:id="155" w:name="_Toc20072"/>
      <w:r>
        <w:rPr>
          <w:rFonts w:hint="eastAsia"/>
          <w:b/>
          <w:bCs/>
          <w:sz w:val="28"/>
          <w:szCs w:val="36"/>
        </w:rPr>
        <w:t>建设项目竣工环境保护“三同时”验收登记表</w:t>
      </w:r>
      <w:bookmarkEnd w:id="152"/>
      <w:bookmarkEnd w:id="153"/>
      <w:bookmarkEnd w:id="154"/>
      <w:bookmarkEnd w:id="155"/>
    </w:p>
    <w:p>
      <w:pPr>
        <w:bidi w:val="0"/>
        <w:spacing w:line="240" w:lineRule="auto"/>
        <w:rPr>
          <w:rFonts w:ascii="宋体" w:hAnsi="宋体"/>
          <w:bCs/>
          <w:szCs w:val="18"/>
        </w:rPr>
      </w:pPr>
      <w:bookmarkStart w:id="156" w:name="_Toc29360"/>
      <w:bookmarkStart w:id="157" w:name="_Toc18235"/>
      <w:bookmarkStart w:id="158" w:name="_Toc19497"/>
      <w:bookmarkStart w:id="159" w:name="_Toc24470"/>
      <w:r>
        <w:rPr>
          <w:sz w:val="15"/>
          <w:szCs w:val="15"/>
        </w:rPr>
        <w:t>填表单位（盖章）：芜湖徽氏新材料科技有限公司</w:t>
      </w:r>
      <w:r>
        <w:rPr>
          <w:rFonts w:hint="eastAsia"/>
          <w:sz w:val="15"/>
          <w:szCs w:val="15"/>
        </w:rPr>
        <w:t xml:space="preserve">                     </w:t>
      </w:r>
      <w:r>
        <w:rPr>
          <w:sz w:val="15"/>
          <w:szCs w:val="15"/>
        </w:rPr>
        <w:t xml:space="preserve">  填表人（签字）：        </w:t>
      </w:r>
      <w:r>
        <w:rPr>
          <w:rFonts w:hint="eastAsia"/>
          <w:sz w:val="15"/>
          <w:szCs w:val="15"/>
        </w:rPr>
        <w:t xml:space="preserve">            </w:t>
      </w:r>
      <w:r>
        <w:rPr>
          <w:sz w:val="15"/>
          <w:szCs w:val="15"/>
        </w:rPr>
        <w:t xml:space="preserve">                    项目经办人（签字）：</w:t>
      </w:r>
      <w:bookmarkEnd w:id="156"/>
      <w:bookmarkEnd w:id="157"/>
      <w:bookmarkEnd w:id="158"/>
      <w:bookmarkEnd w:id="159"/>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4"/>
        <w:gridCol w:w="971"/>
        <w:gridCol w:w="643"/>
        <w:gridCol w:w="697"/>
        <w:gridCol w:w="104"/>
        <w:gridCol w:w="1060"/>
        <w:gridCol w:w="185"/>
        <w:gridCol w:w="920"/>
        <w:gridCol w:w="328"/>
        <w:gridCol w:w="566"/>
        <w:gridCol w:w="619"/>
        <w:gridCol w:w="408"/>
        <w:gridCol w:w="200"/>
        <w:gridCol w:w="304"/>
        <w:gridCol w:w="566"/>
        <w:gridCol w:w="122"/>
        <w:gridCol w:w="479"/>
        <w:gridCol w:w="277"/>
        <w:gridCol w:w="417"/>
        <w:gridCol w:w="643"/>
        <w:gridCol w:w="628"/>
        <w:gridCol w:w="947"/>
        <w:gridCol w:w="870"/>
        <w:gridCol w:w="1147"/>
        <w:gridCol w:w="92"/>
        <w:gridCol w:w="1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96" w:type="pct"/>
            <w:vMerge w:val="restart"/>
            <w:vAlign w:val="center"/>
          </w:tcPr>
          <w:p>
            <w:pPr>
              <w:widowControl/>
              <w:adjustRightInd w:val="0"/>
              <w:snapToGrid w:val="0"/>
              <w:spacing w:line="240" w:lineRule="auto"/>
              <w:jc w:val="center"/>
              <w:rPr>
                <w:kern w:val="0"/>
                <w:sz w:val="15"/>
                <w:szCs w:val="15"/>
              </w:rPr>
            </w:pPr>
            <w:r>
              <w:rPr>
                <w:kern w:val="0"/>
                <w:sz w:val="15"/>
                <w:szCs w:val="15"/>
              </w:rPr>
              <w:t>建</w:t>
            </w:r>
          </w:p>
          <w:p>
            <w:pPr>
              <w:widowControl/>
              <w:adjustRightInd w:val="0"/>
              <w:snapToGrid w:val="0"/>
              <w:spacing w:line="240" w:lineRule="auto"/>
              <w:jc w:val="center"/>
              <w:rPr>
                <w:kern w:val="0"/>
                <w:sz w:val="15"/>
                <w:szCs w:val="15"/>
              </w:rPr>
            </w:pPr>
          </w:p>
          <w:p>
            <w:pPr>
              <w:widowControl/>
              <w:adjustRightInd w:val="0"/>
              <w:snapToGrid w:val="0"/>
              <w:spacing w:line="240" w:lineRule="auto"/>
              <w:jc w:val="center"/>
              <w:rPr>
                <w:kern w:val="0"/>
                <w:sz w:val="15"/>
                <w:szCs w:val="15"/>
              </w:rPr>
            </w:pPr>
            <w:r>
              <w:rPr>
                <w:kern w:val="0"/>
                <w:sz w:val="15"/>
                <w:szCs w:val="15"/>
              </w:rPr>
              <w:t>设</w:t>
            </w:r>
          </w:p>
          <w:p>
            <w:pPr>
              <w:widowControl/>
              <w:adjustRightInd w:val="0"/>
              <w:snapToGrid w:val="0"/>
              <w:spacing w:line="240" w:lineRule="auto"/>
              <w:jc w:val="center"/>
              <w:rPr>
                <w:kern w:val="0"/>
                <w:sz w:val="15"/>
                <w:szCs w:val="15"/>
              </w:rPr>
            </w:pPr>
          </w:p>
          <w:p>
            <w:pPr>
              <w:widowControl/>
              <w:adjustRightInd w:val="0"/>
              <w:snapToGrid w:val="0"/>
              <w:spacing w:line="240" w:lineRule="auto"/>
              <w:jc w:val="center"/>
              <w:rPr>
                <w:kern w:val="0"/>
                <w:sz w:val="15"/>
                <w:szCs w:val="15"/>
              </w:rPr>
            </w:pPr>
            <w:r>
              <w:rPr>
                <w:kern w:val="0"/>
                <w:sz w:val="15"/>
                <w:szCs w:val="15"/>
              </w:rPr>
              <w:t>项</w:t>
            </w:r>
          </w:p>
          <w:p>
            <w:pPr>
              <w:widowControl/>
              <w:adjustRightInd w:val="0"/>
              <w:snapToGrid w:val="0"/>
              <w:spacing w:line="240" w:lineRule="auto"/>
              <w:jc w:val="center"/>
              <w:rPr>
                <w:kern w:val="0"/>
                <w:sz w:val="15"/>
                <w:szCs w:val="15"/>
              </w:rPr>
            </w:pPr>
          </w:p>
          <w:p>
            <w:pPr>
              <w:widowControl/>
              <w:adjustRightInd w:val="0"/>
              <w:snapToGrid w:val="0"/>
              <w:spacing w:line="240" w:lineRule="auto"/>
              <w:jc w:val="center"/>
              <w:rPr>
                <w:color w:val="FF0000"/>
                <w:kern w:val="0"/>
                <w:sz w:val="15"/>
                <w:szCs w:val="15"/>
              </w:rPr>
            </w:pPr>
            <w:r>
              <w:rPr>
                <w:kern w:val="0"/>
                <w:sz w:val="15"/>
                <w:szCs w:val="15"/>
              </w:rPr>
              <w:t>目</w:t>
            </w:r>
          </w:p>
        </w:tc>
        <w:tc>
          <w:tcPr>
            <w:tcW w:w="542" w:type="pct"/>
            <w:gridSpan w:val="2"/>
            <w:vAlign w:val="center"/>
          </w:tcPr>
          <w:p>
            <w:pPr>
              <w:widowControl/>
              <w:adjustRightInd w:val="0"/>
              <w:snapToGrid w:val="0"/>
              <w:spacing w:line="240" w:lineRule="auto"/>
              <w:jc w:val="center"/>
              <w:rPr>
                <w:kern w:val="0"/>
                <w:sz w:val="15"/>
                <w:szCs w:val="15"/>
              </w:rPr>
            </w:pPr>
            <w:r>
              <w:rPr>
                <w:kern w:val="0"/>
                <w:sz w:val="15"/>
                <w:szCs w:val="15"/>
              </w:rPr>
              <w:t>项   目   名   称</w:t>
            </w:r>
          </w:p>
        </w:tc>
        <w:tc>
          <w:tcPr>
            <w:tcW w:w="1106" w:type="pct"/>
            <w:gridSpan w:val="6"/>
            <w:vAlign w:val="center"/>
          </w:tcPr>
          <w:p>
            <w:pPr>
              <w:widowControl/>
              <w:adjustRightInd w:val="0"/>
              <w:snapToGrid w:val="0"/>
              <w:spacing w:line="240" w:lineRule="auto"/>
              <w:jc w:val="center"/>
              <w:rPr>
                <w:kern w:val="0"/>
                <w:sz w:val="15"/>
                <w:szCs w:val="15"/>
              </w:rPr>
            </w:pPr>
            <w:r>
              <w:rPr>
                <w:rFonts w:hint="eastAsia"/>
                <w:kern w:val="0"/>
                <w:sz w:val="15"/>
                <w:szCs w:val="15"/>
              </w:rPr>
              <w:t>锂电池胶带生产和精加工项目4、5、6号生产线</w:t>
            </w:r>
          </w:p>
        </w:tc>
        <w:tc>
          <w:tcPr>
            <w:tcW w:w="602" w:type="pct"/>
            <w:gridSpan w:val="4"/>
            <w:vAlign w:val="center"/>
          </w:tcPr>
          <w:p>
            <w:pPr>
              <w:widowControl/>
              <w:adjustRightInd w:val="0"/>
              <w:snapToGrid w:val="0"/>
              <w:spacing w:line="240" w:lineRule="auto"/>
              <w:jc w:val="center"/>
              <w:rPr>
                <w:kern w:val="0"/>
                <w:sz w:val="15"/>
                <w:szCs w:val="15"/>
              </w:rPr>
            </w:pPr>
            <w:r>
              <w:rPr>
                <w:kern w:val="0"/>
                <w:sz w:val="15"/>
                <w:szCs w:val="15"/>
              </w:rPr>
              <w:t>项   目   代   码</w:t>
            </w:r>
          </w:p>
        </w:tc>
        <w:tc>
          <w:tcPr>
            <w:tcW w:w="1153" w:type="pct"/>
            <w:gridSpan w:val="8"/>
            <w:vAlign w:val="center"/>
          </w:tcPr>
          <w:p>
            <w:pPr>
              <w:widowControl/>
              <w:adjustRightInd w:val="0"/>
              <w:snapToGrid w:val="0"/>
              <w:spacing w:line="240" w:lineRule="auto"/>
              <w:jc w:val="center"/>
              <w:rPr>
                <w:kern w:val="0"/>
                <w:sz w:val="15"/>
                <w:szCs w:val="15"/>
              </w:rPr>
            </w:pPr>
            <w:r>
              <w:rPr>
                <w:rFonts w:hint="eastAsia"/>
                <w:kern w:val="0"/>
                <w:sz w:val="15"/>
                <w:szCs w:val="15"/>
              </w:rPr>
              <w:t>/</w:t>
            </w:r>
          </w:p>
        </w:tc>
        <w:tc>
          <w:tcPr>
            <w:tcW w:w="610" w:type="pct"/>
            <w:gridSpan w:val="2"/>
            <w:vAlign w:val="center"/>
          </w:tcPr>
          <w:p>
            <w:pPr>
              <w:widowControl/>
              <w:adjustRightInd w:val="0"/>
              <w:snapToGrid w:val="0"/>
              <w:spacing w:line="240" w:lineRule="auto"/>
              <w:jc w:val="center"/>
              <w:rPr>
                <w:kern w:val="0"/>
                <w:sz w:val="15"/>
                <w:szCs w:val="15"/>
              </w:rPr>
            </w:pPr>
            <w:r>
              <w:rPr>
                <w:kern w:val="0"/>
                <w:sz w:val="15"/>
                <w:szCs w:val="15"/>
              </w:rPr>
              <w:t>建   设   地   点</w:t>
            </w:r>
          </w:p>
        </w:tc>
        <w:tc>
          <w:tcPr>
            <w:tcW w:w="788" w:type="pct"/>
            <w:gridSpan w:val="3"/>
            <w:vAlign w:val="center"/>
          </w:tcPr>
          <w:p>
            <w:pPr>
              <w:widowControl/>
              <w:adjustRightInd w:val="0"/>
              <w:snapToGrid w:val="0"/>
              <w:spacing w:line="240" w:lineRule="auto"/>
              <w:jc w:val="center"/>
              <w:rPr>
                <w:sz w:val="15"/>
                <w:szCs w:val="15"/>
              </w:rPr>
            </w:pPr>
            <w:r>
              <w:rPr>
                <w:rFonts w:hint="eastAsia"/>
                <w:kern w:val="0"/>
                <w:sz w:val="15"/>
                <w:szCs w:val="15"/>
                <w:lang w:eastAsia="zh-CN"/>
              </w:rPr>
              <w:t>无为市</w:t>
            </w:r>
            <w:r>
              <w:rPr>
                <w:kern w:val="0"/>
                <w:sz w:val="15"/>
                <w:szCs w:val="15"/>
              </w:rPr>
              <w:t>经济开发区城东工业园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96" w:type="pct"/>
            <w:vMerge w:val="continue"/>
            <w:vAlign w:val="center"/>
          </w:tcPr>
          <w:p>
            <w:pPr>
              <w:widowControl/>
              <w:adjustRightInd w:val="0"/>
              <w:snapToGrid w:val="0"/>
              <w:spacing w:line="240" w:lineRule="auto"/>
              <w:jc w:val="center"/>
              <w:rPr>
                <w:color w:val="FF0000"/>
                <w:kern w:val="0"/>
                <w:sz w:val="15"/>
                <w:szCs w:val="15"/>
              </w:rPr>
            </w:pPr>
          </w:p>
        </w:tc>
        <w:tc>
          <w:tcPr>
            <w:tcW w:w="542" w:type="pct"/>
            <w:gridSpan w:val="2"/>
            <w:vAlign w:val="center"/>
          </w:tcPr>
          <w:p>
            <w:pPr>
              <w:widowControl/>
              <w:adjustRightInd w:val="0"/>
              <w:snapToGrid w:val="0"/>
              <w:spacing w:line="240" w:lineRule="auto"/>
              <w:jc w:val="center"/>
              <w:rPr>
                <w:kern w:val="0"/>
                <w:sz w:val="15"/>
                <w:szCs w:val="15"/>
              </w:rPr>
            </w:pPr>
            <w:r>
              <w:rPr>
                <w:kern w:val="0"/>
                <w:sz w:val="15"/>
                <w:szCs w:val="15"/>
              </w:rPr>
              <w:t>行   业   类   别</w:t>
            </w:r>
          </w:p>
        </w:tc>
        <w:tc>
          <w:tcPr>
            <w:tcW w:w="1106" w:type="pct"/>
            <w:gridSpan w:val="6"/>
            <w:vAlign w:val="center"/>
          </w:tcPr>
          <w:p>
            <w:pPr>
              <w:widowControl/>
              <w:adjustRightInd w:val="0"/>
              <w:snapToGrid w:val="0"/>
              <w:spacing w:line="240" w:lineRule="auto"/>
              <w:jc w:val="center"/>
              <w:rPr>
                <w:kern w:val="0"/>
                <w:sz w:val="15"/>
                <w:szCs w:val="15"/>
              </w:rPr>
            </w:pPr>
            <w:r>
              <w:rPr>
                <w:rFonts w:hint="eastAsia"/>
                <w:kern w:val="0"/>
                <w:sz w:val="15"/>
                <w:szCs w:val="15"/>
              </w:rPr>
              <w:t>其他塑料制品制造C2929</w:t>
            </w:r>
          </w:p>
        </w:tc>
        <w:tc>
          <w:tcPr>
            <w:tcW w:w="602" w:type="pct"/>
            <w:gridSpan w:val="4"/>
            <w:vAlign w:val="center"/>
          </w:tcPr>
          <w:p>
            <w:pPr>
              <w:widowControl/>
              <w:adjustRightInd w:val="0"/>
              <w:snapToGrid w:val="0"/>
              <w:spacing w:line="240" w:lineRule="auto"/>
              <w:jc w:val="center"/>
              <w:rPr>
                <w:kern w:val="0"/>
                <w:sz w:val="15"/>
                <w:szCs w:val="15"/>
              </w:rPr>
            </w:pPr>
            <w:r>
              <w:rPr>
                <w:kern w:val="0"/>
                <w:sz w:val="15"/>
                <w:szCs w:val="15"/>
              </w:rPr>
              <w:t>建   设   性   质</w:t>
            </w:r>
          </w:p>
        </w:tc>
        <w:tc>
          <w:tcPr>
            <w:tcW w:w="1153" w:type="pct"/>
            <w:gridSpan w:val="8"/>
            <w:vAlign w:val="center"/>
          </w:tcPr>
          <w:p>
            <w:pPr>
              <w:widowControl/>
              <w:adjustRightInd w:val="0"/>
              <w:snapToGrid w:val="0"/>
              <w:spacing w:line="240" w:lineRule="auto"/>
              <w:jc w:val="center"/>
              <w:rPr>
                <w:kern w:val="0"/>
                <w:sz w:val="15"/>
                <w:szCs w:val="15"/>
              </w:rPr>
            </w:pPr>
            <w:r>
              <w:rPr>
                <w:kern w:val="0"/>
                <w:sz w:val="15"/>
                <w:szCs w:val="15"/>
              </w:rPr>
              <w:t>新建（</w:t>
            </w:r>
            <w:r>
              <w:rPr>
                <w:rFonts w:hint="eastAsia"/>
                <w:kern w:val="0"/>
                <w:sz w:val="15"/>
                <w:szCs w:val="15"/>
              </w:rPr>
              <w:t xml:space="preserve"> </w:t>
            </w:r>
            <w:r>
              <w:rPr>
                <w:kern w:val="0"/>
                <w:sz w:val="15"/>
                <w:szCs w:val="15"/>
              </w:rPr>
              <w:t>√</w:t>
            </w:r>
            <w:r>
              <w:rPr>
                <w:rFonts w:hint="eastAsia"/>
                <w:kern w:val="0"/>
                <w:sz w:val="15"/>
                <w:szCs w:val="15"/>
              </w:rPr>
              <w:t xml:space="preserve"> </w:t>
            </w:r>
            <w:r>
              <w:rPr>
                <w:kern w:val="0"/>
                <w:sz w:val="15"/>
                <w:szCs w:val="15"/>
              </w:rPr>
              <w:t>） 改扩建（</w:t>
            </w:r>
            <w:r>
              <w:rPr>
                <w:rFonts w:hint="eastAsia"/>
                <w:kern w:val="0"/>
                <w:sz w:val="15"/>
                <w:szCs w:val="15"/>
              </w:rPr>
              <w:t xml:space="preserve">  </w:t>
            </w:r>
            <w:r>
              <w:rPr>
                <w:kern w:val="0"/>
                <w:sz w:val="15"/>
                <w:szCs w:val="15"/>
              </w:rPr>
              <w:t>） 技术改造（</w:t>
            </w:r>
            <w:r>
              <w:rPr>
                <w:rFonts w:hint="eastAsia"/>
                <w:kern w:val="0"/>
                <w:sz w:val="15"/>
                <w:szCs w:val="15"/>
              </w:rPr>
              <w:t xml:space="preserve">  </w:t>
            </w:r>
            <w:r>
              <w:rPr>
                <w:kern w:val="0"/>
                <w:sz w:val="15"/>
                <w:szCs w:val="15"/>
              </w:rPr>
              <w:t>）</w:t>
            </w:r>
          </w:p>
        </w:tc>
        <w:tc>
          <w:tcPr>
            <w:tcW w:w="610" w:type="pct"/>
            <w:gridSpan w:val="2"/>
            <w:vAlign w:val="center"/>
          </w:tcPr>
          <w:p>
            <w:pPr>
              <w:widowControl/>
              <w:adjustRightInd w:val="0"/>
              <w:snapToGrid w:val="0"/>
              <w:spacing w:line="240" w:lineRule="auto"/>
              <w:jc w:val="center"/>
              <w:rPr>
                <w:kern w:val="0"/>
                <w:sz w:val="15"/>
                <w:szCs w:val="15"/>
              </w:rPr>
            </w:pPr>
            <w:r>
              <w:rPr>
                <w:rFonts w:hint="eastAsia"/>
                <w:kern w:val="0"/>
                <w:sz w:val="15"/>
                <w:szCs w:val="15"/>
              </w:rPr>
              <w:t>项目厂区中心经度/纬度</w:t>
            </w:r>
          </w:p>
        </w:tc>
        <w:tc>
          <w:tcPr>
            <w:tcW w:w="788" w:type="pct"/>
            <w:gridSpan w:val="3"/>
            <w:vAlign w:val="center"/>
          </w:tcPr>
          <w:p>
            <w:pPr>
              <w:widowControl/>
              <w:adjustRightInd w:val="0"/>
              <w:snapToGrid w:val="0"/>
              <w:spacing w:line="240" w:lineRule="auto"/>
              <w:jc w:val="center"/>
              <w:rPr>
                <w:kern w:val="0"/>
                <w:sz w:val="15"/>
                <w:szCs w:val="15"/>
              </w:rPr>
            </w:pPr>
            <w:r>
              <w:rPr>
                <w:rFonts w:hint="eastAsia"/>
                <w:kern w:val="0"/>
                <w:sz w:val="15"/>
                <w:szCs w:val="15"/>
              </w:rPr>
              <w:t>东经</w:t>
            </w:r>
            <w:r>
              <w:rPr>
                <w:kern w:val="0"/>
                <w:sz w:val="15"/>
                <w:szCs w:val="15"/>
              </w:rPr>
              <w:t>11</w:t>
            </w:r>
            <w:r>
              <w:rPr>
                <w:rFonts w:hint="eastAsia"/>
                <w:kern w:val="0"/>
                <w:sz w:val="15"/>
                <w:szCs w:val="15"/>
                <w:lang w:val="en-US" w:eastAsia="zh-CN"/>
              </w:rPr>
              <w:t>7</w:t>
            </w:r>
            <w:r>
              <w:rPr>
                <w:rFonts w:hint="eastAsia"/>
                <w:kern w:val="0"/>
                <w:sz w:val="15"/>
                <w:szCs w:val="15"/>
              </w:rPr>
              <w:t>.</w:t>
            </w:r>
            <w:r>
              <w:rPr>
                <w:rFonts w:hint="eastAsia"/>
                <w:kern w:val="0"/>
                <w:sz w:val="15"/>
                <w:szCs w:val="15"/>
                <w:lang w:val="en-US" w:eastAsia="zh-CN"/>
              </w:rPr>
              <w:t>9958</w:t>
            </w:r>
            <w:r>
              <w:rPr>
                <w:kern w:val="0"/>
                <w:sz w:val="15"/>
                <w:szCs w:val="15"/>
              </w:rPr>
              <w:t>°，</w:t>
            </w:r>
          </w:p>
          <w:p>
            <w:pPr>
              <w:widowControl/>
              <w:adjustRightInd w:val="0"/>
              <w:snapToGrid w:val="0"/>
              <w:spacing w:line="240" w:lineRule="auto"/>
              <w:jc w:val="center"/>
              <w:rPr>
                <w:kern w:val="0"/>
                <w:sz w:val="15"/>
                <w:szCs w:val="15"/>
              </w:rPr>
            </w:pPr>
            <w:r>
              <w:rPr>
                <w:kern w:val="0"/>
                <w:sz w:val="15"/>
                <w:szCs w:val="15"/>
              </w:rPr>
              <w:t>北纬3</w:t>
            </w:r>
            <w:r>
              <w:rPr>
                <w:rFonts w:hint="eastAsia"/>
                <w:kern w:val="0"/>
                <w:sz w:val="15"/>
                <w:szCs w:val="15"/>
              </w:rPr>
              <w:t>1.</w:t>
            </w:r>
            <w:r>
              <w:rPr>
                <w:rFonts w:hint="eastAsia"/>
                <w:kern w:val="0"/>
                <w:sz w:val="15"/>
                <w:szCs w:val="15"/>
                <w:lang w:val="en-US" w:eastAsia="zh-CN"/>
              </w:rPr>
              <w:t>3179</w:t>
            </w:r>
            <w:r>
              <w:rPr>
                <w:kern w:val="0"/>
                <w:sz w:val="15"/>
                <w:szCs w:val="15"/>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96" w:type="pct"/>
            <w:vMerge w:val="continue"/>
            <w:vAlign w:val="center"/>
          </w:tcPr>
          <w:p>
            <w:pPr>
              <w:widowControl/>
              <w:adjustRightInd w:val="0"/>
              <w:snapToGrid w:val="0"/>
              <w:spacing w:line="240" w:lineRule="auto"/>
              <w:jc w:val="center"/>
              <w:rPr>
                <w:color w:val="FF0000"/>
                <w:kern w:val="0"/>
                <w:sz w:val="15"/>
                <w:szCs w:val="15"/>
              </w:rPr>
            </w:pPr>
          </w:p>
        </w:tc>
        <w:tc>
          <w:tcPr>
            <w:tcW w:w="542" w:type="pct"/>
            <w:gridSpan w:val="2"/>
            <w:vAlign w:val="center"/>
          </w:tcPr>
          <w:p>
            <w:pPr>
              <w:widowControl/>
              <w:adjustRightInd w:val="0"/>
              <w:snapToGrid w:val="0"/>
              <w:spacing w:line="240" w:lineRule="auto"/>
              <w:jc w:val="center"/>
              <w:rPr>
                <w:kern w:val="0"/>
                <w:sz w:val="15"/>
                <w:szCs w:val="15"/>
              </w:rPr>
            </w:pPr>
            <w:r>
              <w:rPr>
                <w:kern w:val="0"/>
                <w:sz w:val="15"/>
                <w:szCs w:val="15"/>
              </w:rPr>
              <w:t>设 计 生 产 能 力</w:t>
            </w:r>
          </w:p>
        </w:tc>
        <w:tc>
          <w:tcPr>
            <w:tcW w:w="1106" w:type="pct"/>
            <w:gridSpan w:val="6"/>
            <w:vAlign w:val="center"/>
          </w:tcPr>
          <w:p>
            <w:pPr>
              <w:widowControl/>
              <w:adjustRightInd w:val="0"/>
              <w:snapToGrid w:val="0"/>
              <w:spacing w:line="240" w:lineRule="auto"/>
              <w:jc w:val="center"/>
              <w:rPr>
                <w:kern w:val="0"/>
                <w:sz w:val="15"/>
                <w:szCs w:val="15"/>
              </w:rPr>
            </w:pPr>
            <w:r>
              <w:rPr>
                <w:rFonts w:hint="eastAsia"/>
                <w:kern w:val="0"/>
                <w:sz w:val="15"/>
                <w:szCs w:val="15"/>
              </w:rPr>
              <w:t>年产3600万平方米锂电池胶带</w:t>
            </w:r>
          </w:p>
        </w:tc>
        <w:tc>
          <w:tcPr>
            <w:tcW w:w="602" w:type="pct"/>
            <w:gridSpan w:val="4"/>
            <w:vAlign w:val="center"/>
          </w:tcPr>
          <w:p>
            <w:pPr>
              <w:widowControl/>
              <w:adjustRightInd w:val="0"/>
              <w:snapToGrid w:val="0"/>
              <w:spacing w:line="240" w:lineRule="auto"/>
              <w:jc w:val="center"/>
              <w:rPr>
                <w:kern w:val="0"/>
                <w:sz w:val="15"/>
                <w:szCs w:val="15"/>
              </w:rPr>
            </w:pPr>
            <w:r>
              <w:rPr>
                <w:kern w:val="0"/>
                <w:sz w:val="15"/>
                <w:szCs w:val="15"/>
              </w:rPr>
              <w:t>实 际 生 产 能 力</w:t>
            </w:r>
          </w:p>
        </w:tc>
        <w:tc>
          <w:tcPr>
            <w:tcW w:w="1153" w:type="pct"/>
            <w:gridSpan w:val="8"/>
            <w:vAlign w:val="center"/>
          </w:tcPr>
          <w:p>
            <w:pPr>
              <w:widowControl/>
              <w:adjustRightInd w:val="0"/>
              <w:snapToGrid w:val="0"/>
              <w:spacing w:line="240" w:lineRule="auto"/>
              <w:jc w:val="center"/>
              <w:rPr>
                <w:kern w:val="0"/>
                <w:sz w:val="15"/>
                <w:szCs w:val="15"/>
              </w:rPr>
            </w:pPr>
            <w:r>
              <w:rPr>
                <w:rFonts w:hint="eastAsia"/>
                <w:kern w:val="0"/>
                <w:sz w:val="15"/>
                <w:szCs w:val="15"/>
              </w:rPr>
              <w:t>年产3600万平方米锂电池胶带</w:t>
            </w:r>
          </w:p>
        </w:tc>
        <w:tc>
          <w:tcPr>
            <w:tcW w:w="610" w:type="pct"/>
            <w:gridSpan w:val="2"/>
            <w:vAlign w:val="center"/>
          </w:tcPr>
          <w:p>
            <w:pPr>
              <w:widowControl/>
              <w:adjustRightInd w:val="0"/>
              <w:snapToGrid w:val="0"/>
              <w:spacing w:line="240" w:lineRule="auto"/>
              <w:jc w:val="center"/>
              <w:rPr>
                <w:kern w:val="0"/>
                <w:sz w:val="15"/>
                <w:szCs w:val="15"/>
              </w:rPr>
            </w:pPr>
            <w:r>
              <w:rPr>
                <w:kern w:val="0"/>
                <w:sz w:val="15"/>
                <w:szCs w:val="15"/>
              </w:rPr>
              <w:t>环评单位</w:t>
            </w:r>
          </w:p>
        </w:tc>
        <w:tc>
          <w:tcPr>
            <w:tcW w:w="788" w:type="pct"/>
            <w:gridSpan w:val="3"/>
            <w:vAlign w:val="center"/>
          </w:tcPr>
          <w:p>
            <w:pPr>
              <w:widowControl/>
              <w:adjustRightInd w:val="0"/>
              <w:snapToGrid w:val="0"/>
              <w:spacing w:line="240" w:lineRule="auto"/>
              <w:jc w:val="center"/>
              <w:rPr>
                <w:kern w:val="0"/>
                <w:sz w:val="15"/>
                <w:szCs w:val="15"/>
              </w:rPr>
            </w:pPr>
            <w:r>
              <w:rPr>
                <w:kern w:val="0"/>
                <w:sz w:val="15"/>
                <w:szCs w:val="15"/>
              </w:rPr>
              <w:t>浙江环耀环境建设有限公司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96" w:type="pct"/>
            <w:vMerge w:val="continue"/>
            <w:vAlign w:val="center"/>
          </w:tcPr>
          <w:p>
            <w:pPr>
              <w:widowControl/>
              <w:adjustRightInd w:val="0"/>
              <w:snapToGrid w:val="0"/>
              <w:spacing w:line="240" w:lineRule="auto"/>
              <w:jc w:val="center"/>
              <w:rPr>
                <w:color w:val="FF0000"/>
                <w:kern w:val="0"/>
                <w:sz w:val="15"/>
                <w:szCs w:val="15"/>
              </w:rPr>
            </w:pPr>
          </w:p>
        </w:tc>
        <w:tc>
          <w:tcPr>
            <w:tcW w:w="542" w:type="pct"/>
            <w:gridSpan w:val="2"/>
            <w:vAlign w:val="center"/>
          </w:tcPr>
          <w:p>
            <w:pPr>
              <w:widowControl/>
              <w:adjustRightInd w:val="0"/>
              <w:snapToGrid w:val="0"/>
              <w:spacing w:line="240" w:lineRule="auto"/>
              <w:jc w:val="center"/>
              <w:rPr>
                <w:kern w:val="0"/>
                <w:sz w:val="15"/>
                <w:szCs w:val="15"/>
              </w:rPr>
            </w:pPr>
            <w:r>
              <w:rPr>
                <w:kern w:val="0"/>
                <w:sz w:val="15"/>
                <w:szCs w:val="15"/>
              </w:rPr>
              <w:t>环评文件审批机关</w:t>
            </w:r>
          </w:p>
        </w:tc>
        <w:tc>
          <w:tcPr>
            <w:tcW w:w="1106" w:type="pct"/>
            <w:gridSpan w:val="6"/>
            <w:vAlign w:val="center"/>
          </w:tcPr>
          <w:p>
            <w:pPr>
              <w:widowControl/>
              <w:adjustRightInd w:val="0"/>
              <w:snapToGrid w:val="0"/>
              <w:spacing w:line="240" w:lineRule="auto"/>
              <w:jc w:val="center"/>
              <w:rPr>
                <w:kern w:val="0"/>
                <w:sz w:val="15"/>
                <w:szCs w:val="15"/>
              </w:rPr>
            </w:pPr>
            <w:r>
              <w:rPr>
                <w:rFonts w:hint="eastAsia"/>
                <w:kern w:val="0"/>
                <w:sz w:val="15"/>
                <w:szCs w:val="15"/>
              </w:rPr>
              <w:t>无为县环境保护局</w:t>
            </w:r>
          </w:p>
        </w:tc>
        <w:tc>
          <w:tcPr>
            <w:tcW w:w="602" w:type="pct"/>
            <w:gridSpan w:val="4"/>
            <w:vAlign w:val="center"/>
          </w:tcPr>
          <w:p>
            <w:pPr>
              <w:widowControl/>
              <w:adjustRightInd w:val="0"/>
              <w:snapToGrid w:val="0"/>
              <w:spacing w:line="240" w:lineRule="auto"/>
              <w:jc w:val="center"/>
              <w:rPr>
                <w:kern w:val="0"/>
                <w:sz w:val="15"/>
                <w:szCs w:val="15"/>
              </w:rPr>
            </w:pPr>
            <w:r>
              <w:rPr>
                <w:kern w:val="0"/>
                <w:sz w:val="15"/>
                <w:szCs w:val="15"/>
              </w:rPr>
              <w:t>审   批   文   号</w:t>
            </w:r>
          </w:p>
        </w:tc>
        <w:tc>
          <w:tcPr>
            <w:tcW w:w="1153" w:type="pct"/>
            <w:gridSpan w:val="8"/>
            <w:vAlign w:val="center"/>
          </w:tcPr>
          <w:p>
            <w:pPr>
              <w:spacing w:before="104" w:line="240" w:lineRule="auto"/>
              <w:jc w:val="center"/>
              <w:rPr>
                <w:kern w:val="0"/>
                <w:sz w:val="15"/>
                <w:szCs w:val="15"/>
              </w:rPr>
            </w:pPr>
            <w:r>
              <w:rPr>
                <w:rFonts w:hint="eastAsia"/>
                <w:kern w:val="0"/>
                <w:sz w:val="15"/>
                <w:szCs w:val="15"/>
              </w:rPr>
              <w:t>无环审[2016]117号</w:t>
            </w:r>
          </w:p>
        </w:tc>
        <w:tc>
          <w:tcPr>
            <w:tcW w:w="610" w:type="pct"/>
            <w:gridSpan w:val="2"/>
            <w:vAlign w:val="center"/>
          </w:tcPr>
          <w:p>
            <w:pPr>
              <w:widowControl/>
              <w:adjustRightInd w:val="0"/>
              <w:snapToGrid w:val="0"/>
              <w:spacing w:line="240" w:lineRule="auto"/>
              <w:jc w:val="center"/>
              <w:rPr>
                <w:kern w:val="0"/>
                <w:sz w:val="15"/>
                <w:szCs w:val="15"/>
              </w:rPr>
            </w:pPr>
            <w:r>
              <w:rPr>
                <w:kern w:val="0"/>
                <w:sz w:val="15"/>
                <w:szCs w:val="15"/>
              </w:rPr>
              <w:t>环评文件类型</w:t>
            </w:r>
          </w:p>
        </w:tc>
        <w:tc>
          <w:tcPr>
            <w:tcW w:w="788" w:type="pct"/>
            <w:gridSpan w:val="3"/>
            <w:vAlign w:val="center"/>
          </w:tcPr>
          <w:p>
            <w:pPr>
              <w:widowControl/>
              <w:adjustRightInd w:val="0"/>
              <w:snapToGrid w:val="0"/>
              <w:spacing w:line="240" w:lineRule="auto"/>
              <w:jc w:val="center"/>
              <w:rPr>
                <w:kern w:val="0"/>
                <w:sz w:val="15"/>
                <w:szCs w:val="15"/>
              </w:rPr>
            </w:pPr>
            <w:r>
              <w:rPr>
                <w:kern w:val="0"/>
                <w:sz w:val="15"/>
                <w:szCs w:val="15"/>
              </w:rPr>
              <w:t>报告</w:t>
            </w:r>
            <w:r>
              <w:rPr>
                <w:rFonts w:hint="eastAsia"/>
                <w:kern w:val="0"/>
                <w:sz w:val="15"/>
                <w:szCs w:val="15"/>
              </w:rPr>
              <w:t>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96" w:type="pct"/>
            <w:vMerge w:val="continue"/>
            <w:vAlign w:val="center"/>
          </w:tcPr>
          <w:p>
            <w:pPr>
              <w:widowControl/>
              <w:adjustRightInd w:val="0"/>
              <w:snapToGrid w:val="0"/>
              <w:spacing w:line="240" w:lineRule="auto"/>
              <w:jc w:val="center"/>
              <w:rPr>
                <w:color w:val="FF0000"/>
                <w:kern w:val="0"/>
                <w:sz w:val="15"/>
                <w:szCs w:val="15"/>
              </w:rPr>
            </w:pPr>
          </w:p>
        </w:tc>
        <w:tc>
          <w:tcPr>
            <w:tcW w:w="542" w:type="pct"/>
            <w:gridSpan w:val="2"/>
            <w:vAlign w:val="center"/>
          </w:tcPr>
          <w:p>
            <w:pPr>
              <w:widowControl/>
              <w:adjustRightInd w:val="0"/>
              <w:snapToGrid w:val="0"/>
              <w:spacing w:line="240" w:lineRule="auto"/>
              <w:jc w:val="center"/>
              <w:rPr>
                <w:kern w:val="0"/>
                <w:sz w:val="15"/>
                <w:szCs w:val="15"/>
              </w:rPr>
            </w:pPr>
            <w:r>
              <w:rPr>
                <w:kern w:val="0"/>
                <w:sz w:val="15"/>
                <w:szCs w:val="15"/>
              </w:rPr>
              <w:t>开   工   日   期</w:t>
            </w:r>
          </w:p>
        </w:tc>
        <w:tc>
          <w:tcPr>
            <w:tcW w:w="1106" w:type="pct"/>
            <w:gridSpan w:val="6"/>
            <w:vAlign w:val="center"/>
          </w:tcPr>
          <w:p>
            <w:pPr>
              <w:widowControl/>
              <w:adjustRightInd w:val="0"/>
              <w:snapToGrid w:val="0"/>
              <w:spacing w:line="240" w:lineRule="auto"/>
              <w:jc w:val="center"/>
              <w:rPr>
                <w:kern w:val="0"/>
                <w:sz w:val="15"/>
                <w:szCs w:val="15"/>
              </w:rPr>
            </w:pPr>
            <w:r>
              <w:rPr>
                <w:rFonts w:hint="eastAsia"/>
                <w:kern w:val="0"/>
                <w:sz w:val="15"/>
                <w:szCs w:val="15"/>
              </w:rPr>
              <w:t>/</w:t>
            </w:r>
          </w:p>
        </w:tc>
        <w:tc>
          <w:tcPr>
            <w:tcW w:w="602" w:type="pct"/>
            <w:gridSpan w:val="4"/>
            <w:vAlign w:val="center"/>
          </w:tcPr>
          <w:p>
            <w:pPr>
              <w:widowControl/>
              <w:adjustRightInd w:val="0"/>
              <w:snapToGrid w:val="0"/>
              <w:spacing w:line="240" w:lineRule="auto"/>
              <w:jc w:val="center"/>
              <w:rPr>
                <w:kern w:val="0"/>
                <w:sz w:val="15"/>
                <w:szCs w:val="15"/>
              </w:rPr>
            </w:pPr>
            <w:r>
              <w:rPr>
                <w:kern w:val="0"/>
                <w:sz w:val="15"/>
                <w:szCs w:val="15"/>
              </w:rPr>
              <w:t>竣   工   日   期</w:t>
            </w:r>
          </w:p>
        </w:tc>
        <w:tc>
          <w:tcPr>
            <w:tcW w:w="1153" w:type="pct"/>
            <w:gridSpan w:val="8"/>
            <w:vAlign w:val="center"/>
          </w:tcPr>
          <w:p>
            <w:pPr>
              <w:widowControl/>
              <w:adjustRightInd w:val="0"/>
              <w:snapToGrid w:val="0"/>
              <w:spacing w:line="240" w:lineRule="auto"/>
              <w:jc w:val="center"/>
              <w:rPr>
                <w:kern w:val="0"/>
                <w:sz w:val="15"/>
                <w:szCs w:val="15"/>
              </w:rPr>
            </w:pPr>
            <w:r>
              <w:rPr>
                <w:rFonts w:hint="eastAsia"/>
                <w:kern w:val="0"/>
                <w:sz w:val="15"/>
                <w:szCs w:val="15"/>
              </w:rPr>
              <w:t>/</w:t>
            </w:r>
          </w:p>
        </w:tc>
        <w:tc>
          <w:tcPr>
            <w:tcW w:w="610" w:type="pct"/>
            <w:gridSpan w:val="2"/>
            <w:vAlign w:val="center"/>
          </w:tcPr>
          <w:p>
            <w:pPr>
              <w:widowControl/>
              <w:adjustRightInd w:val="0"/>
              <w:snapToGrid w:val="0"/>
              <w:spacing w:line="240" w:lineRule="auto"/>
              <w:jc w:val="center"/>
              <w:rPr>
                <w:kern w:val="0"/>
                <w:sz w:val="15"/>
                <w:szCs w:val="15"/>
              </w:rPr>
            </w:pPr>
            <w:r>
              <w:rPr>
                <w:kern w:val="0"/>
                <w:sz w:val="15"/>
                <w:szCs w:val="15"/>
              </w:rPr>
              <w:t>排污许可证申领时间</w:t>
            </w:r>
          </w:p>
        </w:tc>
        <w:tc>
          <w:tcPr>
            <w:tcW w:w="788" w:type="pct"/>
            <w:gridSpan w:val="3"/>
            <w:vAlign w:val="center"/>
          </w:tcPr>
          <w:p>
            <w:pPr>
              <w:widowControl/>
              <w:adjustRightInd w:val="0"/>
              <w:snapToGrid w:val="0"/>
              <w:spacing w:line="240" w:lineRule="auto"/>
              <w:jc w:val="center"/>
              <w:rPr>
                <w:kern w:val="0"/>
                <w:sz w:val="15"/>
                <w:szCs w:val="15"/>
              </w:rPr>
            </w:pPr>
            <w:r>
              <w:rPr>
                <w:rFonts w:hint="eastAsia"/>
                <w:kern w:val="0"/>
                <w:sz w:val="15"/>
                <w:szCs w:val="15"/>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96" w:type="pct"/>
            <w:vMerge w:val="continue"/>
            <w:vAlign w:val="center"/>
          </w:tcPr>
          <w:p>
            <w:pPr>
              <w:widowControl/>
              <w:adjustRightInd w:val="0"/>
              <w:snapToGrid w:val="0"/>
              <w:spacing w:line="240" w:lineRule="auto"/>
              <w:jc w:val="center"/>
              <w:rPr>
                <w:color w:val="FF0000"/>
                <w:kern w:val="0"/>
                <w:sz w:val="15"/>
                <w:szCs w:val="15"/>
              </w:rPr>
            </w:pPr>
          </w:p>
        </w:tc>
        <w:tc>
          <w:tcPr>
            <w:tcW w:w="542" w:type="pct"/>
            <w:gridSpan w:val="2"/>
            <w:vAlign w:val="center"/>
          </w:tcPr>
          <w:p>
            <w:pPr>
              <w:widowControl/>
              <w:adjustRightInd w:val="0"/>
              <w:snapToGrid w:val="0"/>
              <w:spacing w:line="240" w:lineRule="auto"/>
              <w:jc w:val="center"/>
              <w:rPr>
                <w:kern w:val="0"/>
                <w:sz w:val="15"/>
                <w:szCs w:val="15"/>
              </w:rPr>
            </w:pPr>
            <w:r>
              <w:rPr>
                <w:kern w:val="0"/>
                <w:sz w:val="15"/>
                <w:szCs w:val="15"/>
              </w:rPr>
              <w:t>环保设施设计单位</w:t>
            </w:r>
          </w:p>
        </w:tc>
        <w:tc>
          <w:tcPr>
            <w:tcW w:w="1106" w:type="pct"/>
            <w:gridSpan w:val="6"/>
            <w:vAlign w:val="center"/>
          </w:tcPr>
          <w:p>
            <w:pPr>
              <w:widowControl/>
              <w:adjustRightInd w:val="0"/>
              <w:snapToGrid w:val="0"/>
              <w:spacing w:line="240" w:lineRule="auto"/>
              <w:jc w:val="center"/>
              <w:rPr>
                <w:kern w:val="0"/>
                <w:sz w:val="15"/>
                <w:szCs w:val="15"/>
              </w:rPr>
            </w:pPr>
            <w:r>
              <w:rPr>
                <w:rFonts w:hint="eastAsia"/>
                <w:kern w:val="0"/>
                <w:sz w:val="15"/>
                <w:szCs w:val="15"/>
              </w:rPr>
              <w:t>/</w:t>
            </w:r>
          </w:p>
        </w:tc>
        <w:tc>
          <w:tcPr>
            <w:tcW w:w="602" w:type="pct"/>
            <w:gridSpan w:val="4"/>
            <w:vAlign w:val="center"/>
          </w:tcPr>
          <w:p>
            <w:pPr>
              <w:widowControl/>
              <w:adjustRightInd w:val="0"/>
              <w:snapToGrid w:val="0"/>
              <w:spacing w:line="240" w:lineRule="auto"/>
              <w:jc w:val="center"/>
              <w:rPr>
                <w:kern w:val="0"/>
                <w:sz w:val="15"/>
                <w:szCs w:val="15"/>
              </w:rPr>
            </w:pPr>
            <w:r>
              <w:rPr>
                <w:kern w:val="0"/>
                <w:sz w:val="15"/>
                <w:szCs w:val="15"/>
              </w:rPr>
              <w:t>环保设施施工单位</w:t>
            </w:r>
          </w:p>
        </w:tc>
        <w:tc>
          <w:tcPr>
            <w:tcW w:w="1153" w:type="pct"/>
            <w:gridSpan w:val="8"/>
            <w:vAlign w:val="center"/>
          </w:tcPr>
          <w:p>
            <w:pPr>
              <w:widowControl/>
              <w:adjustRightInd w:val="0"/>
              <w:snapToGrid w:val="0"/>
              <w:spacing w:line="240" w:lineRule="auto"/>
              <w:jc w:val="center"/>
              <w:rPr>
                <w:kern w:val="0"/>
                <w:sz w:val="15"/>
                <w:szCs w:val="15"/>
              </w:rPr>
            </w:pPr>
            <w:r>
              <w:rPr>
                <w:rFonts w:hint="eastAsia"/>
                <w:kern w:val="0"/>
                <w:sz w:val="15"/>
                <w:szCs w:val="15"/>
              </w:rPr>
              <w:t>/</w:t>
            </w:r>
          </w:p>
        </w:tc>
        <w:tc>
          <w:tcPr>
            <w:tcW w:w="610" w:type="pct"/>
            <w:gridSpan w:val="2"/>
            <w:vAlign w:val="center"/>
          </w:tcPr>
          <w:p>
            <w:pPr>
              <w:widowControl/>
              <w:adjustRightInd w:val="0"/>
              <w:snapToGrid w:val="0"/>
              <w:spacing w:line="240" w:lineRule="auto"/>
              <w:jc w:val="center"/>
              <w:rPr>
                <w:kern w:val="0"/>
                <w:sz w:val="15"/>
                <w:szCs w:val="15"/>
              </w:rPr>
            </w:pPr>
            <w:r>
              <w:rPr>
                <w:kern w:val="0"/>
                <w:sz w:val="15"/>
                <w:szCs w:val="15"/>
              </w:rPr>
              <w:t>本工程排污许可证编号</w:t>
            </w:r>
          </w:p>
        </w:tc>
        <w:tc>
          <w:tcPr>
            <w:tcW w:w="788" w:type="pct"/>
            <w:gridSpan w:val="3"/>
            <w:vAlign w:val="center"/>
          </w:tcPr>
          <w:p>
            <w:pPr>
              <w:widowControl/>
              <w:adjustRightInd w:val="0"/>
              <w:snapToGrid w:val="0"/>
              <w:spacing w:line="240" w:lineRule="auto"/>
              <w:jc w:val="center"/>
              <w:rPr>
                <w:rFonts w:hint="eastAsia"/>
                <w:kern w:val="0"/>
                <w:sz w:val="15"/>
                <w:szCs w:val="15"/>
              </w:rPr>
            </w:pPr>
            <w:r>
              <w:rPr>
                <w:rFonts w:hint="eastAsia"/>
                <w:kern w:val="0"/>
                <w:sz w:val="15"/>
                <w:szCs w:val="15"/>
                <w:lang w:val="en-US" w:eastAsia="zh-CN"/>
              </w:rPr>
              <w:t>91340225MA2MWDR37W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96" w:type="pct"/>
            <w:vMerge w:val="continue"/>
            <w:vAlign w:val="center"/>
          </w:tcPr>
          <w:p>
            <w:pPr>
              <w:widowControl/>
              <w:adjustRightInd w:val="0"/>
              <w:snapToGrid w:val="0"/>
              <w:spacing w:line="240" w:lineRule="auto"/>
              <w:jc w:val="center"/>
              <w:rPr>
                <w:color w:val="FF0000"/>
                <w:kern w:val="0"/>
                <w:sz w:val="15"/>
                <w:szCs w:val="15"/>
              </w:rPr>
            </w:pPr>
          </w:p>
        </w:tc>
        <w:tc>
          <w:tcPr>
            <w:tcW w:w="542" w:type="pct"/>
            <w:gridSpan w:val="2"/>
            <w:vAlign w:val="center"/>
          </w:tcPr>
          <w:p>
            <w:pPr>
              <w:widowControl/>
              <w:adjustRightInd w:val="0"/>
              <w:snapToGrid w:val="0"/>
              <w:spacing w:line="240" w:lineRule="auto"/>
              <w:jc w:val="center"/>
              <w:rPr>
                <w:kern w:val="0"/>
                <w:sz w:val="15"/>
                <w:szCs w:val="15"/>
              </w:rPr>
            </w:pPr>
            <w:r>
              <w:rPr>
                <w:kern w:val="0"/>
                <w:sz w:val="15"/>
                <w:szCs w:val="15"/>
              </w:rPr>
              <w:t>验   收   单   位</w:t>
            </w:r>
          </w:p>
        </w:tc>
        <w:tc>
          <w:tcPr>
            <w:tcW w:w="1106" w:type="pct"/>
            <w:gridSpan w:val="6"/>
            <w:vAlign w:val="center"/>
          </w:tcPr>
          <w:p>
            <w:pPr>
              <w:widowControl/>
              <w:adjustRightInd w:val="0"/>
              <w:snapToGrid w:val="0"/>
              <w:spacing w:line="240" w:lineRule="auto"/>
              <w:jc w:val="center"/>
              <w:rPr>
                <w:kern w:val="0"/>
                <w:sz w:val="15"/>
                <w:szCs w:val="15"/>
              </w:rPr>
            </w:pPr>
            <w:r>
              <w:rPr>
                <w:sz w:val="15"/>
                <w:szCs w:val="15"/>
              </w:rPr>
              <w:t>芜湖徽氏新材料科技有限公司</w:t>
            </w:r>
          </w:p>
        </w:tc>
        <w:tc>
          <w:tcPr>
            <w:tcW w:w="602" w:type="pct"/>
            <w:gridSpan w:val="4"/>
            <w:vAlign w:val="center"/>
          </w:tcPr>
          <w:p>
            <w:pPr>
              <w:widowControl/>
              <w:adjustRightInd w:val="0"/>
              <w:snapToGrid w:val="0"/>
              <w:spacing w:line="240" w:lineRule="auto"/>
              <w:jc w:val="center"/>
              <w:rPr>
                <w:kern w:val="0"/>
                <w:sz w:val="15"/>
                <w:szCs w:val="15"/>
              </w:rPr>
            </w:pPr>
            <w:r>
              <w:rPr>
                <w:kern w:val="0"/>
                <w:sz w:val="15"/>
                <w:szCs w:val="15"/>
              </w:rPr>
              <w:t>环保设施监测单位</w:t>
            </w:r>
          </w:p>
        </w:tc>
        <w:tc>
          <w:tcPr>
            <w:tcW w:w="1153" w:type="pct"/>
            <w:gridSpan w:val="8"/>
            <w:vAlign w:val="center"/>
          </w:tcPr>
          <w:p>
            <w:pPr>
              <w:widowControl/>
              <w:adjustRightInd w:val="0"/>
              <w:snapToGrid w:val="0"/>
              <w:spacing w:line="240" w:lineRule="auto"/>
              <w:jc w:val="center"/>
              <w:rPr>
                <w:kern w:val="0"/>
                <w:sz w:val="15"/>
                <w:szCs w:val="15"/>
              </w:rPr>
            </w:pPr>
            <w:r>
              <w:rPr>
                <w:rFonts w:hint="eastAsia"/>
                <w:kern w:val="0"/>
                <w:sz w:val="15"/>
                <w:szCs w:val="15"/>
              </w:rPr>
              <w:t>安徽工和环境监测有限责任公司</w:t>
            </w:r>
          </w:p>
        </w:tc>
        <w:tc>
          <w:tcPr>
            <w:tcW w:w="610" w:type="pct"/>
            <w:gridSpan w:val="2"/>
            <w:vAlign w:val="center"/>
          </w:tcPr>
          <w:p>
            <w:pPr>
              <w:widowControl/>
              <w:adjustRightInd w:val="0"/>
              <w:snapToGrid w:val="0"/>
              <w:spacing w:line="240" w:lineRule="auto"/>
              <w:jc w:val="center"/>
              <w:rPr>
                <w:kern w:val="0"/>
                <w:sz w:val="15"/>
                <w:szCs w:val="15"/>
              </w:rPr>
            </w:pPr>
            <w:r>
              <w:rPr>
                <w:kern w:val="0"/>
                <w:sz w:val="15"/>
                <w:szCs w:val="15"/>
              </w:rPr>
              <w:t>验收监测时工况</w:t>
            </w:r>
          </w:p>
        </w:tc>
        <w:tc>
          <w:tcPr>
            <w:tcW w:w="788" w:type="pct"/>
            <w:gridSpan w:val="3"/>
            <w:vAlign w:val="center"/>
          </w:tcPr>
          <w:p>
            <w:pPr>
              <w:widowControl/>
              <w:adjustRightInd w:val="0"/>
              <w:snapToGrid w:val="0"/>
              <w:spacing w:line="240" w:lineRule="auto"/>
              <w:jc w:val="center"/>
              <w:rPr>
                <w:rFonts w:hint="default" w:eastAsia="宋体"/>
                <w:kern w:val="0"/>
                <w:sz w:val="15"/>
                <w:szCs w:val="15"/>
                <w:lang w:val="en-US" w:eastAsia="zh-CN"/>
              </w:rPr>
            </w:pPr>
            <w:r>
              <w:rPr>
                <w:rFonts w:hint="eastAsia"/>
                <w:kern w:val="0"/>
                <w:sz w:val="15"/>
                <w:szCs w:val="15"/>
                <w:lang w:val="en-US" w:eastAsia="zh-CN"/>
              </w:rPr>
              <w:t>91</w:t>
            </w:r>
            <w:r>
              <w:rPr>
                <w:rFonts w:hint="eastAsia"/>
                <w:kern w:val="0"/>
                <w:sz w:val="15"/>
                <w:szCs w:val="15"/>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96" w:type="pct"/>
            <w:vMerge w:val="continue"/>
            <w:vAlign w:val="center"/>
          </w:tcPr>
          <w:p>
            <w:pPr>
              <w:widowControl/>
              <w:adjustRightInd w:val="0"/>
              <w:snapToGrid w:val="0"/>
              <w:spacing w:line="240" w:lineRule="auto"/>
              <w:jc w:val="center"/>
              <w:rPr>
                <w:color w:val="FF0000"/>
                <w:kern w:val="0"/>
                <w:sz w:val="15"/>
                <w:szCs w:val="15"/>
              </w:rPr>
            </w:pPr>
          </w:p>
        </w:tc>
        <w:tc>
          <w:tcPr>
            <w:tcW w:w="542" w:type="pct"/>
            <w:gridSpan w:val="2"/>
            <w:vAlign w:val="center"/>
          </w:tcPr>
          <w:p>
            <w:pPr>
              <w:widowControl/>
              <w:adjustRightInd w:val="0"/>
              <w:snapToGrid w:val="0"/>
              <w:spacing w:line="240" w:lineRule="auto"/>
              <w:jc w:val="center"/>
              <w:rPr>
                <w:kern w:val="0"/>
                <w:sz w:val="15"/>
                <w:szCs w:val="15"/>
              </w:rPr>
            </w:pPr>
            <w:r>
              <w:rPr>
                <w:kern w:val="0"/>
                <w:sz w:val="15"/>
                <w:szCs w:val="15"/>
              </w:rPr>
              <w:t>投资总概算（万元）</w:t>
            </w:r>
          </w:p>
        </w:tc>
        <w:tc>
          <w:tcPr>
            <w:tcW w:w="3294" w:type="dxa"/>
            <w:gridSpan w:val="6"/>
            <w:vAlign w:val="center"/>
          </w:tcPr>
          <w:p>
            <w:pPr>
              <w:widowControl/>
              <w:adjustRightInd w:val="0"/>
              <w:snapToGrid w:val="0"/>
              <w:spacing w:line="240" w:lineRule="auto"/>
              <w:jc w:val="center"/>
              <w:rPr>
                <w:rFonts w:hint="eastAsia"/>
                <w:kern w:val="0"/>
                <w:sz w:val="15"/>
                <w:szCs w:val="15"/>
              </w:rPr>
            </w:pPr>
            <w:r>
              <w:rPr>
                <w:rFonts w:hint="eastAsia"/>
                <w:kern w:val="0"/>
                <w:sz w:val="15"/>
                <w:szCs w:val="15"/>
              </w:rPr>
              <w:t>19477</w:t>
            </w:r>
          </w:p>
        </w:tc>
        <w:tc>
          <w:tcPr>
            <w:tcW w:w="1793" w:type="dxa"/>
            <w:gridSpan w:val="4"/>
            <w:vAlign w:val="top"/>
          </w:tcPr>
          <w:p>
            <w:pPr>
              <w:widowControl/>
              <w:adjustRightInd w:val="0"/>
              <w:snapToGrid w:val="0"/>
              <w:spacing w:line="240" w:lineRule="auto"/>
              <w:jc w:val="center"/>
              <w:rPr>
                <w:rFonts w:hint="eastAsia"/>
                <w:kern w:val="0"/>
                <w:sz w:val="15"/>
                <w:szCs w:val="15"/>
              </w:rPr>
            </w:pPr>
            <w:r>
              <w:rPr>
                <w:rFonts w:hint="eastAsia"/>
                <w:kern w:val="0"/>
                <w:sz w:val="15"/>
                <w:szCs w:val="15"/>
              </w:rPr>
              <w:t>环保投资总概算(万元)</w:t>
            </w:r>
          </w:p>
        </w:tc>
        <w:tc>
          <w:tcPr>
            <w:tcW w:w="3436" w:type="dxa"/>
            <w:gridSpan w:val="8"/>
            <w:vAlign w:val="center"/>
          </w:tcPr>
          <w:p>
            <w:pPr>
              <w:widowControl/>
              <w:adjustRightInd w:val="0"/>
              <w:snapToGrid w:val="0"/>
              <w:spacing w:line="240" w:lineRule="auto"/>
              <w:jc w:val="center"/>
              <w:rPr>
                <w:rFonts w:hint="eastAsia"/>
                <w:kern w:val="0"/>
                <w:sz w:val="15"/>
                <w:szCs w:val="15"/>
              </w:rPr>
            </w:pPr>
            <w:r>
              <w:rPr>
                <w:rFonts w:hint="eastAsia"/>
                <w:kern w:val="0"/>
                <w:sz w:val="15"/>
                <w:szCs w:val="15"/>
              </w:rPr>
              <w:t>2434</w:t>
            </w:r>
          </w:p>
        </w:tc>
        <w:tc>
          <w:tcPr>
            <w:tcW w:w="1817" w:type="dxa"/>
            <w:gridSpan w:val="2"/>
            <w:vAlign w:val="top"/>
          </w:tcPr>
          <w:p>
            <w:pPr>
              <w:widowControl/>
              <w:adjustRightInd w:val="0"/>
              <w:snapToGrid w:val="0"/>
              <w:spacing w:line="240" w:lineRule="auto"/>
              <w:jc w:val="center"/>
              <w:rPr>
                <w:rFonts w:hint="eastAsia"/>
                <w:kern w:val="0"/>
                <w:sz w:val="15"/>
                <w:szCs w:val="15"/>
              </w:rPr>
            </w:pPr>
            <w:r>
              <w:rPr>
                <w:rFonts w:hint="eastAsia"/>
                <w:kern w:val="0"/>
                <w:sz w:val="15"/>
                <w:szCs w:val="15"/>
              </w:rPr>
              <w:t>所占比例(%)</w:t>
            </w:r>
          </w:p>
        </w:tc>
        <w:tc>
          <w:tcPr>
            <w:tcW w:w="2347" w:type="dxa"/>
            <w:gridSpan w:val="3"/>
            <w:vAlign w:val="center"/>
          </w:tcPr>
          <w:p>
            <w:pPr>
              <w:widowControl/>
              <w:adjustRightInd w:val="0"/>
              <w:snapToGrid w:val="0"/>
              <w:spacing w:line="240" w:lineRule="auto"/>
              <w:jc w:val="center"/>
              <w:rPr>
                <w:rFonts w:hint="eastAsia"/>
                <w:kern w:val="0"/>
                <w:sz w:val="15"/>
                <w:szCs w:val="15"/>
              </w:rPr>
            </w:pPr>
            <w:r>
              <w:rPr>
                <w:rFonts w:hint="eastAsia"/>
                <w:kern w:val="0"/>
                <w:sz w:val="15"/>
                <w:szCs w:val="15"/>
              </w:rPr>
              <w:t>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96" w:type="pct"/>
            <w:vMerge w:val="continue"/>
            <w:vAlign w:val="center"/>
          </w:tcPr>
          <w:p>
            <w:pPr>
              <w:widowControl/>
              <w:adjustRightInd w:val="0"/>
              <w:snapToGrid w:val="0"/>
              <w:spacing w:line="240" w:lineRule="auto"/>
              <w:jc w:val="center"/>
              <w:rPr>
                <w:color w:val="FF0000"/>
                <w:kern w:val="0"/>
                <w:sz w:val="15"/>
                <w:szCs w:val="15"/>
              </w:rPr>
            </w:pPr>
          </w:p>
        </w:tc>
        <w:tc>
          <w:tcPr>
            <w:tcW w:w="542" w:type="pct"/>
            <w:gridSpan w:val="2"/>
            <w:vAlign w:val="center"/>
          </w:tcPr>
          <w:p>
            <w:pPr>
              <w:widowControl/>
              <w:adjustRightInd w:val="0"/>
              <w:snapToGrid w:val="0"/>
              <w:spacing w:line="240" w:lineRule="auto"/>
              <w:jc w:val="center"/>
              <w:rPr>
                <w:kern w:val="0"/>
                <w:sz w:val="15"/>
                <w:szCs w:val="15"/>
              </w:rPr>
            </w:pPr>
            <w:r>
              <w:rPr>
                <w:kern w:val="0"/>
                <w:sz w:val="15"/>
                <w:szCs w:val="15"/>
              </w:rPr>
              <w:t>实际总投资（万元）</w:t>
            </w:r>
          </w:p>
        </w:tc>
        <w:tc>
          <w:tcPr>
            <w:tcW w:w="3294" w:type="dxa"/>
            <w:gridSpan w:val="6"/>
            <w:vAlign w:val="center"/>
          </w:tcPr>
          <w:p>
            <w:pPr>
              <w:widowControl/>
              <w:adjustRightInd w:val="0"/>
              <w:snapToGrid w:val="0"/>
              <w:spacing w:line="240" w:lineRule="auto"/>
              <w:jc w:val="center"/>
              <w:rPr>
                <w:rFonts w:hint="default" w:eastAsia="宋体"/>
                <w:kern w:val="0"/>
                <w:sz w:val="15"/>
                <w:szCs w:val="15"/>
                <w:lang w:val="en-US" w:eastAsia="zh-CN"/>
              </w:rPr>
            </w:pPr>
            <w:r>
              <w:rPr>
                <w:rFonts w:hint="eastAsia"/>
                <w:kern w:val="0"/>
                <w:sz w:val="15"/>
                <w:szCs w:val="15"/>
                <w:lang w:val="en-US" w:eastAsia="zh-CN"/>
              </w:rPr>
              <w:t>2000</w:t>
            </w:r>
          </w:p>
        </w:tc>
        <w:tc>
          <w:tcPr>
            <w:tcW w:w="1793" w:type="dxa"/>
            <w:gridSpan w:val="4"/>
            <w:vAlign w:val="top"/>
          </w:tcPr>
          <w:p>
            <w:pPr>
              <w:widowControl/>
              <w:adjustRightInd w:val="0"/>
              <w:snapToGrid w:val="0"/>
              <w:spacing w:line="240" w:lineRule="auto"/>
              <w:jc w:val="center"/>
              <w:rPr>
                <w:rFonts w:hint="eastAsia"/>
                <w:kern w:val="0"/>
                <w:sz w:val="15"/>
                <w:szCs w:val="15"/>
              </w:rPr>
            </w:pPr>
            <w:r>
              <w:rPr>
                <w:rFonts w:hint="eastAsia"/>
                <w:kern w:val="0"/>
                <w:sz w:val="15"/>
                <w:szCs w:val="15"/>
              </w:rPr>
              <w:t>实际环保投资(万元)</w:t>
            </w:r>
          </w:p>
        </w:tc>
        <w:tc>
          <w:tcPr>
            <w:tcW w:w="3436" w:type="dxa"/>
            <w:gridSpan w:val="8"/>
            <w:vAlign w:val="center"/>
          </w:tcPr>
          <w:p>
            <w:pPr>
              <w:widowControl/>
              <w:adjustRightInd w:val="0"/>
              <w:snapToGrid w:val="0"/>
              <w:spacing w:line="240" w:lineRule="auto"/>
              <w:jc w:val="center"/>
              <w:rPr>
                <w:rFonts w:hint="default" w:eastAsia="宋体"/>
                <w:kern w:val="0"/>
                <w:sz w:val="15"/>
                <w:szCs w:val="15"/>
                <w:lang w:val="en-US" w:eastAsia="zh-CN"/>
              </w:rPr>
            </w:pPr>
            <w:r>
              <w:rPr>
                <w:rFonts w:hint="eastAsia"/>
                <w:kern w:val="0"/>
                <w:sz w:val="15"/>
                <w:szCs w:val="15"/>
                <w:lang w:val="en-US" w:eastAsia="zh-CN"/>
              </w:rPr>
              <w:t>200</w:t>
            </w:r>
          </w:p>
        </w:tc>
        <w:tc>
          <w:tcPr>
            <w:tcW w:w="1817" w:type="dxa"/>
            <w:gridSpan w:val="2"/>
            <w:vAlign w:val="top"/>
          </w:tcPr>
          <w:p>
            <w:pPr>
              <w:widowControl/>
              <w:adjustRightInd w:val="0"/>
              <w:snapToGrid w:val="0"/>
              <w:spacing w:line="240" w:lineRule="auto"/>
              <w:jc w:val="center"/>
              <w:rPr>
                <w:rFonts w:hint="eastAsia"/>
                <w:kern w:val="0"/>
                <w:sz w:val="15"/>
                <w:szCs w:val="15"/>
              </w:rPr>
            </w:pPr>
            <w:r>
              <w:rPr>
                <w:rFonts w:hint="eastAsia"/>
                <w:kern w:val="0"/>
                <w:sz w:val="15"/>
                <w:szCs w:val="15"/>
              </w:rPr>
              <w:t>所占比例(%)</w:t>
            </w:r>
          </w:p>
        </w:tc>
        <w:tc>
          <w:tcPr>
            <w:tcW w:w="2347" w:type="dxa"/>
            <w:gridSpan w:val="3"/>
            <w:vAlign w:val="center"/>
          </w:tcPr>
          <w:p>
            <w:pPr>
              <w:widowControl/>
              <w:adjustRightInd w:val="0"/>
              <w:snapToGrid w:val="0"/>
              <w:spacing w:line="240" w:lineRule="auto"/>
              <w:jc w:val="center"/>
              <w:rPr>
                <w:rFonts w:hint="default" w:eastAsia="宋体"/>
                <w:kern w:val="0"/>
                <w:sz w:val="15"/>
                <w:szCs w:val="15"/>
                <w:lang w:val="en-US" w:eastAsia="zh-CN"/>
              </w:rPr>
            </w:pPr>
            <w:r>
              <w:rPr>
                <w:rFonts w:hint="eastAsia"/>
                <w:kern w:val="0"/>
                <w:sz w:val="15"/>
                <w:szCs w:val="15"/>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96" w:type="pct"/>
            <w:vMerge w:val="continue"/>
            <w:vAlign w:val="center"/>
          </w:tcPr>
          <w:p>
            <w:pPr>
              <w:widowControl/>
              <w:adjustRightInd w:val="0"/>
              <w:snapToGrid w:val="0"/>
              <w:spacing w:line="240" w:lineRule="auto"/>
              <w:jc w:val="center"/>
              <w:rPr>
                <w:color w:val="FF0000"/>
                <w:kern w:val="0"/>
                <w:sz w:val="15"/>
                <w:szCs w:val="15"/>
              </w:rPr>
            </w:pPr>
          </w:p>
        </w:tc>
        <w:tc>
          <w:tcPr>
            <w:tcW w:w="542" w:type="pct"/>
            <w:gridSpan w:val="2"/>
            <w:vAlign w:val="center"/>
          </w:tcPr>
          <w:p>
            <w:pPr>
              <w:widowControl/>
              <w:adjustRightInd w:val="0"/>
              <w:snapToGrid w:val="0"/>
              <w:spacing w:line="240" w:lineRule="auto"/>
              <w:jc w:val="center"/>
              <w:rPr>
                <w:kern w:val="0"/>
                <w:sz w:val="15"/>
                <w:szCs w:val="15"/>
              </w:rPr>
            </w:pPr>
            <w:r>
              <w:rPr>
                <w:kern w:val="0"/>
                <w:sz w:val="15"/>
                <w:szCs w:val="15"/>
              </w:rPr>
              <w:t>废水治理（万元）</w:t>
            </w:r>
          </w:p>
        </w:tc>
        <w:tc>
          <w:tcPr>
            <w:tcW w:w="234" w:type="pct"/>
            <w:vAlign w:val="center"/>
          </w:tcPr>
          <w:p>
            <w:pPr>
              <w:widowControl/>
              <w:adjustRightInd w:val="0"/>
              <w:snapToGrid w:val="0"/>
              <w:spacing w:line="240" w:lineRule="auto"/>
              <w:jc w:val="center"/>
              <w:rPr>
                <w:rFonts w:hint="default" w:eastAsia="宋体"/>
                <w:kern w:val="0"/>
                <w:sz w:val="15"/>
                <w:szCs w:val="15"/>
                <w:lang w:val="en-US" w:eastAsia="zh-CN"/>
              </w:rPr>
            </w:pPr>
            <w:r>
              <w:rPr>
                <w:rFonts w:hint="eastAsia"/>
                <w:kern w:val="0"/>
                <w:sz w:val="15"/>
                <w:szCs w:val="15"/>
                <w:lang w:val="en-US" w:eastAsia="zh-CN"/>
              </w:rPr>
              <w:t>/</w:t>
            </w:r>
          </w:p>
        </w:tc>
        <w:tc>
          <w:tcPr>
            <w:tcW w:w="453" w:type="pct"/>
            <w:gridSpan w:val="3"/>
            <w:vAlign w:val="center"/>
          </w:tcPr>
          <w:p>
            <w:pPr>
              <w:widowControl/>
              <w:adjustRightInd w:val="0"/>
              <w:snapToGrid w:val="0"/>
              <w:spacing w:line="240" w:lineRule="auto"/>
              <w:jc w:val="center"/>
              <w:rPr>
                <w:kern w:val="0"/>
                <w:sz w:val="15"/>
                <w:szCs w:val="15"/>
              </w:rPr>
            </w:pPr>
            <w:r>
              <w:rPr>
                <w:kern w:val="0"/>
                <w:sz w:val="15"/>
                <w:szCs w:val="15"/>
              </w:rPr>
              <w:t>废气治理（万元）</w:t>
            </w:r>
          </w:p>
        </w:tc>
        <w:tc>
          <w:tcPr>
            <w:tcW w:w="309" w:type="pct"/>
            <w:vAlign w:val="center"/>
          </w:tcPr>
          <w:p>
            <w:pPr>
              <w:widowControl/>
              <w:adjustRightInd w:val="0"/>
              <w:snapToGrid w:val="0"/>
              <w:spacing w:line="240" w:lineRule="auto"/>
              <w:jc w:val="center"/>
              <w:rPr>
                <w:rFonts w:hint="default" w:eastAsia="宋体"/>
                <w:kern w:val="0"/>
                <w:sz w:val="15"/>
                <w:szCs w:val="15"/>
                <w:lang w:val="en-US" w:eastAsia="zh-CN"/>
              </w:rPr>
            </w:pPr>
            <w:r>
              <w:rPr>
                <w:rFonts w:hint="eastAsia"/>
                <w:kern w:val="0"/>
                <w:sz w:val="15"/>
                <w:szCs w:val="15"/>
                <w:lang w:val="en-US" w:eastAsia="zh-CN"/>
              </w:rPr>
              <w:t>150</w:t>
            </w:r>
          </w:p>
        </w:tc>
        <w:tc>
          <w:tcPr>
            <w:tcW w:w="508" w:type="pct"/>
            <w:gridSpan w:val="3"/>
            <w:vAlign w:val="center"/>
          </w:tcPr>
          <w:p>
            <w:pPr>
              <w:widowControl/>
              <w:adjustRightInd w:val="0"/>
              <w:snapToGrid w:val="0"/>
              <w:spacing w:line="240" w:lineRule="auto"/>
              <w:jc w:val="center"/>
              <w:rPr>
                <w:kern w:val="0"/>
                <w:sz w:val="15"/>
                <w:szCs w:val="15"/>
              </w:rPr>
            </w:pPr>
            <w:r>
              <w:rPr>
                <w:kern w:val="0"/>
                <w:sz w:val="15"/>
                <w:szCs w:val="15"/>
              </w:rPr>
              <w:t>噪声治理（万元）</w:t>
            </w:r>
          </w:p>
        </w:tc>
        <w:tc>
          <w:tcPr>
            <w:tcW w:w="306" w:type="pct"/>
            <w:gridSpan w:val="3"/>
            <w:vAlign w:val="center"/>
          </w:tcPr>
          <w:p>
            <w:pPr>
              <w:widowControl/>
              <w:adjustRightInd w:val="0"/>
              <w:snapToGrid w:val="0"/>
              <w:spacing w:line="240" w:lineRule="auto"/>
              <w:jc w:val="center"/>
              <w:rPr>
                <w:rFonts w:hint="eastAsia" w:eastAsia="宋体"/>
                <w:kern w:val="0"/>
                <w:sz w:val="15"/>
                <w:szCs w:val="15"/>
                <w:lang w:eastAsia="zh-CN"/>
              </w:rPr>
            </w:pPr>
            <w:r>
              <w:rPr>
                <w:rFonts w:hint="eastAsia"/>
                <w:kern w:val="0"/>
                <w:sz w:val="15"/>
                <w:szCs w:val="15"/>
                <w:lang w:val="en-US" w:eastAsia="zh-CN"/>
              </w:rPr>
              <w:t>5</w:t>
            </w:r>
          </w:p>
        </w:tc>
        <w:tc>
          <w:tcPr>
            <w:tcW w:w="485" w:type="pct"/>
            <w:gridSpan w:val="4"/>
            <w:vAlign w:val="center"/>
          </w:tcPr>
          <w:p>
            <w:pPr>
              <w:widowControl/>
              <w:adjustRightInd w:val="0"/>
              <w:snapToGrid w:val="0"/>
              <w:spacing w:line="240" w:lineRule="auto"/>
              <w:jc w:val="center"/>
              <w:rPr>
                <w:kern w:val="0"/>
                <w:sz w:val="15"/>
                <w:szCs w:val="15"/>
              </w:rPr>
            </w:pPr>
            <w:r>
              <w:rPr>
                <w:kern w:val="0"/>
                <w:sz w:val="15"/>
                <w:szCs w:val="15"/>
              </w:rPr>
              <w:t>固废治理（万元）</w:t>
            </w:r>
          </w:p>
        </w:tc>
        <w:tc>
          <w:tcPr>
            <w:tcW w:w="356" w:type="pct"/>
            <w:gridSpan w:val="2"/>
            <w:vAlign w:val="center"/>
          </w:tcPr>
          <w:p>
            <w:pPr>
              <w:widowControl/>
              <w:adjustRightInd w:val="0"/>
              <w:snapToGrid w:val="0"/>
              <w:spacing w:line="240" w:lineRule="auto"/>
              <w:jc w:val="center"/>
              <w:rPr>
                <w:rFonts w:hint="default" w:eastAsia="宋体"/>
                <w:kern w:val="0"/>
                <w:sz w:val="15"/>
                <w:szCs w:val="15"/>
                <w:lang w:val="en-US" w:eastAsia="zh-CN"/>
              </w:rPr>
            </w:pPr>
            <w:r>
              <w:rPr>
                <w:rFonts w:hint="eastAsia"/>
                <w:kern w:val="0"/>
                <w:sz w:val="15"/>
                <w:szCs w:val="15"/>
                <w:lang w:val="en-US" w:eastAsia="zh-CN"/>
              </w:rPr>
              <w:t>/</w:t>
            </w:r>
          </w:p>
        </w:tc>
        <w:tc>
          <w:tcPr>
            <w:tcW w:w="526" w:type="pct"/>
            <w:gridSpan w:val="2"/>
            <w:vAlign w:val="center"/>
          </w:tcPr>
          <w:p>
            <w:pPr>
              <w:widowControl/>
              <w:adjustRightInd w:val="0"/>
              <w:snapToGrid w:val="0"/>
              <w:spacing w:line="240" w:lineRule="auto"/>
              <w:jc w:val="center"/>
              <w:rPr>
                <w:kern w:val="0"/>
                <w:sz w:val="15"/>
                <w:szCs w:val="15"/>
              </w:rPr>
            </w:pPr>
            <w:r>
              <w:rPr>
                <w:kern w:val="0"/>
                <w:sz w:val="15"/>
                <w:szCs w:val="15"/>
              </w:rPr>
              <w:t>绿化及生态（万元）</w:t>
            </w:r>
          </w:p>
        </w:tc>
        <w:tc>
          <w:tcPr>
            <w:tcW w:w="292" w:type="pct"/>
            <w:vAlign w:val="center"/>
          </w:tcPr>
          <w:p>
            <w:pPr>
              <w:widowControl/>
              <w:adjustRightInd w:val="0"/>
              <w:snapToGrid w:val="0"/>
              <w:spacing w:line="240" w:lineRule="auto"/>
              <w:jc w:val="center"/>
              <w:rPr>
                <w:rFonts w:hint="default" w:eastAsia="宋体"/>
                <w:kern w:val="0"/>
                <w:sz w:val="15"/>
                <w:szCs w:val="15"/>
                <w:lang w:val="en-US" w:eastAsia="zh-CN"/>
              </w:rPr>
            </w:pPr>
            <w:r>
              <w:rPr>
                <w:rFonts w:hint="eastAsia"/>
                <w:kern w:val="0"/>
                <w:sz w:val="15"/>
                <w:szCs w:val="15"/>
                <w:lang w:val="en-US" w:eastAsia="zh-CN"/>
              </w:rPr>
              <w:t>5</w:t>
            </w:r>
          </w:p>
        </w:tc>
        <w:tc>
          <w:tcPr>
            <w:tcW w:w="385" w:type="pct"/>
            <w:vAlign w:val="center"/>
          </w:tcPr>
          <w:p>
            <w:pPr>
              <w:widowControl/>
              <w:adjustRightInd w:val="0"/>
              <w:snapToGrid w:val="0"/>
              <w:spacing w:line="240" w:lineRule="auto"/>
              <w:jc w:val="center"/>
              <w:rPr>
                <w:kern w:val="0"/>
                <w:sz w:val="15"/>
                <w:szCs w:val="15"/>
              </w:rPr>
            </w:pPr>
            <w:r>
              <w:rPr>
                <w:kern w:val="0"/>
                <w:sz w:val="15"/>
                <w:szCs w:val="15"/>
              </w:rPr>
              <w:t>其他（万元）</w:t>
            </w:r>
          </w:p>
        </w:tc>
        <w:tc>
          <w:tcPr>
            <w:tcW w:w="403" w:type="pct"/>
            <w:gridSpan w:val="2"/>
            <w:vAlign w:val="center"/>
          </w:tcPr>
          <w:p>
            <w:pPr>
              <w:widowControl/>
              <w:adjustRightInd w:val="0"/>
              <w:snapToGrid w:val="0"/>
              <w:spacing w:line="240" w:lineRule="auto"/>
              <w:jc w:val="center"/>
              <w:rPr>
                <w:rFonts w:hint="default" w:eastAsia="宋体"/>
                <w:kern w:val="0"/>
                <w:sz w:val="15"/>
                <w:szCs w:val="15"/>
                <w:lang w:val="en-US" w:eastAsia="zh-CN"/>
              </w:rPr>
            </w:pPr>
            <w:r>
              <w:rPr>
                <w:rFonts w:hint="eastAsia"/>
                <w:kern w:val="0"/>
                <w:sz w:val="15"/>
                <w:szCs w:val="15"/>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96" w:type="pct"/>
            <w:vMerge w:val="continue"/>
            <w:vAlign w:val="center"/>
          </w:tcPr>
          <w:p>
            <w:pPr>
              <w:widowControl/>
              <w:adjustRightInd w:val="0"/>
              <w:snapToGrid w:val="0"/>
              <w:spacing w:line="240" w:lineRule="auto"/>
              <w:jc w:val="center"/>
              <w:rPr>
                <w:color w:val="FF0000"/>
                <w:kern w:val="0"/>
                <w:sz w:val="15"/>
                <w:szCs w:val="15"/>
              </w:rPr>
            </w:pPr>
          </w:p>
        </w:tc>
        <w:tc>
          <w:tcPr>
            <w:tcW w:w="542" w:type="pct"/>
            <w:gridSpan w:val="2"/>
            <w:vAlign w:val="center"/>
          </w:tcPr>
          <w:p>
            <w:pPr>
              <w:widowControl/>
              <w:adjustRightInd w:val="0"/>
              <w:snapToGrid w:val="0"/>
              <w:spacing w:line="240" w:lineRule="auto"/>
              <w:jc w:val="center"/>
              <w:rPr>
                <w:kern w:val="0"/>
                <w:sz w:val="15"/>
                <w:szCs w:val="15"/>
              </w:rPr>
            </w:pPr>
            <w:r>
              <w:rPr>
                <w:kern w:val="0"/>
                <w:sz w:val="15"/>
                <w:szCs w:val="15"/>
              </w:rPr>
              <w:t>废水处理设施能力（t/d）</w:t>
            </w:r>
          </w:p>
        </w:tc>
        <w:tc>
          <w:tcPr>
            <w:tcW w:w="1106" w:type="pct"/>
            <w:gridSpan w:val="6"/>
            <w:vAlign w:val="center"/>
          </w:tcPr>
          <w:p>
            <w:pPr>
              <w:widowControl/>
              <w:adjustRightInd w:val="0"/>
              <w:snapToGrid w:val="0"/>
              <w:spacing w:line="240" w:lineRule="auto"/>
              <w:jc w:val="center"/>
              <w:rPr>
                <w:kern w:val="0"/>
                <w:sz w:val="15"/>
                <w:szCs w:val="15"/>
              </w:rPr>
            </w:pPr>
            <w:r>
              <w:rPr>
                <w:kern w:val="0"/>
                <w:sz w:val="15"/>
                <w:szCs w:val="15"/>
              </w:rPr>
              <w:t>/</w:t>
            </w:r>
          </w:p>
        </w:tc>
        <w:tc>
          <w:tcPr>
            <w:tcW w:w="894" w:type="pct"/>
            <w:gridSpan w:val="6"/>
            <w:vAlign w:val="center"/>
          </w:tcPr>
          <w:p>
            <w:pPr>
              <w:widowControl/>
              <w:adjustRightInd w:val="0"/>
              <w:snapToGrid w:val="0"/>
              <w:spacing w:line="240" w:lineRule="auto"/>
              <w:jc w:val="center"/>
              <w:rPr>
                <w:kern w:val="0"/>
                <w:sz w:val="15"/>
                <w:szCs w:val="15"/>
              </w:rPr>
            </w:pPr>
            <w:r>
              <w:rPr>
                <w:kern w:val="0"/>
                <w:sz w:val="15"/>
                <w:szCs w:val="15"/>
              </w:rPr>
              <w:t>新增废气处理设施能力（Nm</w:t>
            </w:r>
            <w:r>
              <w:rPr>
                <w:kern w:val="0"/>
                <w:sz w:val="15"/>
                <w:szCs w:val="15"/>
                <w:vertAlign w:val="superscript"/>
              </w:rPr>
              <w:t>3</w:t>
            </w:r>
            <w:r>
              <w:rPr>
                <w:kern w:val="0"/>
                <w:sz w:val="15"/>
                <w:szCs w:val="15"/>
              </w:rPr>
              <w:t>/h）</w:t>
            </w:r>
          </w:p>
        </w:tc>
        <w:tc>
          <w:tcPr>
            <w:tcW w:w="862" w:type="pct"/>
            <w:gridSpan w:val="6"/>
            <w:vAlign w:val="center"/>
          </w:tcPr>
          <w:p>
            <w:pPr>
              <w:widowControl/>
              <w:adjustRightInd w:val="0"/>
              <w:snapToGrid w:val="0"/>
              <w:spacing w:line="240" w:lineRule="auto"/>
              <w:jc w:val="center"/>
              <w:rPr>
                <w:kern w:val="0"/>
                <w:sz w:val="15"/>
                <w:szCs w:val="15"/>
              </w:rPr>
            </w:pPr>
            <w:r>
              <w:rPr>
                <w:rFonts w:hint="eastAsia"/>
                <w:kern w:val="0"/>
                <w:sz w:val="15"/>
                <w:szCs w:val="15"/>
              </w:rPr>
              <w:t>/</w:t>
            </w:r>
          </w:p>
        </w:tc>
        <w:tc>
          <w:tcPr>
            <w:tcW w:w="610" w:type="pct"/>
            <w:gridSpan w:val="2"/>
            <w:vAlign w:val="center"/>
          </w:tcPr>
          <w:p>
            <w:pPr>
              <w:widowControl/>
              <w:adjustRightInd w:val="0"/>
              <w:snapToGrid w:val="0"/>
              <w:spacing w:line="240" w:lineRule="auto"/>
              <w:jc w:val="center"/>
              <w:rPr>
                <w:kern w:val="0"/>
                <w:sz w:val="15"/>
                <w:szCs w:val="15"/>
              </w:rPr>
            </w:pPr>
            <w:r>
              <w:rPr>
                <w:kern w:val="0"/>
                <w:sz w:val="15"/>
                <w:szCs w:val="15"/>
              </w:rPr>
              <w:t>年平均工作时（h/a）</w:t>
            </w:r>
          </w:p>
        </w:tc>
        <w:tc>
          <w:tcPr>
            <w:tcW w:w="788" w:type="pct"/>
            <w:gridSpan w:val="3"/>
            <w:vAlign w:val="center"/>
          </w:tcPr>
          <w:p>
            <w:pPr>
              <w:widowControl/>
              <w:adjustRightInd w:val="0"/>
              <w:snapToGrid w:val="0"/>
              <w:spacing w:line="240" w:lineRule="auto"/>
              <w:jc w:val="center"/>
              <w:rPr>
                <w:rFonts w:hint="default" w:eastAsia="宋体"/>
                <w:kern w:val="0"/>
                <w:sz w:val="15"/>
                <w:szCs w:val="15"/>
                <w:lang w:val="en-US" w:eastAsia="zh-CN"/>
              </w:rPr>
            </w:pPr>
            <w:r>
              <w:rPr>
                <w:rFonts w:hint="eastAsia"/>
                <w:kern w:val="0"/>
                <w:sz w:val="15"/>
                <w:szCs w:val="15"/>
                <w:lang w:val="en-US" w:eastAsia="zh-CN"/>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38" w:type="pct"/>
            <w:gridSpan w:val="3"/>
            <w:vAlign w:val="center"/>
          </w:tcPr>
          <w:p>
            <w:pPr>
              <w:widowControl/>
              <w:adjustRightInd w:val="0"/>
              <w:snapToGrid w:val="0"/>
              <w:spacing w:line="240" w:lineRule="auto"/>
              <w:jc w:val="center"/>
              <w:rPr>
                <w:kern w:val="0"/>
                <w:sz w:val="15"/>
                <w:szCs w:val="15"/>
              </w:rPr>
            </w:pPr>
            <w:r>
              <w:rPr>
                <w:kern w:val="0"/>
                <w:sz w:val="15"/>
                <w:szCs w:val="15"/>
              </w:rPr>
              <w:t>运    营    单    位</w:t>
            </w:r>
          </w:p>
        </w:tc>
        <w:tc>
          <w:tcPr>
            <w:tcW w:w="1106" w:type="pct"/>
            <w:gridSpan w:val="6"/>
            <w:vAlign w:val="center"/>
          </w:tcPr>
          <w:p>
            <w:pPr>
              <w:widowControl/>
              <w:adjustRightInd w:val="0"/>
              <w:snapToGrid w:val="0"/>
              <w:spacing w:line="240" w:lineRule="auto"/>
              <w:jc w:val="center"/>
              <w:rPr>
                <w:kern w:val="0"/>
                <w:sz w:val="15"/>
                <w:szCs w:val="15"/>
              </w:rPr>
            </w:pPr>
            <w:r>
              <w:rPr>
                <w:sz w:val="15"/>
                <w:szCs w:val="15"/>
              </w:rPr>
              <w:t>芜湖徽氏新材料科技有限公司</w:t>
            </w:r>
          </w:p>
        </w:tc>
        <w:tc>
          <w:tcPr>
            <w:tcW w:w="1096" w:type="pct"/>
            <w:gridSpan w:val="8"/>
            <w:vAlign w:val="center"/>
          </w:tcPr>
          <w:p>
            <w:pPr>
              <w:widowControl/>
              <w:adjustRightInd w:val="0"/>
              <w:snapToGrid w:val="0"/>
              <w:spacing w:line="240" w:lineRule="auto"/>
              <w:jc w:val="center"/>
              <w:rPr>
                <w:kern w:val="0"/>
                <w:sz w:val="15"/>
                <w:szCs w:val="15"/>
              </w:rPr>
            </w:pPr>
            <w:r>
              <w:rPr>
                <w:kern w:val="0"/>
                <w:sz w:val="15"/>
                <w:szCs w:val="15"/>
              </w:rPr>
              <w:t>运营单位社会统一信用代码（或组织机构代码）</w:t>
            </w:r>
          </w:p>
        </w:tc>
        <w:tc>
          <w:tcPr>
            <w:tcW w:w="659" w:type="pct"/>
            <w:gridSpan w:val="4"/>
            <w:vAlign w:val="center"/>
          </w:tcPr>
          <w:p>
            <w:pPr>
              <w:widowControl/>
              <w:adjustRightInd w:val="0"/>
              <w:snapToGrid w:val="0"/>
              <w:spacing w:line="240" w:lineRule="auto"/>
              <w:jc w:val="center"/>
              <w:rPr>
                <w:kern w:val="0"/>
                <w:sz w:val="15"/>
                <w:szCs w:val="15"/>
              </w:rPr>
            </w:pPr>
            <w:r>
              <w:rPr>
                <w:kern w:val="0"/>
                <w:sz w:val="15"/>
                <w:szCs w:val="15"/>
              </w:rPr>
              <w:t>91340225MA2MWDR37W</w:t>
            </w:r>
          </w:p>
        </w:tc>
        <w:tc>
          <w:tcPr>
            <w:tcW w:w="610" w:type="pct"/>
            <w:gridSpan w:val="2"/>
            <w:vAlign w:val="center"/>
          </w:tcPr>
          <w:p>
            <w:pPr>
              <w:widowControl/>
              <w:adjustRightInd w:val="0"/>
              <w:snapToGrid w:val="0"/>
              <w:spacing w:line="240" w:lineRule="auto"/>
              <w:jc w:val="center"/>
              <w:rPr>
                <w:kern w:val="0"/>
                <w:sz w:val="15"/>
                <w:szCs w:val="15"/>
              </w:rPr>
            </w:pPr>
            <w:r>
              <w:rPr>
                <w:kern w:val="0"/>
                <w:sz w:val="15"/>
                <w:szCs w:val="15"/>
              </w:rPr>
              <w:t>验收</w:t>
            </w:r>
            <w:r>
              <w:rPr>
                <w:rFonts w:hint="eastAsia"/>
                <w:kern w:val="0"/>
                <w:sz w:val="15"/>
                <w:szCs w:val="15"/>
              </w:rPr>
              <w:t>监测</w:t>
            </w:r>
            <w:r>
              <w:rPr>
                <w:kern w:val="0"/>
                <w:sz w:val="15"/>
                <w:szCs w:val="15"/>
              </w:rPr>
              <w:t>时间</w:t>
            </w:r>
          </w:p>
        </w:tc>
        <w:tc>
          <w:tcPr>
            <w:tcW w:w="788" w:type="pct"/>
            <w:gridSpan w:val="3"/>
            <w:vAlign w:val="center"/>
          </w:tcPr>
          <w:p>
            <w:pPr>
              <w:widowControl/>
              <w:adjustRightInd w:val="0"/>
              <w:snapToGrid w:val="0"/>
              <w:spacing w:line="240" w:lineRule="auto"/>
              <w:jc w:val="center"/>
              <w:rPr>
                <w:rFonts w:hint="default" w:eastAsia="宋体"/>
                <w:kern w:val="0"/>
                <w:sz w:val="15"/>
                <w:szCs w:val="15"/>
                <w:lang w:val="en-US" w:eastAsia="zh-CN"/>
              </w:rPr>
            </w:pPr>
            <w:r>
              <w:rPr>
                <w:rFonts w:hint="eastAsia"/>
                <w:kern w:val="0"/>
                <w:sz w:val="15"/>
                <w:szCs w:val="15"/>
              </w:rPr>
              <w:t>2022.0</w:t>
            </w:r>
            <w:r>
              <w:rPr>
                <w:rFonts w:hint="eastAsia"/>
                <w:kern w:val="0"/>
                <w:sz w:val="15"/>
                <w:szCs w:val="15"/>
                <w:lang w:val="en-US" w:eastAsia="zh-CN"/>
              </w:rPr>
              <w:t>5</w:t>
            </w:r>
            <w:r>
              <w:rPr>
                <w:rFonts w:hint="eastAsia"/>
                <w:kern w:val="0"/>
                <w:sz w:val="15"/>
                <w:szCs w:val="15"/>
              </w:rPr>
              <w:t>.</w:t>
            </w:r>
            <w:r>
              <w:rPr>
                <w:rFonts w:hint="eastAsia"/>
                <w:kern w:val="0"/>
                <w:sz w:val="15"/>
                <w:szCs w:val="15"/>
                <w:lang w:val="en-US" w:eastAsia="zh-CN"/>
              </w:rPr>
              <w:t>31</w:t>
            </w:r>
            <w:r>
              <w:rPr>
                <w:rFonts w:hint="eastAsia"/>
                <w:kern w:val="0"/>
                <w:sz w:val="15"/>
                <w:szCs w:val="15"/>
              </w:rPr>
              <w:t>~2022.0</w:t>
            </w:r>
            <w:r>
              <w:rPr>
                <w:rFonts w:hint="eastAsia"/>
                <w:kern w:val="0"/>
                <w:sz w:val="15"/>
                <w:szCs w:val="15"/>
                <w:lang w:val="en-US" w:eastAsia="zh-CN"/>
              </w:rPr>
              <w:t>6</w:t>
            </w:r>
            <w:r>
              <w:rPr>
                <w:rFonts w:hint="eastAsia"/>
                <w:kern w:val="0"/>
                <w:sz w:val="15"/>
                <w:szCs w:val="15"/>
              </w:rPr>
              <w:t>.</w:t>
            </w:r>
            <w:r>
              <w:rPr>
                <w:rFonts w:hint="eastAsia"/>
                <w:kern w:val="0"/>
                <w:sz w:val="15"/>
                <w:szCs w:val="15"/>
                <w:lang w:val="en-US" w:eastAsia="zh-CN"/>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96" w:type="pct"/>
            <w:vMerge w:val="restart"/>
            <w:vAlign w:val="center"/>
          </w:tcPr>
          <w:p>
            <w:pPr>
              <w:widowControl/>
              <w:adjustRightInd w:val="0"/>
              <w:snapToGrid w:val="0"/>
              <w:spacing w:line="240" w:lineRule="auto"/>
              <w:jc w:val="center"/>
              <w:rPr>
                <w:kern w:val="0"/>
                <w:sz w:val="15"/>
                <w:szCs w:val="15"/>
              </w:rPr>
            </w:pPr>
            <w:r>
              <w:rPr>
                <w:kern w:val="0"/>
                <w:sz w:val="15"/>
                <w:szCs w:val="15"/>
              </w:rPr>
              <w:t>污染物排放达标与总量控制（工业建设项目详填）</w:t>
            </w:r>
          </w:p>
        </w:tc>
        <w:tc>
          <w:tcPr>
            <w:tcW w:w="542" w:type="pct"/>
            <w:gridSpan w:val="2"/>
            <w:vAlign w:val="center"/>
          </w:tcPr>
          <w:p>
            <w:pPr>
              <w:widowControl/>
              <w:adjustRightInd w:val="0"/>
              <w:snapToGrid w:val="0"/>
              <w:spacing w:line="240" w:lineRule="auto"/>
              <w:jc w:val="center"/>
              <w:rPr>
                <w:kern w:val="0"/>
                <w:sz w:val="15"/>
                <w:szCs w:val="15"/>
              </w:rPr>
            </w:pPr>
            <w:r>
              <w:rPr>
                <w:kern w:val="0"/>
                <w:sz w:val="15"/>
                <w:szCs w:val="15"/>
              </w:rPr>
              <w:t>污      染     物</w:t>
            </w:r>
          </w:p>
        </w:tc>
        <w:tc>
          <w:tcPr>
            <w:tcW w:w="269" w:type="pct"/>
            <w:gridSpan w:val="2"/>
            <w:vAlign w:val="center"/>
          </w:tcPr>
          <w:p>
            <w:pPr>
              <w:widowControl/>
              <w:adjustRightInd w:val="0"/>
              <w:snapToGrid w:val="0"/>
              <w:spacing w:line="240" w:lineRule="auto"/>
              <w:jc w:val="center"/>
              <w:rPr>
                <w:kern w:val="0"/>
                <w:sz w:val="15"/>
                <w:szCs w:val="15"/>
              </w:rPr>
            </w:pPr>
            <w:r>
              <w:rPr>
                <w:kern w:val="0"/>
                <w:sz w:val="15"/>
                <w:szCs w:val="15"/>
              </w:rPr>
              <w:t>原有排放量（1）</w:t>
            </w:r>
          </w:p>
        </w:tc>
        <w:tc>
          <w:tcPr>
            <w:tcW w:w="356" w:type="pct"/>
            <w:vAlign w:val="center"/>
          </w:tcPr>
          <w:p>
            <w:pPr>
              <w:adjustRightInd w:val="0"/>
              <w:snapToGrid w:val="0"/>
              <w:spacing w:line="240" w:lineRule="auto"/>
              <w:jc w:val="center"/>
              <w:rPr>
                <w:kern w:val="0"/>
                <w:sz w:val="15"/>
                <w:szCs w:val="15"/>
              </w:rPr>
            </w:pPr>
            <w:r>
              <w:rPr>
                <w:kern w:val="0"/>
                <w:sz w:val="15"/>
                <w:szCs w:val="15"/>
              </w:rPr>
              <w:t>本期工程实际排放浓度（2）</w:t>
            </w:r>
          </w:p>
        </w:tc>
        <w:tc>
          <w:tcPr>
            <w:tcW w:w="371" w:type="pct"/>
            <w:gridSpan w:val="2"/>
            <w:vAlign w:val="center"/>
          </w:tcPr>
          <w:p>
            <w:pPr>
              <w:adjustRightInd w:val="0"/>
              <w:snapToGrid w:val="0"/>
              <w:spacing w:line="240" w:lineRule="auto"/>
              <w:jc w:val="center"/>
              <w:rPr>
                <w:kern w:val="0"/>
                <w:sz w:val="15"/>
                <w:szCs w:val="15"/>
              </w:rPr>
            </w:pPr>
            <w:r>
              <w:rPr>
                <w:kern w:val="0"/>
                <w:sz w:val="15"/>
                <w:szCs w:val="15"/>
              </w:rPr>
              <w:t>本期工程允许排放浓度（3）</w:t>
            </w:r>
          </w:p>
        </w:tc>
        <w:tc>
          <w:tcPr>
            <w:tcW w:w="300" w:type="pct"/>
            <w:gridSpan w:val="2"/>
            <w:vAlign w:val="center"/>
          </w:tcPr>
          <w:p>
            <w:pPr>
              <w:adjustRightInd w:val="0"/>
              <w:snapToGrid w:val="0"/>
              <w:spacing w:line="240" w:lineRule="auto"/>
              <w:jc w:val="center"/>
              <w:rPr>
                <w:kern w:val="0"/>
                <w:sz w:val="15"/>
                <w:szCs w:val="15"/>
              </w:rPr>
            </w:pPr>
            <w:r>
              <w:rPr>
                <w:kern w:val="0"/>
                <w:sz w:val="15"/>
                <w:szCs w:val="15"/>
              </w:rPr>
              <w:t>本期工程产生量（4）</w:t>
            </w:r>
          </w:p>
        </w:tc>
        <w:tc>
          <w:tcPr>
            <w:tcW w:w="345" w:type="pct"/>
            <w:gridSpan w:val="2"/>
            <w:vAlign w:val="center"/>
          </w:tcPr>
          <w:p>
            <w:pPr>
              <w:adjustRightInd w:val="0"/>
              <w:snapToGrid w:val="0"/>
              <w:spacing w:line="240" w:lineRule="auto"/>
              <w:jc w:val="center"/>
              <w:rPr>
                <w:kern w:val="0"/>
                <w:sz w:val="15"/>
                <w:szCs w:val="15"/>
              </w:rPr>
            </w:pPr>
            <w:r>
              <w:rPr>
                <w:kern w:val="0"/>
                <w:sz w:val="15"/>
                <w:szCs w:val="15"/>
              </w:rPr>
              <w:t>本期工程自身削减量（5）</w:t>
            </w:r>
          </w:p>
        </w:tc>
        <w:tc>
          <w:tcPr>
            <w:tcW w:w="400" w:type="pct"/>
            <w:gridSpan w:val="4"/>
            <w:vAlign w:val="center"/>
          </w:tcPr>
          <w:p>
            <w:pPr>
              <w:widowControl/>
              <w:adjustRightInd w:val="0"/>
              <w:snapToGrid w:val="0"/>
              <w:spacing w:line="240" w:lineRule="auto"/>
              <w:jc w:val="center"/>
              <w:rPr>
                <w:kern w:val="0"/>
                <w:sz w:val="15"/>
                <w:szCs w:val="15"/>
              </w:rPr>
            </w:pPr>
            <w:r>
              <w:rPr>
                <w:kern w:val="0"/>
                <w:sz w:val="15"/>
                <w:szCs w:val="15"/>
              </w:rPr>
              <w:t>本期工程实际排放量（6）</w:t>
            </w:r>
          </w:p>
        </w:tc>
        <w:tc>
          <w:tcPr>
            <w:tcW w:w="394" w:type="pct"/>
            <w:gridSpan w:val="3"/>
            <w:vAlign w:val="center"/>
          </w:tcPr>
          <w:p>
            <w:pPr>
              <w:adjustRightInd w:val="0"/>
              <w:snapToGrid w:val="0"/>
              <w:spacing w:line="240" w:lineRule="auto"/>
              <w:jc w:val="center"/>
              <w:rPr>
                <w:kern w:val="0"/>
                <w:sz w:val="15"/>
                <w:szCs w:val="15"/>
              </w:rPr>
            </w:pPr>
            <w:r>
              <w:rPr>
                <w:kern w:val="0"/>
                <w:sz w:val="15"/>
                <w:szCs w:val="15"/>
              </w:rPr>
              <w:t>本期工程核定排放总量（7）</w:t>
            </w:r>
          </w:p>
        </w:tc>
        <w:tc>
          <w:tcPr>
            <w:tcW w:w="424" w:type="pct"/>
            <w:gridSpan w:val="2"/>
            <w:vAlign w:val="center"/>
          </w:tcPr>
          <w:p>
            <w:pPr>
              <w:adjustRightInd w:val="0"/>
              <w:snapToGrid w:val="0"/>
              <w:spacing w:line="240" w:lineRule="auto"/>
              <w:rPr>
                <w:kern w:val="0"/>
                <w:sz w:val="15"/>
                <w:szCs w:val="15"/>
              </w:rPr>
            </w:pPr>
            <w:r>
              <w:rPr>
                <w:kern w:val="21"/>
                <w:sz w:val="15"/>
                <w:szCs w:val="15"/>
              </w:rPr>
              <w:t>本期工程</w:t>
            </w:r>
            <w:r>
              <w:rPr>
                <w:rFonts w:hint="eastAsia"/>
                <w:kern w:val="21"/>
                <w:sz w:val="15"/>
                <w:szCs w:val="15"/>
              </w:rPr>
              <w:t>“</w:t>
            </w:r>
            <w:r>
              <w:rPr>
                <w:kern w:val="21"/>
                <w:sz w:val="15"/>
                <w:szCs w:val="15"/>
              </w:rPr>
              <w:t>以新代老</w:t>
            </w:r>
            <w:r>
              <w:rPr>
                <w:rFonts w:hint="eastAsia"/>
                <w:kern w:val="21"/>
                <w:sz w:val="15"/>
                <w:szCs w:val="15"/>
              </w:rPr>
              <w:t>”</w:t>
            </w:r>
            <w:r>
              <w:rPr>
                <w:kern w:val="21"/>
                <w:sz w:val="15"/>
                <w:szCs w:val="15"/>
              </w:rPr>
              <w:t>削减量（8）</w:t>
            </w:r>
          </w:p>
        </w:tc>
        <w:tc>
          <w:tcPr>
            <w:tcW w:w="318" w:type="pct"/>
            <w:vAlign w:val="center"/>
          </w:tcPr>
          <w:p>
            <w:pPr>
              <w:adjustRightInd w:val="0"/>
              <w:snapToGrid w:val="0"/>
              <w:spacing w:line="240" w:lineRule="auto"/>
              <w:jc w:val="center"/>
              <w:rPr>
                <w:kern w:val="0"/>
                <w:sz w:val="15"/>
                <w:szCs w:val="15"/>
              </w:rPr>
            </w:pPr>
            <w:r>
              <w:rPr>
                <w:kern w:val="0"/>
                <w:sz w:val="15"/>
                <w:szCs w:val="15"/>
              </w:rPr>
              <w:t>全厂实际排放总量（9）</w:t>
            </w:r>
          </w:p>
        </w:tc>
        <w:tc>
          <w:tcPr>
            <w:tcW w:w="292" w:type="pct"/>
            <w:vAlign w:val="center"/>
          </w:tcPr>
          <w:p>
            <w:pPr>
              <w:adjustRightInd w:val="0"/>
              <w:snapToGrid w:val="0"/>
              <w:spacing w:line="240" w:lineRule="auto"/>
              <w:jc w:val="center"/>
              <w:rPr>
                <w:kern w:val="0"/>
                <w:sz w:val="15"/>
                <w:szCs w:val="15"/>
              </w:rPr>
            </w:pPr>
            <w:r>
              <w:rPr>
                <w:kern w:val="0"/>
                <w:sz w:val="15"/>
                <w:szCs w:val="15"/>
              </w:rPr>
              <w:t>全厂核定排放总量（10）</w:t>
            </w:r>
          </w:p>
        </w:tc>
        <w:tc>
          <w:tcPr>
            <w:tcW w:w="416" w:type="pct"/>
            <w:gridSpan w:val="2"/>
            <w:vAlign w:val="center"/>
          </w:tcPr>
          <w:p>
            <w:pPr>
              <w:adjustRightInd w:val="0"/>
              <w:snapToGrid w:val="0"/>
              <w:spacing w:line="240" w:lineRule="auto"/>
              <w:jc w:val="center"/>
              <w:rPr>
                <w:kern w:val="0"/>
                <w:sz w:val="15"/>
                <w:szCs w:val="15"/>
              </w:rPr>
            </w:pPr>
            <w:r>
              <w:rPr>
                <w:kern w:val="0"/>
                <w:sz w:val="15"/>
                <w:szCs w:val="15"/>
              </w:rPr>
              <w:t>区域平衡替代削减量（11）</w:t>
            </w:r>
          </w:p>
        </w:tc>
        <w:tc>
          <w:tcPr>
            <w:tcW w:w="372" w:type="pct"/>
            <w:vAlign w:val="center"/>
          </w:tcPr>
          <w:p>
            <w:pPr>
              <w:adjustRightInd w:val="0"/>
              <w:snapToGrid w:val="0"/>
              <w:spacing w:line="240" w:lineRule="auto"/>
              <w:jc w:val="center"/>
              <w:rPr>
                <w:kern w:val="0"/>
                <w:sz w:val="15"/>
                <w:szCs w:val="15"/>
              </w:rPr>
            </w:pPr>
            <w:r>
              <w:rPr>
                <w:kern w:val="0"/>
                <w:sz w:val="15"/>
                <w:szCs w:val="15"/>
              </w:rPr>
              <w:t>排放增减量（12）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96" w:type="pct"/>
            <w:vMerge w:val="continue"/>
            <w:vAlign w:val="center"/>
          </w:tcPr>
          <w:p>
            <w:pPr>
              <w:adjustRightInd w:val="0"/>
              <w:snapToGrid w:val="0"/>
              <w:spacing w:line="240" w:lineRule="auto"/>
              <w:jc w:val="center"/>
              <w:rPr>
                <w:color w:val="FF0000"/>
                <w:kern w:val="0"/>
                <w:sz w:val="15"/>
                <w:szCs w:val="15"/>
              </w:rPr>
            </w:pPr>
          </w:p>
        </w:tc>
        <w:tc>
          <w:tcPr>
            <w:tcW w:w="542" w:type="pct"/>
            <w:gridSpan w:val="2"/>
            <w:vAlign w:val="center"/>
          </w:tcPr>
          <w:p>
            <w:pPr>
              <w:widowControl/>
              <w:adjustRightInd w:val="0"/>
              <w:snapToGrid w:val="0"/>
              <w:spacing w:line="240" w:lineRule="auto"/>
              <w:jc w:val="center"/>
              <w:rPr>
                <w:kern w:val="0"/>
                <w:sz w:val="15"/>
                <w:szCs w:val="15"/>
              </w:rPr>
            </w:pPr>
            <w:r>
              <w:rPr>
                <w:kern w:val="0"/>
                <w:sz w:val="15"/>
                <w:szCs w:val="15"/>
              </w:rPr>
              <w:t>废      水</w:t>
            </w:r>
          </w:p>
        </w:tc>
        <w:tc>
          <w:tcPr>
            <w:tcW w:w="269" w:type="pct"/>
            <w:gridSpan w:val="2"/>
            <w:vAlign w:val="center"/>
          </w:tcPr>
          <w:p>
            <w:pPr>
              <w:widowControl/>
              <w:adjustRightInd w:val="0"/>
              <w:snapToGrid w:val="0"/>
              <w:spacing w:line="240" w:lineRule="auto"/>
              <w:jc w:val="center"/>
              <w:rPr>
                <w:rFonts w:hint="eastAsia" w:eastAsia="宋体"/>
                <w:color w:val="FF0000"/>
                <w:kern w:val="0"/>
                <w:sz w:val="15"/>
                <w:szCs w:val="15"/>
                <w:lang w:eastAsia="zh-CN"/>
              </w:rPr>
            </w:pPr>
            <w:r>
              <w:rPr>
                <w:rFonts w:hint="eastAsia"/>
                <w:kern w:val="0"/>
                <w:sz w:val="15"/>
                <w:szCs w:val="15"/>
                <w:lang w:val="en-US" w:eastAsia="zh-CN"/>
              </w:rPr>
              <w:t>/</w:t>
            </w:r>
          </w:p>
        </w:tc>
        <w:tc>
          <w:tcPr>
            <w:tcW w:w="356" w:type="pct"/>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71"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00"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45"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400" w:type="pct"/>
            <w:gridSpan w:val="4"/>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94" w:type="pct"/>
            <w:gridSpan w:val="3"/>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424"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18" w:type="pct"/>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292" w:type="pct"/>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416"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72" w:type="pct"/>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96" w:type="pct"/>
            <w:vMerge w:val="continue"/>
            <w:vAlign w:val="center"/>
          </w:tcPr>
          <w:p>
            <w:pPr>
              <w:adjustRightInd w:val="0"/>
              <w:snapToGrid w:val="0"/>
              <w:spacing w:line="240" w:lineRule="auto"/>
              <w:jc w:val="center"/>
              <w:rPr>
                <w:color w:val="FF0000"/>
                <w:kern w:val="0"/>
                <w:sz w:val="15"/>
                <w:szCs w:val="15"/>
              </w:rPr>
            </w:pPr>
          </w:p>
        </w:tc>
        <w:tc>
          <w:tcPr>
            <w:tcW w:w="542" w:type="pct"/>
            <w:gridSpan w:val="2"/>
            <w:vAlign w:val="center"/>
          </w:tcPr>
          <w:p>
            <w:pPr>
              <w:widowControl/>
              <w:adjustRightInd w:val="0"/>
              <w:snapToGrid w:val="0"/>
              <w:spacing w:line="240" w:lineRule="auto"/>
              <w:jc w:val="center"/>
              <w:rPr>
                <w:kern w:val="0"/>
                <w:sz w:val="15"/>
                <w:szCs w:val="15"/>
              </w:rPr>
            </w:pPr>
            <w:r>
              <w:rPr>
                <w:kern w:val="0"/>
                <w:sz w:val="15"/>
                <w:szCs w:val="15"/>
              </w:rPr>
              <w:t>化学需氧量</w:t>
            </w:r>
          </w:p>
        </w:tc>
        <w:tc>
          <w:tcPr>
            <w:tcW w:w="269" w:type="pct"/>
            <w:gridSpan w:val="2"/>
            <w:vAlign w:val="center"/>
          </w:tcPr>
          <w:p>
            <w:pPr>
              <w:widowControl/>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56" w:type="pct"/>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71"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00"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45"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400" w:type="pct"/>
            <w:gridSpan w:val="4"/>
            <w:vAlign w:val="center"/>
          </w:tcPr>
          <w:p>
            <w:pPr>
              <w:spacing w:line="240" w:lineRule="auto"/>
              <w:jc w:val="center"/>
              <w:rPr>
                <w:color w:val="FF0000"/>
                <w:kern w:val="0"/>
                <w:sz w:val="15"/>
                <w:szCs w:val="15"/>
              </w:rPr>
            </w:pPr>
            <w:r>
              <w:rPr>
                <w:rFonts w:hint="eastAsia"/>
                <w:kern w:val="0"/>
                <w:sz w:val="15"/>
                <w:szCs w:val="15"/>
                <w:lang w:val="en-US" w:eastAsia="zh-CN"/>
              </w:rPr>
              <w:t>/</w:t>
            </w:r>
          </w:p>
        </w:tc>
        <w:tc>
          <w:tcPr>
            <w:tcW w:w="394" w:type="pct"/>
            <w:gridSpan w:val="3"/>
            <w:vAlign w:val="center"/>
          </w:tcPr>
          <w:p>
            <w:pPr>
              <w:widowControl/>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424" w:type="pct"/>
            <w:gridSpan w:val="2"/>
            <w:vAlign w:val="center"/>
          </w:tcPr>
          <w:p>
            <w:pPr>
              <w:widowControl/>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18" w:type="pct"/>
            <w:vAlign w:val="center"/>
          </w:tcPr>
          <w:p>
            <w:pPr>
              <w:widowControl/>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292" w:type="pct"/>
            <w:vAlign w:val="center"/>
          </w:tcPr>
          <w:p>
            <w:pPr>
              <w:widowControl/>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416" w:type="pct"/>
            <w:gridSpan w:val="2"/>
            <w:vAlign w:val="center"/>
          </w:tcPr>
          <w:p>
            <w:pPr>
              <w:widowControl/>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72" w:type="pct"/>
            <w:vAlign w:val="center"/>
          </w:tcPr>
          <w:p>
            <w:pPr>
              <w:spacing w:line="240" w:lineRule="auto"/>
              <w:jc w:val="center"/>
              <w:rPr>
                <w:color w:val="FF0000"/>
                <w:kern w:val="0"/>
                <w:sz w:val="15"/>
                <w:szCs w:val="15"/>
              </w:rPr>
            </w:pPr>
            <w:r>
              <w:rPr>
                <w:rFonts w:hint="eastAsia"/>
                <w:kern w:val="0"/>
                <w:sz w:val="15"/>
                <w:szCs w:val="15"/>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96" w:type="pct"/>
            <w:vMerge w:val="continue"/>
            <w:vAlign w:val="center"/>
          </w:tcPr>
          <w:p>
            <w:pPr>
              <w:adjustRightInd w:val="0"/>
              <w:snapToGrid w:val="0"/>
              <w:spacing w:line="240" w:lineRule="auto"/>
              <w:jc w:val="center"/>
              <w:rPr>
                <w:color w:val="FF0000"/>
                <w:kern w:val="0"/>
                <w:sz w:val="15"/>
                <w:szCs w:val="15"/>
              </w:rPr>
            </w:pPr>
          </w:p>
        </w:tc>
        <w:tc>
          <w:tcPr>
            <w:tcW w:w="542" w:type="pct"/>
            <w:gridSpan w:val="2"/>
            <w:vAlign w:val="center"/>
          </w:tcPr>
          <w:p>
            <w:pPr>
              <w:widowControl/>
              <w:adjustRightInd w:val="0"/>
              <w:snapToGrid w:val="0"/>
              <w:spacing w:line="240" w:lineRule="auto"/>
              <w:jc w:val="center"/>
              <w:rPr>
                <w:kern w:val="0"/>
                <w:sz w:val="15"/>
                <w:szCs w:val="15"/>
              </w:rPr>
            </w:pPr>
            <w:r>
              <w:rPr>
                <w:kern w:val="0"/>
                <w:sz w:val="15"/>
                <w:szCs w:val="15"/>
              </w:rPr>
              <w:t>氨       氮</w:t>
            </w:r>
          </w:p>
        </w:tc>
        <w:tc>
          <w:tcPr>
            <w:tcW w:w="269" w:type="pct"/>
            <w:gridSpan w:val="2"/>
            <w:vAlign w:val="center"/>
          </w:tcPr>
          <w:p>
            <w:pPr>
              <w:widowControl/>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56" w:type="pct"/>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71"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00"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45"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400" w:type="pct"/>
            <w:gridSpan w:val="4"/>
            <w:vAlign w:val="center"/>
          </w:tcPr>
          <w:p>
            <w:pPr>
              <w:spacing w:line="240" w:lineRule="auto"/>
              <w:jc w:val="center"/>
              <w:rPr>
                <w:color w:val="FF0000"/>
                <w:kern w:val="0"/>
                <w:sz w:val="15"/>
                <w:szCs w:val="15"/>
              </w:rPr>
            </w:pPr>
            <w:r>
              <w:rPr>
                <w:rFonts w:hint="eastAsia"/>
                <w:kern w:val="0"/>
                <w:sz w:val="15"/>
                <w:szCs w:val="15"/>
                <w:lang w:val="en-US" w:eastAsia="zh-CN"/>
              </w:rPr>
              <w:t>/</w:t>
            </w:r>
          </w:p>
        </w:tc>
        <w:tc>
          <w:tcPr>
            <w:tcW w:w="394" w:type="pct"/>
            <w:gridSpan w:val="3"/>
            <w:vAlign w:val="center"/>
          </w:tcPr>
          <w:p>
            <w:pPr>
              <w:widowControl/>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424" w:type="pct"/>
            <w:gridSpan w:val="2"/>
            <w:vAlign w:val="center"/>
          </w:tcPr>
          <w:p>
            <w:pPr>
              <w:widowControl/>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18" w:type="pct"/>
            <w:vAlign w:val="center"/>
          </w:tcPr>
          <w:p>
            <w:pPr>
              <w:widowControl/>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292" w:type="pct"/>
            <w:vAlign w:val="center"/>
          </w:tcPr>
          <w:p>
            <w:pPr>
              <w:widowControl/>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416" w:type="pct"/>
            <w:gridSpan w:val="2"/>
            <w:vAlign w:val="center"/>
          </w:tcPr>
          <w:p>
            <w:pPr>
              <w:widowControl/>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72" w:type="pct"/>
            <w:vAlign w:val="center"/>
          </w:tcPr>
          <w:p>
            <w:pPr>
              <w:spacing w:line="240" w:lineRule="auto"/>
              <w:jc w:val="center"/>
              <w:rPr>
                <w:color w:val="FF0000"/>
                <w:kern w:val="0"/>
                <w:sz w:val="15"/>
                <w:szCs w:val="15"/>
              </w:rPr>
            </w:pPr>
            <w:r>
              <w:rPr>
                <w:rFonts w:hint="eastAsia"/>
                <w:kern w:val="0"/>
                <w:sz w:val="15"/>
                <w:szCs w:val="15"/>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96" w:type="pct"/>
            <w:vMerge w:val="continue"/>
            <w:vAlign w:val="center"/>
          </w:tcPr>
          <w:p>
            <w:pPr>
              <w:adjustRightInd w:val="0"/>
              <w:snapToGrid w:val="0"/>
              <w:spacing w:line="240" w:lineRule="auto"/>
              <w:jc w:val="center"/>
              <w:rPr>
                <w:color w:val="FF0000"/>
                <w:kern w:val="0"/>
                <w:sz w:val="15"/>
                <w:szCs w:val="15"/>
              </w:rPr>
            </w:pPr>
          </w:p>
        </w:tc>
        <w:tc>
          <w:tcPr>
            <w:tcW w:w="542" w:type="pct"/>
            <w:gridSpan w:val="2"/>
            <w:vAlign w:val="center"/>
          </w:tcPr>
          <w:p>
            <w:pPr>
              <w:widowControl/>
              <w:adjustRightInd w:val="0"/>
              <w:snapToGrid w:val="0"/>
              <w:spacing w:line="240" w:lineRule="auto"/>
              <w:jc w:val="center"/>
              <w:rPr>
                <w:kern w:val="0"/>
                <w:sz w:val="15"/>
                <w:szCs w:val="15"/>
              </w:rPr>
            </w:pPr>
            <w:r>
              <w:rPr>
                <w:kern w:val="0"/>
                <w:sz w:val="15"/>
                <w:szCs w:val="15"/>
              </w:rPr>
              <w:t>石  油  类</w:t>
            </w:r>
          </w:p>
        </w:tc>
        <w:tc>
          <w:tcPr>
            <w:tcW w:w="269" w:type="pct"/>
            <w:gridSpan w:val="2"/>
            <w:vAlign w:val="center"/>
          </w:tcPr>
          <w:p>
            <w:pPr>
              <w:widowControl/>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56" w:type="pct"/>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71"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00" w:type="pct"/>
            <w:gridSpan w:val="2"/>
            <w:vAlign w:val="center"/>
          </w:tcPr>
          <w:p>
            <w:pPr>
              <w:widowControl/>
              <w:spacing w:line="240" w:lineRule="auto"/>
              <w:jc w:val="center"/>
              <w:textAlignment w:val="center"/>
              <w:rPr>
                <w:color w:val="FF0000"/>
                <w:kern w:val="0"/>
                <w:sz w:val="15"/>
                <w:szCs w:val="15"/>
              </w:rPr>
            </w:pPr>
            <w:r>
              <w:rPr>
                <w:rFonts w:hint="eastAsia"/>
                <w:kern w:val="0"/>
                <w:sz w:val="15"/>
                <w:szCs w:val="15"/>
                <w:lang w:val="en-US" w:eastAsia="zh-CN"/>
              </w:rPr>
              <w:t>/</w:t>
            </w:r>
          </w:p>
        </w:tc>
        <w:tc>
          <w:tcPr>
            <w:tcW w:w="345"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400" w:type="pct"/>
            <w:gridSpan w:val="4"/>
            <w:vAlign w:val="center"/>
          </w:tcPr>
          <w:p>
            <w:pPr>
              <w:widowControl/>
              <w:spacing w:line="240" w:lineRule="auto"/>
              <w:jc w:val="center"/>
              <w:textAlignment w:val="center"/>
              <w:rPr>
                <w:color w:val="FF0000"/>
                <w:kern w:val="0"/>
                <w:sz w:val="15"/>
                <w:szCs w:val="15"/>
              </w:rPr>
            </w:pPr>
            <w:r>
              <w:rPr>
                <w:rFonts w:hint="eastAsia"/>
                <w:kern w:val="0"/>
                <w:sz w:val="15"/>
                <w:szCs w:val="15"/>
                <w:lang w:val="en-US" w:eastAsia="zh-CN"/>
              </w:rPr>
              <w:t>/</w:t>
            </w:r>
          </w:p>
        </w:tc>
        <w:tc>
          <w:tcPr>
            <w:tcW w:w="394" w:type="pct"/>
            <w:gridSpan w:val="3"/>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424"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18" w:type="pct"/>
            <w:vAlign w:val="center"/>
          </w:tcPr>
          <w:p>
            <w:pPr>
              <w:widowControl/>
              <w:spacing w:line="240" w:lineRule="auto"/>
              <w:jc w:val="center"/>
              <w:textAlignment w:val="center"/>
              <w:rPr>
                <w:color w:val="FF0000"/>
                <w:kern w:val="0"/>
                <w:sz w:val="15"/>
                <w:szCs w:val="15"/>
              </w:rPr>
            </w:pPr>
            <w:r>
              <w:rPr>
                <w:rFonts w:hint="eastAsia"/>
                <w:kern w:val="0"/>
                <w:sz w:val="15"/>
                <w:szCs w:val="15"/>
                <w:lang w:val="en-US" w:eastAsia="zh-CN"/>
              </w:rPr>
              <w:t>/</w:t>
            </w:r>
          </w:p>
        </w:tc>
        <w:tc>
          <w:tcPr>
            <w:tcW w:w="292" w:type="pct"/>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416"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72" w:type="pct"/>
            <w:vAlign w:val="center"/>
          </w:tcPr>
          <w:p>
            <w:pPr>
              <w:widowControl/>
              <w:spacing w:line="240" w:lineRule="auto"/>
              <w:jc w:val="center"/>
              <w:textAlignment w:val="center"/>
              <w:rPr>
                <w:color w:val="FF0000"/>
                <w:kern w:val="0"/>
                <w:sz w:val="15"/>
                <w:szCs w:val="15"/>
              </w:rPr>
            </w:pPr>
            <w:r>
              <w:rPr>
                <w:rFonts w:hint="eastAsia"/>
                <w:kern w:val="0"/>
                <w:sz w:val="15"/>
                <w:szCs w:val="15"/>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96" w:type="pct"/>
            <w:vMerge w:val="continue"/>
            <w:vAlign w:val="center"/>
          </w:tcPr>
          <w:p>
            <w:pPr>
              <w:adjustRightInd w:val="0"/>
              <w:snapToGrid w:val="0"/>
              <w:spacing w:line="240" w:lineRule="auto"/>
              <w:jc w:val="center"/>
              <w:rPr>
                <w:color w:val="FF0000"/>
                <w:kern w:val="0"/>
                <w:sz w:val="15"/>
                <w:szCs w:val="15"/>
              </w:rPr>
            </w:pPr>
          </w:p>
        </w:tc>
        <w:tc>
          <w:tcPr>
            <w:tcW w:w="542" w:type="pct"/>
            <w:gridSpan w:val="2"/>
            <w:vAlign w:val="center"/>
          </w:tcPr>
          <w:p>
            <w:pPr>
              <w:widowControl/>
              <w:adjustRightInd w:val="0"/>
              <w:snapToGrid w:val="0"/>
              <w:spacing w:line="240" w:lineRule="auto"/>
              <w:jc w:val="center"/>
              <w:rPr>
                <w:kern w:val="0"/>
                <w:sz w:val="15"/>
                <w:szCs w:val="15"/>
              </w:rPr>
            </w:pPr>
            <w:r>
              <w:rPr>
                <w:kern w:val="0"/>
                <w:sz w:val="15"/>
                <w:szCs w:val="15"/>
              </w:rPr>
              <w:t>废       气</w:t>
            </w:r>
          </w:p>
        </w:tc>
        <w:tc>
          <w:tcPr>
            <w:tcW w:w="269" w:type="pct"/>
            <w:gridSpan w:val="2"/>
            <w:vAlign w:val="center"/>
          </w:tcPr>
          <w:p>
            <w:pPr>
              <w:widowControl/>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56" w:type="pct"/>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71"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00"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45"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400" w:type="pct"/>
            <w:gridSpan w:val="4"/>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94" w:type="pct"/>
            <w:gridSpan w:val="3"/>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424"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18" w:type="pct"/>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292" w:type="pct"/>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416"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72" w:type="pct"/>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96" w:type="pct"/>
            <w:vMerge w:val="continue"/>
            <w:vAlign w:val="center"/>
          </w:tcPr>
          <w:p>
            <w:pPr>
              <w:adjustRightInd w:val="0"/>
              <w:snapToGrid w:val="0"/>
              <w:spacing w:line="240" w:lineRule="auto"/>
              <w:jc w:val="center"/>
              <w:rPr>
                <w:color w:val="FF0000"/>
                <w:kern w:val="0"/>
                <w:sz w:val="15"/>
                <w:szCs w:val="15"/>
              </w:rPr>
            </w:pPr>
          </w:p>
        </w:tc>
        <w:tc>
          <w:tcPr>
            <w:tcW w:w="542" w:type="pct"/>
            <w:gridSpan w:val="2"/>
            <w:vAlign w:val="center"/>
          </w:tcPr>
          <w:p>
            <w:pPr>
              <w:widowControl/>
              <w:adjustRightInd w:val="0"/>
              <w:snapToGrid w:val="0"/>
              <w:spacing w:line="240" w:lineRule="auto"/>
              <w:jc w:val="center"/>
              <w:rPr>
                <w:kern w:val="0"/>
                <w:sz w:val="15"/>
                <w:szCs w:val="15"/>
              </w:rPr>
            </w:pPr>
            <w:r>
              <w:rPr>
                <w:kern w:val="0"/>
                <w:sz w:val="15"/>
                <w:szCs w:val="15"/>
              </w:rPr>
              <w:t>二 氧 化 硫</w:t>
            </w:r>
          </w:p>
        </w:tc>
        <w:tc>
          <w:tcPr>
            <w:tcW w:w="269" w:type="pct"/>
            <w:gridSpan w:val="2"/>
            <w:vAlign w:val="center"/>
          </w:tcPr>
          <w:p>
            <w:pPr>
              <w:widowControl/>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56" w:type="pct"/>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71"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00"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45"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400" w:type="pct"/>
            <w:gridSpan w:val="4"/>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94" w:type="pct"/>
            <w:gridSpan w:val="3"/>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424"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18" w:type="pct"/>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292" w:type="pct"/>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416"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72" w:type="pct"/>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96" w:type="pct"/>
            <w:vMerge w:val="continue"/>
            <w:vAlign w:val="center"/>
          </w:tcPr>
          <w:p>
            <w:pPr>
              <w:adjustRightInd w:val="0"/>
              <w:snapToGrid w:val="0"/>
              <w:spacing w:line="240" w:lineRule="auto"/>
              <w:jc w:val="center"/>
              <w:rPr>
                <w:color w:val="FF0000"/>
                <w:kern w:val="0"/>
                <w:sz w:val="15"/>
                <w:szCs w:val="15"/>
              </w:rPr>
            </w:pPr>
          </w:p>
        </w:tc>
        <w:tc>
          <w:tcPr>
            <w:tcW w:w="542" w:type="pct"/>
            <w:gridSpan w:val="2"/>
            <w:vAlign w:val="center"/>
          </w:tcPr>
          <w:p>
            <w:pPr>
              <w:widowControl/>
              <w:adjustRightInd w:val="0"/>
              <w:snapToGrid w:val="0"/>
              <w:spacing w:line="240" w:lineRule="auto"/>
              <w:jc w:val="center"/>
              <w:rPr>
                <w:kern w:val="0"/>
                <w:sz w:val="15"/>
                <w:szCs w:val="15"/>
              </w:rPr>
            </w:pPr>
            <w:r>
              <w:rPr>
                <w:kern w:val="0"/>
                <w:sz w:val="15"/>
                <w:szCs w:val="15"/>
              </w:rPr>
              <w:t>烟       尘</w:t>
            </w:r>
          </w:p>
        </w:tc>
        <w:tc>
          <w:tcPr>
            <w:tcW w:w="269" w:type="pct"/>
            <w:gridSpan w:val="2"/>
            <w:vAlign w:val="center"/>
          </w:tcPr>
          <w:p>
            <w:pPr>
              <w:widowControl/>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56" w:type="pct"/>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71"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00"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45"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400" w:type="pct"/>
            <w:gridSpan w:val="4"/>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94" w:type="pct"/>
            <w:gridSpan w:val="3"/>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424"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18" w:type="pct"/>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292" w:type="pct"/>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416"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72" w:type="pct"/>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96" w:type="pct"/>
            <w:vMerge w:val="continue"/>
            <w:vAlign w:val="center"/>
          </w:tcPr>
          <w:p>
            <w:pPr>
              <w:adjustRightInd w:val="0"/>
              <w:snapToGrid w:val="0"/>
              <w:spacing w:line="240" w:lineRule="auto"/>
              <w:jc w:val="center"/>
              <w:rPr>
                <w:color w:val="FF0000"/>
                <w:kern w:val="0"/>
                <w:sz w:val="15"/>
                <w:szCs w:val="15"/>
              </w:rPr>
            </w:pPr>
          </w:p>
        </w:tc>
        <w:tc>
          <w:tcPr>
            <w:tcW w:w="542" w:type="pct"/>
            <w:gridSpan w:val="2"/>
            <w:vAlign w:val="center"/>
          </w:tcPr>
          <w:p>
            <w:pPr>
              <w:widowControl/>
              <w:adjustRightInd w:val="0"/>
              <w:snapToGrid w:val="0"/>
              <w:spacing w:line="240" w:lineRule="auto"/>
              <w:jc w:val="center"/>
              <w:rPr>
                <w:kern w:val="0"/>
                <w:sz w:val="15"/>
                <w:szCs w:val="15"/>
              </w:rPr>
            </w:pPr>
            <w:r>
              <w:rPr>
                <w:kern w:val="0"/>
                <w:sz w:val="15"/>
                <w:szCs w:val="15"/>
              </w:rPr>
              <w:t>工 业 粉 尘</w:t>
            </w:r>
          </w:p>
        </w:tc>
        <w:tc>
          <w:tcPr>
            <w:tcW w:w="269" w:type="pct"/>
            <w:gridSpan w:val="2"/>
            <w:vAlign w:val="center"/>
          </w:tcPr>
          <w:p>
            <w:pPr>
              <w:widowControl/>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56" w:type="pct"/>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71"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00"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45"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400" w:type="pct"/>
            <w:gridSpan w:val="4"/>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94" w:type="pct"/>
            <w:gridSpan w:val="3"/>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424"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18" w:type="pct"/>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292" w:type="pct"/>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416"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72" w:type="pct"/>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96" w:type="pct"/>
            <w:vMerge w:val="continue"/>
            <w:vAlign w:val="center"/>
          </w:tcPr>
          <w:p>
            <w:pPr>
              <w:adjustRightInd w:val="0"/>
              <w:snapToGrid w:val="0"/>
              <w:spacing w:line="240" w:lineRule="auto"/>
              <w:jc w:val="center"/>
              <w:rPr>
                <w:color w:val="FF0000"/>
                <w:kern w:val="0"/>
                <w:sz w:val="15"/>
                <w:szCs w:val="15"/>
              </w:rPr>
            </w:pPr>
          </w:p>
        </w:tc>
        <w:tc>
          <w:tcPr>
            <w:tcW w:w="542" w:type="pct"/>
            <w:gridSpan w:val="2"/>
            <w:vAlign w:val="center"/>
          </w:tcPr>
          <w:p>
            <w:pPr>
              <w:widowControl/>
              <w:adjustRightInd w:val="0"/>
              <w:snapToGrid w:val="0"/>
              <w:spacing w:line="240" w:lineRule="auto"/>
              <w:jc w:val="center"/>
              <w:rPr>
                <w:kern w:val="0"/>
                <w:sz w:val="15"/>
                <w:szCs w:val="15"/>
              </w:rPr>
            </w:pPr>
            <w:r>
              <w:rPr>
                <w:kern w:val="0"/>
                <w:sz w:val="15"/>
                <w:szCs w:val="15"/>
              </w:rPr>
              <w:t>氮 氧 化 物</w:t>
            </w:r>
          </w:p>
        </w:tc>
        <w:tc>
          <w:tcPr>
            <w:tcW w:w="269" w:type="pct"/>
            <w:gridSpan w:val="2"/>
            <w:vAlign w:val="center"/>
          </w:tcPr>
          <w:p>
            <w:pPr>
              <w:widowControl/>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56" w:type="pct"/>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71"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00"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45"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400" w:type="pct"/>
            <w:gridSpan w:val="4"/>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94" w:type="pct"/>
            <w:gridSpan w:val="3"/>
            <w:vAlign w:val="center"/>
          </w:tcPr>
          <w:p>
            <w:pPr>
              <w:widowControl/>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424" w:type="pct"/>
            <w:gridSpan w:val="2"/>
            <w:vAlign w:val="center"/>
          </w:tcPr>
          <w:p>
            <w:pPr>
              <w:widowControl/>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18" w:type="pct"/>
            <w:vAlign w:val="center"/>
          </w:tcPr>
          <w:p>
            <w:pPr>
              <w:widowControl/>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292" w:type="pct"/>
            <w:vAlign w:val="center"/>
          </w:tcPr>
          <w:p>
            <w:pPr>
              <w:widowControl/>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416" w:type="pct"/>
            <w:gridSpan w:val="2"/>
            <w:vAlign w:val="center"/>
          </w:tcPr>
          <w:p>
            <w:pPr>
              <w:widowControl/>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72" w:type="pct"/>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96" w:type="pct"/>
            <w:vMerge w:val="continue"/>
            <w:vAlign w:val="center"/>
          </w:tcPr>
          <w:p>
            <w:pPr>
              <w:adjustRightInd w:val="0"/>
              <w:snapToGrid w:val="0"/>
              <w:spacing w:line="240" w:lineRule="auto"/>
              <w:jc w:val="center"/>
              <w:rPr>
                <w:color w:val="FF0000"/>
                <w:kern w:val="0"/>
                <w:sz w:val="15"/>
                <w:szCs w:val="15"/>
              </w:rPr>
            </w:pPr>
          </w:p>
        </w:tc>
        <w:tc>
          <w:tcPr>
            <w:tcW w:w="542" w:type="pct"/>
            <w:gridSpan w:val="2"/>
            <w:vAlign w:val="center"/>
          </w:tcPr>
          <w:p>
            <w:pPr>
              <w:widowControl/>
              <w:adjustRightInd w:val="0"/>
              <w:snapToGrid w:val="0"/>
              <w:spacing w:line="240" w:lineRule="auto"/>
              <w:jc w:val="center"/>
              <w:rPr>
                <w:kern w:val="0"/>
                <w:sz w:val="15"/>
                <w:szCs w:val="15"/>
              </w:rPr>
            </w:pPr>
            <w:r>
              <w:rPr>
                <w:kern w:val="0"/>
                <w:sz w:val="15"/>
                <w:szCs w:val="15"/>
              </w:rPr>
              <w:t>工业固体废物</w:t>
            </w:r>
          </w:p>
        </w:tc>
        <w:tc>
          <w:tcPr>
            <w:tcW w:w="269" w:type="pct"/>
            <w:gridSpan w:val="2"/>
            <w:vAlign w:val="center"/>
          </w:tcPr>
          <w:p>
            <w:pPr>
              <w:widowControl/>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56" w:type="pct"/>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71"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00"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45"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400" w:type="pct"/>
            <w:gridSpan w:val="4"/>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94" w:type="pct"/>
            <w:gridSpan w:val="3"/>
            <w:vAlign w:val="center"/>
          </w:tcPr>
          <w:p>
            <w:pPr>
              <w:widowControl/>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424" w:type="pct"/>
            <w:gridSpan w:val="2"/>
            <w:vAlign w:val="center"/>
          </w:tcPr>
          <w:p>
            <w:pPr>
              <w:widowControl/>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18" w:type="pct"/>
            <w:vAlign w:val="center"/>
          </w:tcPr>
          <w:p>
            <w:pPr>
              <w:widowControl/>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292" w:type="pct"/>
            <w:vAlign w:val="center"/>
          </w:tcPr>
          <w:p>
            <w:pPr>
              <w:widowControl/>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416" w:type="pct"/>
            <w:gridSpan w:val="2"/>
            <w:vAlign w:val="center"/>
          </w:tcPr>
          <w:p>
            <w:pPr>
              <w:widowControl/>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72" w:type="pct"/>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96" w:type="pct"/>
            <w:vMerge w:val="continue"/>
            <w:vAlign w:val="center"/>
          </w:tcPr>
          <w:p>
            <w:pPr>
              <w:adjustRightInd w:val="0"/>
              <w:snapToGrid w:val="0"/>
              <w:spacing w:line="240" w:lineRule="auto"/>
              <w:jc w:val="center"/>
              <w:rPr>
                <w:color w:val="FF0000"/>
                <w:kern w:val="0"/>
                <w:sz w:val="15"/>
                <w:szCs w:val="15"/>
              </w:rPr>
            </w:pPr>
          </w:p>
        </w:tc>
        <w:tc>
          <w:tcPr>
            <w:tcW w:w="326" w:type="pct"/>
            <w:vAlign w:val="center"/>
          </w:tcPr>
          <w:p>
            <w:pPr>
              <w:widowControl/>
              <w:adjustRightInd w:val="0"/>
              <w:snapToGrid w:val="0"/>
              <w:spacing w:line="240" w:lineRule="auto"/>
              <w:jc w:val="center"/>
              <w:rPr>
                <w:kern w:val="0"/>
                <w:sz w:val="15"/>
                <w:szCs w:val="15"/>
              </w:rPr>
            </w:pPr>
            <w:r>
              <w:rPr>
                <w:kern w:val="0"/>
                <w:sz w:val="15"/>
                <w:szCs w:val="15"/>
              </w:rPr>
              <w:t>与项目有关的其他特定污染物</w:t>
            </w:r>
          </w:p>
        </w:tc>
        <w:tc>
          <w:tcPr>
            <w:tcW w:w="215" w:type="pct"/>
            <w:vAlign w:val="center"/>
          </w:tcPr>
          <w:p>
            <w:pPr>
              <w:adjustRightInd w:val="0"/>
              <w:snapToGrid w:val="0"/>
              <w:spacing w:line="240" w:lineRule="auto"/>
              <w:jc w:val="center"/>
              <w:rPr>
                <w:kern w:val="0"/>
                <w:sz w:val="15"/>
                <w:szCs w:val="15"/>
              </w:rPr>
            </w:pPr>
            <w:r>
              <w:rPr>
                <w:rFonts w:hint="eastAsia"/>
                <w:kern w:val="0"/>
                <w:sz w:val="15"/>
                <w:szCs w:val="15"/>
                <w:lang w:val="en-US" w:eastAsia="zh-CN"/>
              </w:rPr>
              <w:t>/</w:t>
            </w:r>
          </w:p>
        </w:tc>
        <w:tc>
          <w:tcPr>
            <w:tcW w:w="269" w:type="pct"/>
            <w:gridSpan w:val="2"/>
            <w:vAlign w:val="center"/>
          </w:tcPr>
          <w:p>
            <w:pPr>
              <w:widowControl/>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56" w:type="pct"/>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71"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00"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45"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400" w:type="pct"/>
            <w:gridSpan w:val="4"/>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94" w:type="pct"/>
            <w:gridSpan w:val="3"/>
            <w:vAlign w:val="center"/>
          </w:tcPr>
          <w:p>
            <w:pPr>
              <w:widowControl/>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424" w:type="pct"/>
            <w:gridSpan w:val="2"/>
            <w:vAlign w:val="center"/>
          </w:tcPr>
          <w:p>
            <w:pPr>
              <w:widowControl/>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18" w:type="pct"/>
            <w:vAlign w:val="center"/>
          </w:tcPr>
          <w:p>
            <w:pPr>
              <w:widowControl/>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292" w:type="pct"/>
            <w:vAlign w:val="center"/>
          </w:tcPr>
          <w:p>
            <w:pPr>
              <w:widowControl/>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416" w:type="pct"/>
            <w:gridSpan w:val="2"/>
            <w:vAlign w:val="center"/>
          </w:tcPr>
          <w:p>
            <w:pPr>
              <w:adjustRightInd w:val="0"/>
              <w:snapToGrid w:val="0"/>
              <w:spacing w:line="240" w:lineRule="auto"/>
              <w:jc w:val="center"/>
              <w:rPr>
                <w:color w:val="FF0000"/>
                <w:kern w:val="0"/>
                <w:sz w:val="15"/>
                <w:szCs w:val="15"/>
              </w:rPr>
            </w:pPr>
            <w:r>
              <w:rPr>
                <w:rFonts w:hint="eastAsia"/>
                <w:kern w:val="0"/>
                <w:sz w:val="15"/>
                <w:szCs w:val="15"/>
                <w:lang w:val="en-US" w:eastAsia="zh-CN"/>
              </w:rPr>
              <w:t>/</w:t>
            </w:r>
          </w:p>
        </w:tc>
        <w:tc>
          <w:tcPr>
            <w:tcW w:w="372" w:type="pct"/>
            <w:vAlign w:val="center"/>
          </w:tcPr>
          <w:p>
            <w:pPr>
              <w:widowControl/>
              <w:adjustRightInd w:val="0"/>
              <w:snapToGrid w:val="0"/>
              <w:spacing w:line="240" w:lineRule="auto"/>
              <w:jc w:val="center"/>
              <w:rPr>
                <w:color w:val="FF0000"/>
                <w:kern w:val="0"/>
                <w:sz w:val="15"/>
                <w:szCs w:val="15"/>
              </w:rPr>
            </w:pPr>
          </w:p>
        </w:tc>
      </w:tr>
    </w:tbl>
    <w:p>
      <w:pPr>
        <w:bidi w:val="0"/>
        <w:spacing w:line="240" w:lineRule="auto"/>
        <w:rPr>
          <w:sz w:val="13"/>
          <w:szCs w:val="13"/>
        </w:rPr>
      </w:pPr>
      <w:bookmarkStart w:id="160" w:name="_Toc24430"/>
      <w:bookmarkStart w:id="161" w:name="_Toc16445"/>
      <w:bookmarkStart w:id="162" w:name="_Toc27764"/>
      <w:r>
        <w:rPr>
          <w:sz w:val="13"/>
          <w:szCs w:val="13"/>
        </w:rPr>
        <w:t>注：1、排放增减量：（＋）表示增加，（-）表示减少</w:t>
      </w:r>
      <w:bookmarkEnd w:id="160"/>
      <w:bookmarkEnd w:id="161"/>
      <w:bookmarkEnd w:id="162"/>
    </w:p>
    <w:p>
      <w:pPr>
        <w:bidi w:val="0"/>
        <w:spacing w:line="240" w:lineRule="auto"/>
        <w:rPr>
          <w:sz w:val="13"/>
          <w:szCs w:val="13"/>
        </w:rPr>
      </w:pPr>
      <w:r>
        <w:rPr>
          <w:sz w:val="13"/>
          <w:szCs w:val="13"/>
        </w:rPr>
        <w:t>2、（12）=（6）-（8）-（11），（9）=（4）</w:t>
      </w:r>
      <w:r>
        <w:rPr>
          <w:rFonts w:hint="eastAsia"/>
          <w:sz w:val="13"/>
          <w:szCs w:val="13"/>
        </w:rPr>
        <w:t>-</w:t>
      </w:r>
      <w:r>
        <w:rPr>
          <w:sz w:val="13"/>
          <w:szCs w:val="13"/>
        </w:rPr>
        <w:t>（5）-（8）-（11）+（1）</w:t>
      </w:r>
    </w:p>
    <w:p>
      <w:pPr>
        <w:bidi w:val="0"/>
        <w:spacing w:line="240" w:lineRule="auto"/>
        <w:rPr>
          <w:sz w:val="13"/>
          <w:szCs w:val="13"/>
        </w:rPr>
        <w:sectPr>
          <w:headerReference r:id="rId25" w:type="default"/>
          <w:footerReference r:id="rId26" w:type="default"/>
          <w:pgSz w:w="16838" w:h="11906" w:orient="landscape"/>
          <w:pgMar w:top="1440" w:right="1080" w:bottom="1440" w:left="1080" w:header="851" w:footer="992" w:gutter="0"/>
          <w:pgNumType w:fmt="decimal"/>
          <w:cols w:space="720" w:num="1"/>
          <w:docGrid w:type="lines" w:linePitch="312" w:charSpace="0"/>
        </w:sectPr>
      </w:pPr>
      <w:r>
        <w:rPr>
          <w:sz w:val="13"/>
          <w:szCs w:val="13"/>
        </w:rPr>
        <w:t>3、计量单位：废水排放量——万吨/年；废气排放量——万标立方米/年；工业固体废物排放量——万吨/年；水污染排放浓度——毫克/升；大气污染物排放浓度——毫克/立方米；水污染物排放量——吨/年；大气污染物排放量——吨</w:t>
      </w:r>
      <w:r>
        <w:rPr>
          <w:rFonts w:hint="eastAsia"/>
          <w:sz w:val="13"/>
          <w:szCs w:val="13"/>
        </w:rPr>
        <w:t>/年</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75"/>
        <w:gridCol w:w="17"/>
        <w:gridCol w:w="55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0" w:hRule="atLeast"/>
          <w:jc w:val="center"/>
        </w:trPr>
        <w:tc>
          <w:tcPr>
            <w:tcW w:w="5575" w:type="dxa"/>
          </w:tcPr>
          <w:p>
            <w:pPr>
              <w:rPr>
                <w:vertAlign w:val="baseline"/>
              </w:rPr>
            </w:pPr>
            <w:r>
              <w:drawing>
                <wp:inline distT="0" distB="0" distL="114300" distR="114300">
                  <wp:extent cx="3367405" cy="2526030"/>
                  <wp:effectExtent l="0" t="0" r="4445"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9"/>
                          <a:stretch>
                            <a:fillRect/>
                          </a:stretch>
                        </pic:blipFill>
                        <pic:spPr>
                          <a:xfrm>
                            <a:off x="0" y="0"/>
                            <a:ext cx="3367405" cy="2526030"/>
                          </a:xfrm>
                          <a:prstGeom prst="rect">
                            <a:avLst/>
                          </a:prstGeom>
                          <a:noFill/>
                          <a:ln>
                            <a:noFill/>
                          </a:ln>
                        </pic:spPr>
                      </pic:pic>
                    </a:graphicData>
                  </a:graphic>
                </wp:inline>
              </w:drawing>
            </w:r>
          </w:p>
        </w:tc>
        <w:tc>
          <w:tcPr>
            <w:tcW w:w="5610" w:type="dxa"/>
            <w:gridSpan w:val="2"/>
          </w:tcPr>
          <w:p>
            <w:pPr>
              <w:rPr>
                <w:vertAlign w:val="baseline"/>
              </w:rPr>
            </w:pPr>
            <w:r>
              <w:drawing>
                <wp:inline distT="0" distB="0" distL="114300" distR="114300">
                  <wp:extent cx="3386455" cy="2541905"/>
                  <wp:effectExtent l="0" t="0" r="4445" b="1079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50"/>
                          <a:stretch>
                            <a:fillRect/>
                          </a:stretch>
                        </pic:blipFill>
                        <pic:spPr>
                          <a:xfrm>
                            <a:off x="0" y="0"/>
                            <a:ext cx="3386455" cy="254190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1185" w:type="dxa"/>
            <w:gridSpan w:val="3"/>
          </w:tcPr>
          <w:p>
            <w:pPr>
              <w:jc w:val="center"/>
              <w:rPr>
                <w:rFonts w:hint="eastAsia" w:eastAsia="宋体"/>
                <w:vertAlign w:val="baseline"/>
                <w:lang w:eastAsia="zh-CN"/>
              </w:rPr>
            </w:pPr>
            <w:r>
              <w:rPr>
                <w:rFonts w:hint="eastAsia"/>
                <w:vertAlign w:val="baseline"/>
                <w:lang w:eastAsia="zh-CN"/>
              </w:rPr>
              <w:t>无组织废气监测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2" w:hRule="atLeast"/>
          <w:jc w:val="center"/>
        </w:trPr>
        <w:tc>
          <w:tcPr>
            <w:tcW w:w="5575" w:type="dxa"/>
          </w:tcPr>
          <w:p>
            <w:pPr>
              <w:rPr>
                <w:vertAlign w:val="baseline"/>
              </w:rPr>
            </w:pPr>
            <w:r>
              <w:drawing>
                <wp:inline distT="0" distB="0" distL="114300" distR="114300">
                  <wp:extent cx="3329305" cy="2332355"/>
                  <wp:effectExtent l="0" t="0" r="4445" b="10795"/>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r:embed="rId51"/>
                          <a:stretch>
                            <a:fillRect/>
                          </a:stretch>
                        </pic:blipFill>
                        <pic:spPr>
                          <a:xfrm>
                            <a:off x="0" y="0"/>
                            <a:ext cx="3329305" cy="2332355"/>
                          </a:xfrm>
                          <a:prstGeom prst="rect">
                            <a:avLst/>
                          </a:prstGeom>
                          <a:noFill/>
                          <a:ln>
                            <a:noFill/>
                          </a:ln>
                        </pic:spPr>
                      </pic:pic>
                    </a:graphicData>
                  </a:graphic>
                </wp:inline>
              </w:drawing>
            </w:r>
          </w:p>
        </w:tc>
        <w:tc>
          <w:tcPr>
            <w:tcW w:w="5610" w:type="dxa"/>
            <w:gridSpan w:val="2"/>
          </w:tcPr>
          <w:p>
            <w:pPr>
              <w:rPr>
                <w:vertAlign w:val="baseline"/>
              </w:rPr>
            </w:pPr>
            <w:r>
              <w:drawing>
                <wp:inline distT="0" distB="0" distL="114300" distR="114300">
                  <wp:extent cx="3327400" cy="2324735"/>
                  <wp:effectExtent l="0" t="0" r="6350" b="18415"/>
                  <wp:docPr id="3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4"/>
                          <pic:cNvPicPr>
                            <a:picLocks noChangeAspect="1"/>
                          </pic:cNvPicPr>
                        </pic:nvPicPr>
                        <pic:blipFill>
                          <a:blip r:embed="rId52"/>
                          <a:stretch>
                            <a:fillRect/>
                          </a:stretch>
                        </pic:blipFill>
                        <pic:spPr>
                          <a:xfrm>
                            <a:off x="0" y="0"/>
                            <a:ext cx="3327400" cy="232473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11185" w:type="dxa"/>
            <w:gridSpan w:val="3"/>
          </w:tcPr>
          <w:p>
            <w:pPr>
              <w:jc w:val="center"/>
              <w:rPr>
                <w:rFonts w:hint="eastAsia" w:eastAsia="宋体"/>
                <w:vertAlign w:val="baseline"/>
                <w:lang w:eastAsia="zh-CN"/>
              </w:rPr>
            </w:pPr>
            <w:r>
              <w:rPr>
                <w:rFonts w:hint="eastAsia"/>
                <w:vertAlign w:val="baseline"/>
                <w:lang w:eastAsia="zh-CN"/>
              </w:rPr>
              <w:t>噪声监测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5592" w:type="dxa"/>
            <w:gridSpan w:val="2"/>
          </w:tcPr>
          <w:p>
            <w:pPr>
              <w:jc w:val="center"/>
              <w:rPr>
                <w:rFonts w:hint="eastAsia"/>
                <w:vertAlign w:val="baseline"/>
                <w:lang w:eastAsia="zh-CN"/>
              </w:rPr>
            </w:pPr>
            <w:r>
              <w:rPr>
                <w:rFonts w:hint="eastAsia"/>
                <w:vertAlign w:val="baseline"/>
                <w:lang w:eastAsia="zh-CN"/>
              </w:rPr>
              <w:drawing>
                <wp:inline distT="0" distB="0" distL="114300" distR="114300">
                  <wp:extent cx="3404235" cy="4538980"/>
                  <wp:effectExtent l="0" t="0" r="5715" b="13970"/>
                  <wp:docPr id="2" name="图片 2" descr="IMG_20221214_120850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0221214_120850880"/>
                          <pic:cNvPicPr>
                            <a:picLocks noChangeAspect="1"/>
                          </pic:cNvPicPr>
                        </pic:nvPicPr>
                        <pic:blipFill>
                          <a:blip r:embed="rId53"/>
                          <a:stretch>
                            <a:fillRect/>
                          </a:stretch>
                        </pic:blipFill>
                        <pic:spPr>
                          <a:xfrm>
                            <a:off x="0" y="0"/>
                            <a:ext cx="3404235" cy="4538980"/>
                          </a:xfrm>
                          <a:prstGeom prst="rect">
                            <a:avLst/>
                          </a:prstGeom>
                        </pic:spPr>
                      </pic:pic>
                    </a:graphicData>
                  </a:graphic>
                </wp:inline>
              </w:drawing>
            </w:r>
          </w:p>
        </w:tc>
        <w:tc>
          <w:tcPr>
            <w:tcW w:w="5593" w:type="dxa"/>
          </w:tcPr>
          <w:p>
            <w:pPr>
              <w:jc w:val="center"/>
              <w:rPr>
                <w:rFonts w:hint="eastAsia"/>
                <w:vertAlign w:val="baseline"/>
                <w:lang w:eastAsia="zh-CN"/>
              </w:rPr>
            </w:pPr>
            <w:r>
              <w:rPr>
                <w:rFonts w:hint="eastAsia"/>
                <w:vertAlign w:val="baseline"/>
                <w:lang w:eastAsia="zh-CN"/>
              </w:rPr>
              <w:drawing>
                <wp:inline distT="0" distB="0" distL="114300" distR="114300">
                  <wp:extent cx="3404235" cy="4538980"/>
                  <wp:effectExtent l="0" t="0" r="5715" b="13970"/>
                  <wp:docPr id="41" name="图片 41" descr="IMG_20221214_120228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IMG_20221214_120228480"/>
                          <pic:cNvPicPr>
                            <a:picLocks noChangeAspect="1"/>
                          </pic:cNvPicPr>
                        </pic:nvPicPr>
                        <pic:blipFill>
                          <a:blip r:embed="rId54"/>
                          <a:stretch>
                            <a:fillRect/>
                          </a:stretch>
                        </pic:blipFill>
                        <pic:spPr>
                          <a:xfrm>
                            <a:off x="0" y="0"/>
                            <a:ext cx="3404235" cy="453898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11185" w:type="dxa"/>
            <w:gridSpan w:val="3"/>
          </w:tcPr>
          <w:p>
            <w:pPr>
              <w:jc w:val="center"/>
              <w:rPr>
                <w:rFonts w:hint="eastAsia"/>
                <w:vertAlign w:val="baseline"/>
                <w:lang w:eastAsia="zh-CN"/>
              </w:rPr>
            </w:pPr>
            <w:r>
              <w:rPr>
                <w:rFonts w:hint="eastAsia"/>
                <w:vertAlign w:val="baseline"/>
                <w:lang w:val="en-US" w:eastAsia="zh-CN"/>
              </w:rPr>
              <w:t>有机废气</w:t>
            </w:r>
          </w:p>
        </w:tc>
      </w:tr>
    </w:tbl>
    <w:p>
      <w:pPr>
        <w:jc w:val="center"/>
        <w:rPr>
          <w:rFonts w:hint="default" w:eastAsia="宋体"/>
          <w:lang w:val="en-US" w:eastAsia="zh-CN"/>
        </w:rPr>
      </w:pPr>
      <w:r>
        <w:rPr>
          <w:rFonts w:hint="eastAsia"/>
          <w:lang w:val="en-US" w:eastAsia="zh-CN"/>
        </w:rPr>
        <w:t>附图1  采样图片</w:t>
      </w:r>
    </w:p>
    <w:p>
      <w:pPr>
        <w:pStyle w:val="2"/>
      </w:pPr>
    </w:p>
    <w:p>
      <w:pPr>
        <w:sectPr>
          <w:pgSz w:w="16838" w:h="11906" w:orient="landscape"/>
          <w:pgMar w:top="1440" w:right="1800" w:bottom="1440" w:left="1800" w:header="851" w:footer="992" w:gutter="0"/>
          <w:pgNumType w:fmt="decimal"/>
          <w:cols w:space="425" w:num="1"/>
          <w:docGrid w:type="lines" w:linePitch="312" w:charSpace="0"/>
        </w:sectPr>
      </w:pPr>
    </w:p>
    <w:p>
      <w:pPr>
        <w:pStyle w:val="2"/>
        <w:ind w:left="0" w:leftChars="0" w:firstLine="0" w:firstLineChars="0"/>
        <w:rPr>
          <w:rFonts w:hint="eastAsia" w:eastAsia="宋体"/>
          <w:color w:val="FF0000"/>
          <w:lang w:eastAsia="zh-CN"/>
        </w:rPr>
      </w:pPr>
      <w:r>
        <w:rPr>
          <w:rFonts w:hint="eastAsia" w:eastAsia="宋体"/>
          <w:color w:val="FF0000"/>
          <w:lang w:eastAsia="zh-CN"/>
        </w:rPr>
        <w:drawing>
          <wp:inline distT="0" distB="0" distL="114300" distR="114300">
            <wp:extent cx="8268970" cy="5283835"/>
            <wp:effectExtent l="0" t="0" r="17780" b="12065"/>
            <wp:docPr id="49" name="图片 49" descr="013无为市地图（示意地图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013无为市地图（示意地图版）"/>
                    <pic:cNvPicPr>
                      <a:picLocks noChangeAspect="1"/>
                    </pic:cNvPicPr>
                  </pic:nvPicPr>
                  <pic:blipFill>
                    <a:blip r:embed="rId31"/>
                    <a:stretch>
                      <a:fillRect/>
                    </a:stretch>
                  </pic:blipFill>
                  <pic:spPr>
                    <a:xfrm>
                      <a:off x="0" y="0"/>
                      <a:ext cx="8268970" cy="5283835"/>
                    </a:xfrm>
                    <a:prstGeom prst="rect">
                      <a:avLst/>
                    </a:prstGeom>
                  </pic:spPr>
                </pic:pic>
              </a:graphicData>
            </a:graphic>
          </wp:inline>
        </w:drawing>
      </w:r>
    </w:p>
    <w:p>
      <w:pPr>
        <w:jc w:val="center"/>
        <w:rPr>
          <w:rFonts w:hint="default"/>
          <w:color w:val="auto"/>
          <w:lang w:val="en-US" w:eastAsia="zh-CN"/>
        </w:rPr>
      </w:pPr>
      <w:r>
        <w:rPr>
          <w:rFonts w:hint="eastAsia" w:eastAsia="宋体"/>
          <w:color w:val="auto"/>
          <w:lang w:val="en-US" w:eastAsia="zh-CN"/>
        </w:rPr>
        <w:t>附图2  地理位置图</w:t>
      </w:r>
    </w:p>
    <w:p>
      <w:r>
        <w:drawing>
          <wp:inline distT="0" distB="0" distL="114300" distR="114300">
            <wp:extent cx="8406130" cy="4606290"/>
            <wp:effectExtent l="0" t="0" r="13970" b="3810"/>
            <wp:docPr id="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
                    <pic:cNvPicPr>
                      <a:picLocks noChangeAspect="1"/>
                    </pic:cNvPicPr>
                  </pic:nvPicPr>
                  <pic:blipFill>
                    <a:blip r:embed="rId32"/>
                    <a:stretch>
                      <a:fillRect/>
                    </a:stretch>
                  </pic:blipFill>
                  <pic:spPr>
                    <a:xfrm>
                      <a:off x="0" y="0"/>
                      <a:ext cx="8406130" cy="4606290"/>
                    </a:xfrm>
                    <a:prstGeom prst="rect">
                      <a:avLst/>
                    </a:prstGeom>
                    <a:noFill/>
                    <a:ln>
                      <a:noFill/>
                    </a:ln>
                  </pic:spPr>
                </pic:pic>
              </a:graphicData>
            </a:graphic>
          </wp:inline>
        </w:drawing>
      </w:r>
    </w:p>
    <w:p>
      <w:pPr>
        <w:pStyle w:val="2"/>
        <w:ind w:left="0" w:leftChars="0" w:firstLine="0" w:firstLineChars="0"/>
        <w:jc w:val="center"/>
        <w:rPr>
          <w:rFonts w:hint="default" w:eastAsia="宋体"/>
          <w:lang w:val="en-US" w:eastAsia="zh-CN"/>
        </w:rPr>
      </w:pPr>
      <w:r>
        <w:rPr>
          <w:rFonts w:hint="eastAsia"/>
          <w:lang w:val="en-US" w:eastAsia="zh-CN"/>
        </w:rPr>
        <w:t>附图3  厂区平面布置图</w:t>
      </w:r>
    </w:p>
    <w:sectPr>
      <w:pgSz w:w="16838" w:h="11906" w:orient="landscape"/>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宋体">
    <w:panose1 w:val="02010600040101010101"/>
    <w:charset w:val="86"/>
    <w:family w:val="auto"/>
    <w:pitch w:val="default"/>
    <w:sig w:usb0="00000287" w:usb1="080F0000" w:usb2="00000000" w:usb3="00000000" w:csb0="0004009F" w:csb1="DFD70000"/>
  </w:font>
  <w:font w:name="???-18030">
    <w:altName w:val="Segoe Print"/>
    <w:panose1 w:val="00000000000000000000"/>
    <w:charset w:val="00"/>
    <w:family w:val="auto"/>
    <w:pitch w:val="default"/>
    <w:sig w:usb0="00000000" w:usb1="00000000" w:usb2="00000000" w:usb3="00000000" w:csb0="00000001" w:csb1="00000000"/>
  </w:font>
  <w:font w:name="Arial Unicode MS">
    <w:panose1 w:val="020B0604020202020204"/>
    <w:charset w:val="86"/>
    <w:family w:val="swiss"/>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4"/>
                          </w:pPr>
                          <w:r>
                            <w:fldChar w:fldCharType="begin"/>
                          </w:r>
                          <w:r>
                            <w:instrText xml:space="preserve"> PAGE  \* MERGEFORMAT </w:instrText>
                          </w:r>
                          <w:r>
                            <w:fldChar w:fldCharType="separate"/>
                          </w:r>
                          <w:r>
                            <w:t>6</w:t>
                          </w:r>
                          <w:r>
                            <w:fldChar w:fldCharType="end"/>
                          </w:r>
                        </w:p>
                      </w:txbxContent>
                    </wps:txbx>
                    <wps:bodyPr wrap="none" lIns="0" tIns="0" rIns="0" bIns="0" upright="0">
                      <a:spAutoFit/>
                    </wps:bodyPr>
                  </wps:wsp>
                </a:graphicData>
              </a:graphic>
            </wp:anchor>
          </w:drawing>
        </mc:Choice>
        <mc:Fallback>
          <w:pict>
            <v:shape id="文本框 2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Veu478oBAACbAwAADgAAAAAAAAABACAAAAAeAQAAZHJzL2Uyb0Rv&#10;Yy54bWxQSwUGAAAAAAYABgBZAQAAWgUAAAAA&#10;">
              <v:fill on="f" focussize="0,0"/>
              <v:stroke on="f"/>
              <v:imagedata o:title=""/>
              <o:lock v:ext="edit" aspectratio="f"/>
              <v:textbox inset="0mm,0mm,0mm,0mm" style="mso-fit-shape-to-text:t;">
                <w:txbxContent>
                  <w:p>
                    <w:pPr>
                      <w:pStyle w:val="14"/>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4"/>
                          </w:pPr>
                          <w:r>
                            <w:fldChar w:fldCharType="begin"/>
                          </w:r>
                          <w:r>
                            <w:instrText xml:space="preserve"> PAGE  \* MERGEFORMAT </w:instrText>
                          </w:r>
                          <w:r>
                            <w:fldChar w:fldCharType="separate"/>
                          </w:r>
                          <w:r>
                            <w:t>11</w:t>
                          </w:r>
                          <w:r>
                            <w:fldChar w:fldCharType="end"/>
                          </w:r>
                        </w:p>
                      </w:txbxContent>
                    </wps:txbx>
                    <wps:bodyPr wrap="none" lIns="0" tIns="0" rIns="0" bIns="0" upright="0">
                      <a:spAutoFit/>
                    </wps:bodyPr>
                  </wps:wsp>
                </a:graphicData>
              </a:graphic>
            </wp:anchor>
          </w:drawing>
        </mc:Choice>
        <mc:Fallback>
          <w:pict>
            <v:shape id="文本框 24"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F1VckBAACbAwAADgAAAGRycy9lMm9Eb2MueG1srVPNjtMwEL6vxDtY&#10;vlNnK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uAk4d8ctTvz888f51+P54TtZ&#10;vskC9QFqzLsLmJmG937A5NkP6My8BxVt/iIjgnGU93SRVw6JiPxotVytKgwJjM0XxGdPz0OE9EF6&#10;S7LR0IjzK7Ly4ydIY+qckqs5f6uNKTM07i8HYmYPy72PPWYrDbthIrTz7Qn59Dj6hjrcdErMR4fK&#10;5i2ZjTgbu9k4hKj3XVmjXA/Cu0PCJkpvucIIOxXGmRV2037lpfjzXrKe/qnN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D4XVVyQEAAJsDAAAOAAAAAAAAAAEAIAAAAB4BAABkcnMvZTJvRG9j&#10;LnhtbFBLBQYAAAAABgAGAFkBAABZBQAAAAA=&#10;">
              <v:fill on="f" focussize="0,0"/>
              <v:stroke on="f"/>
              <v:imagedata o:title=""/>
              <o:lock v:ext="edit" aspectratio="f"/>
              <v:textbox inset="0mm,0mm,0mm,0mm" style="mso-fit-shape-to-text:t;">
                <w:txbxContent>
                  <w:p>
                    <w:pPr>
                      <w:pStyle w:val="14"/>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4"/>
                          </w:pPr>
                          <w:r>
                            <w:fldChar w:fldCharType="begin"/>
                          </w:r>
                          <w:r>
                            <w:instrText xml:space="preserve"> PAGE  \* MERGEFORMAT </w:instrText>
                          </w:r>
                          <w:r>
                            <w:fldChar w:fldCharType="separate"/>
                          </w:r>
                          <w:r>
                            <w:t>12</w:t>
                          </w:r>
                          <w:r>
                            <w:fldChar w:fldCharType="end"/>
                          </w:r>
                        </w:p>
                      </w:txbxContent>
                    </wps:txbx>
                    <wps:bodyPr wrap="none" lIns="0" tIns="0" rIns="0" bIns="0" upright="0">
                      <a:spAutoFit/>
                    </wps:bodyPr>
                  </wps:wsp>
                </a:graphicData>
              </a:graphic>
            </wp:anchor>
          </w:drawing>
        </mc:Choice>
        <mc:Fallback>
          <w:pict>
            <v:shape id="文本框 25"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a4KwhMoBAACbAwAADgAAAAAAAAABACAAAAAeAQAAZHJzL2Uyb0Rv&#10;Yy54bWxQSwUGAAAAAAYABgBZAQAAWgUAAAAA&#10;">
              <v:fill on="f" focussize="0,0"/>
              <v:stroke on="f"/>
              <v:imagedata o:title=""/>
              <o:lock v:ext="edit" aspectratio="f"/>
              <v:textbox inset="0mm,0mm,0mm,0mm" style="mso-fit-shape-to-text:t;">
                <w:txbxContent>
                  <w:p>
                    <w:pPr>
                      <w:pStyle w:val="14"/>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4"/>
                          </w:pPr>
                          <w:r>
                            <w:fldChar w:fldCharType="begin"/>
                          </w:r>
                          <w:r>
                            <w:instrText xml:space="preserve"> PAGE  \* MERGEFORMAT </w:instrText>
                          </w:r>
                          <w:r>
                            <w:fldChar w:fldCharType="separate"/>
                          </w:r>
                          <w:r>
                            <w:t>14</w:t>
                          </w:r>
                          <w:r>
                            <w:fldChar w:fldCharType="end"/>
                          </w:r>
                        </w:p>
                      </w:txbxContent>
                    </wps:txbx>
                    <wps:bodyPr wrap="none" lIns="0" tIns="0" rIns="0" bIns="0" upright="0">
                      <a:spAutoFit/>
                    </wps:bodyPr>
                  </wps:wsp>
                </a:graphicData>
              </a:graphic>
            </wp:anchor>
          </w:drawing>
        </mc:Choice>
        <mc:Fallback>
          <w:pict>
            <v:shape id="文本框 27"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m7Mie8oBAACbAwAADgAAAAAAAAABACAAAAAeAQAAZHJzL2Uyb0Rv&#10;Yy54bWxQSwUGAAAAAAYABgBZAQAAWgUAAAAA&#10;">
              <v:fill on="f" focussize="0,0"/>
              <v:stroke on="f"/>
              <v:imagedata o:title=""/>
              <o:lock v:ext="edit" aspectratio="f"/>
              <v:textbox inset="0mm,0mm,0mm,0mm" style="mso-fit-shape-to-text:t;">
                <w:txbxContent>
                  <w:p>
                    <w:pPr>
                      <w:pStyle w:val="14"/>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4"/>
                          </w:pPr>
                          <w:r>
                            <w:fldChar w:fldCharType="begin"/>
                          </w:r>
                          <w:r>
                            <w:instrText xml:space="preserve"> PAGE  \* MERGEFORMAT </w:instrText>
                          </w:r>
                          <w:r>
                            <w:fldChar w:fldCharType="separate"/>
                          </w:r>
                          <w:r>
                            <w:t>15</w:t>
                          </w:r>
                          <w:r>
                            <w:fldChar w:fldCharType="end"/>
                          </w:r>
                        </w:p>
                      </w:txbxContent>
                    </wps:txbx>
                    <wps:bodyPr wrap="none" lIns="0" tIns="0" rIns="0" bIns="0" upright="0">
                      <a:spAutoFit/>
                    </wps:bodyPr>
                  </wps:wsp>
                </a:graphicData>
              </a:graphic>
            </wp:anchor>
          </w:drawing>
        </mc:Choice>
        <mc:Fallback>
          <w:pict>
            <v:shape id="文本框 28"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Li3LZcoBAACbAwAADgAAAAAAAAABACAAAAAeAQAAZHJzL2Uyb0Rv&#10;Yy54bWxQSwUGAAAAAAYABgBZAQAAWgUAAAAA&#10;">
              <v:fill on="f" focussize="0,0"/>
              <v:stroke on="f"/>
              <v:imagedata o:title=""/>
              <o:lock v:ext="edit" aspectratio="f"/>
              <v:textbox inset="0mm,0mm,0mm,0mm" style="mso-fit-shape-to-text:t;">
                <w:txbxContent>
                  <w:p>
                    <w:pPr>
                      <w:pStyle w:val="14"/>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4"/>
                          </w:pPr>
                          <w:r>
                            <w:fldChar w:fldCharType="begin"/>
                          </w:r>
                          <w:r>
                            <w:instrText xml:space="preserve"> PAGE  \* MERGEFORMAT </w:instrText>
                          </w:r>
                          <w:r>
                            <w:fldChar w:fldCharType="separate"/>
                          </w:r>
                          <w:r>
                            <w:t>18</w:t>
                          </w:r>
                          <w:r>
                            <w:fldChar w:fldCharType="end"/>
                          </w:r>
                        </w:p>
                      </w:txbxContent>
                    </wps:txbx>
                    <wps:bodyPr wrap="none" lIns="0" tIns="0" rIns="0" bIns="0" upright="0">
                      <a:spAutoFit/>
                    </wps:bodyPr>
                  </wps:wsp>
                </a:graphicData>
              </a:graphic>
            </wp:anchor>
          </w:drawing>
        </mc:Choice>
        <mc:Fallback>
          <w:pict>
            <v:shape id="文本框 29"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hk4OtMoBAACbAwAADgAAAAAAAAABACAAAAAeAQAAZHJzL2Uyb0Rv&#10;Yy54bWxQSwUGAAAAAAYABgBZAQAAWgUAAAAA&#10;">
              <v:fill on="f" focussize="0,0"/>
              <v:stroke on="f"/>
              <v:imagedata o:title=""/>
              <o:lock v:ext="edit" aspectratio="f"/>
              <v:textbox inset="0mm,0mm,0mm,0mm" style="mso-fit-shape-to-text:t;">
                <w:txbxContent>
                  <w:p>
                    <w:pPr>
                      <w:pStyle w:val="14"/>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4"/>
                          </w:pPr>
                          <w:r>
                            <w:fldChar w:fldCharType="begin"/>
                          </w:r>
                          <w:r>
                            <w:instrText xml:space="preserve"> PAGE  \* MERGEFORMAT </w:instrText>
                          </w:r>
                          <w:r>
                            <w:fldChar w:fldCharType="separate"/>
                          </w:r>
                          <w:r>
                            <w:t>21</w:t>
                          </w:r>
                          <w:r>
                            <w:fldChar w:fldCharType="end"/>
                          </w:r>
                        </w:p>
                      </w:txbxContent>
                    </wps:txbx>
                    <wps:bodyPr wrap="none" lIns="0" tIns="0" rIns="0" bIns="0" upright="0">
                      <a:spAutoFit/>
                    </wps:bodyPr>
                  </wps:wsp>
                </a:graphicData>
              </a:graphic>
            </wp:anchor>
          </w:drawing>
        </mc:Choice>
        <mc:Fallback>
          <w:pict>
            <v:shape id="文本框 30"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u6oayQEAAJsDAAAOAAAAAAAAAAEAIAAAAB4BAABkcnMvZTJvRG9j&#10;LnhtbFBLBQYAAAAABgAGAFkBAABZBQAAAAA=&#10;">
              <v:fill on="f" focussize="0,0"/>
              <v:stroke on="f"/>
              <v:imagedata o:title=""/>
              <o:lock v:ext="edit" aspectratio="f"/>
              <v:textbox inset="0mm,0mm,0mm,0mm" style="mso-fit-shape-to-text:t;">
                <w:txbxContent>
                  <w:p>
                    <w:pPr>
                      <w:pStyle w:val="14"/>
                    </w:pPr>
                    <w:r>
                      <w:fldChar w:fldCharType="begin"/>
                    </w:r>
                    <w:r>
                      <w:instrText xml:space="preserve"> PAGE  \* MERGEFORMAT </w:instrText>
                    </w:r>
                    <w:r>
                      <w:fldChar w:fldCharType="separate"/>
                    </w:r>
                    <w:r>
                      <w:t>21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4"/>
                          </w:pPr>
                          <w:r>
                            <w:fldChar w:fldCharType="begin"/>
                          </w:r>
                          <w:r>
                            <w:instrText xml:space="preserve"> PAGE  \* MERGEFORMAT </w:instrText>
                          </w:r>
                          <w:r>
                            <w:fldChar w:fldCharType="separate"/>
                          </w:r>
                          <w:r>
                            <w:t>22</w:t>
                          </w:r>
                          <w:r>
                            <w:fldChar w:fldCharType="end"/>
                          </w:r>
                        </w:p>
                      </w:txbxContent>
                    </wps:txbx>
                    <wps:bodyPr wrap="none" lIns="0" tIns="0" rIns="0" bIns="0" upright="0">
                      <a:spAutoFit/>
                    </wps:bodyPr>
                  </wps:wsp>
                </a:graphicData>
              </a:graphic>
            </wp:anchor>
          </w:drawing>
        </mc:Choice>
        <mc:Fallback>
          <w:pict>
            <v:shape id="文本框 31"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aNhvy8oBAACbAwAADgAAAAAAAAABACAAAAAeAQAAZHJzL2Uyb0Rv&#10;Yy54bWxQSwUGAAAAAAYABgBZAQAAWgUAAAAA&#10;">
              <v:fill on="f" focussize="0,0"/>
              <v:stroke on="f"/>
              <v:imagedata o:title=""/>
              <o:lock v:ext="edit" aspectratio="f"/>
              <v:textbox inset="0mm,0mm,0mm,0mm" style="mso-fit-shape-to-text:t;">
                <w:txbxContent>
                  <w:p>
                    <w:pPr>
                      <w:pStyle w:val="14"/>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4"/>
                          </w:pPr>
                          <w:r>
                            <w:fldChar w:fldCharType="begin"/>
                          </w:r>
                          <w:r>
                            <w:instrText xml:space="preserve"> PAGE  \* MERGEFORMAT </w:instrText>
                          </w:r>
                          <w:r>
                            <w:fldChar w:fldCharType="separate"/>
                          </w:r>
                          <w:r>
                            <w:t>34</w:t>
                          </w:r>
                          <w:r>
                            <w:fldChar w:fldCharType="end"/>
                          </w:r>
                        </w:p>
                      </w:txbxContent>
                    </wps:txbx>
                    <wps:bodyPr wrap="none" lIns="0" tIns="0" rIns="0" bIns="0" upright="0">
                      <a:spAutoFit/>
                    </wps:bodyPr>
                  </wps:wsp>
                </a:graphicData>
              </a:graphic>
            </wp:anchor>
          </w:drawing>
        </mc:Choice>
        <mc:Fallback>
          <w:pict>
            <v:shape id="文本框 32"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0XpRYsoBAACbAwAADgAAAAAAAAABACAAAAAeAQAAZHJzL2Uyb0Rv&#10;Yy54bWxQSwUGAAAAAAYABgBZAQAAWgUAAAAA&#10;">
              <v:fill on="f" focussize="0,0"/>
              <v:stroke on="f"/>
              <v:imagedata o:title=""/>
              <o:lock v:ext="edit" aspectratio="f"/>
              <v:textbox inset="0mm,0mm,0mm,0mm" style="mso-fit-shape-to-text:t;">
                <w:txbxContent>
                  <w:p>
                    <w:pPr>
                      <w:pStyle w:val="14"/>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4"/>
                          </w:pPr>
                          <w:r>
                            <w:fldChar w:fldCharType="begin"/>
                          </w:r>
                          <w:r>
                            <w:instrText xml:space="preserve"> PAGE  \* MERGEFORMAT </w:instrText>
                          </w:r>
                          <w:r>
                            <w:fldChar w:fldCharType="separate"/>
                          </w:r>
                          <w:r>
                            <w:t>36</w:t>
                          </w:r>
                          <w:r>
                            <w:fldChar w:fldCharType="end"/>
                          </w:r>
                        </w:p>
                      </w:txbxContent>
                    </wps:txbx>
                    <wps:bodyPr wrap="none" lIns="0" tIns="0" rIns="0" bIns="0" upright="0">
                      <a:spAutoFit/>
                    </wps:bodyPr>
                  </wps:wsp>
                </a:graphicData>
              </a:graphic>
            </wp:anchor>
          </w:drawing>
        </mc:Choice>
        <mc:Fallback>
          <w:pict>
            <v:shape id="文本框 33"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eRmUs8oBAACbAwAADgAAAAAAAAABACAAAAAeAQAAZHJzL2Uyb0Rv&#10;Yy54bWxQSwUGAAAAAAYABgBZAQAAWgUAAAAA&#10;">
              <v:fill on="f" focussize="0,0"/>
              <v:stroke on="f"/>
              <v:imagedata o:title=""/>
              <o:lock v:ext="edit" aspectratio="f"/>
              <v:textbox inset="0mm,0mm,0mm,0mm" style="mso-fit-shape-to-text:t;">
                <w:txbxContent>
                  <w:p>
                    <w:pPr>
                      <w:pStyle w:val="14"/>
                    </w:pPr>
                    <w:r>
                      <w:fldChar w:fldCharType="begin"/>
                    </w:r>
                    <w:r>
                      <w:instrText xml:space="preserve"> PAGE  \* MERGEFORMAT </w:instrText>
                    </w:r>
                    <w:r>
                      <w:fldChar w:fldCharType="separate"/>
                    </w:r>
                    <w:r>
                      <w:t>36</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4"/>
                          </w:pPr>
                          <w:r>
                            <w:fldChar w:fldCharType="begin"/>
                          </w:r>
                          <w:r>
                            <w:instrText xml:space="preserve"> PAGE  \* MERGEFORMAT </w:instrText>
                          </w:r>
                          <w:r>
                            <w:fldChar w:fldCharType="separate"/>
                          </w:r>
                          <w:r>
                            <w:t>40</w:t>
                          </w:r>
                          <w:r>
                            <w:fldChar w:fldCharType="end"/>
                          </w:r>
                        </w:p>
                      </w:txbxContent>
                    </wps:txbx>
                    <wps:bodyPr wrap="none" lIns="0" tIns="0" rIns="0" bIns="0" upright="0">
                      <a:spAutoFit/>
                    </wps:bodyPr>
                  </wps:wsp>
                </a:graphicData>
              </a:graphic>
            </wp:anchor>
          </w:drawing>
        </mc:Choice>
        <mc:Fallback>
          <w:pict>
            <v:shape id="文本框 34"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7xNZCcoBAACbAwAADgAAAAAAAAABACAAAAAeAQAAZHJzL2Uyb0Rv&#10;Yy54bWxQSwUGAAAAAAYABgBZAQAAWgUAAAAA&#10;">
              <v:fill on="f" focussize="0,0"/>
              <v:stroke on="f"/>
              <v:imagedata o:title=""/>
              <o:lock v:ext="edit" aspectratio="f"/>
              <v:textbox inset="0mm,0mm,0mm,0mm" style="mso-fit-shape-to-text:t;">
                <w:txbxContent>
                  <w:p>
                    <w:pPr>
                      <w:pStyle w:val="14"/>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4"/>
                          </w:pPr>
                          <w:r>
                            <w:fldChar w:fldCharType="begin"/>
                          </w:r>
                          <w:r>
                            <w:instrText xml:space="preserve"> PAGE  \* MERGEFORMAT </w:instrText>
                          </w:r>
                          <w:r>
                            <w:fldChar w:fldCharType="separate"/>
                          </w:r>
                          <w:r>
                            <w:t>42</w:t>
                          </w:r>
                          <w:r>
                            <w:fldChar w:fldCharType="end"/>
                          </w:r>
                        </w:p>
                      </w:txbxContent>
                    </wps:txbx>
                    <wps:bodyPr wrap="none" lIns="0" tIns="0" rIns="0" bIns="0" upright="0">
                      <a:spAutoFit/>
                    </wps:bodyPr>
                  </wps:wsp>
                </a:graphicData>
              </a:graphic>
            </wp:anchor>
          </w:drawing>
        </mc:Choice>
        <mc:Fallback>
          <w:pict>
            <v:shape id="文本框 35"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R3Cc2MoBAACbAwAADgAAAAAAAAABACAAAAAeAQAAZHJzL2Uyb0Rv&#10;Yy54bWxQSwUGAAAAAAYABgBZAQAAWgUAAAAA&#10;">
              <v:fill on="f" focussize="0,0"/>
              <v:stroke on="f"/>
              <v:imagedata o:title=""/>
              <o:lock v:ext="edit" aspectratio="f"/>
              <v:textbox inset="0mm,0mm,0mm,0mm" style="mso-fit-shape-to-text:t;">
                <w:txbxContent>
                  <w:p>
                    <w:pPr>
                      <w:pStyle w:val="14"/>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30" name="文本框 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4"/>
                          </w:pPr>
                          <w:r>
                            <w:fldChar w:fldCharType="begin"/>
                          </w:r>
                          <w:r>
                            <w:instrText xml:space="preserve"> PAGE  \* MERGEFORMAT </w:instrText>
                          </w:r>
                          <w:r>
                            <w:fldChar w:fldCharType="separate"/>
                          </w:r>
                          <w:r>
                            <w:t>54</w:t>
                          </w:r>
                          <w:r>
                            <w:fldChar w:fldCharType="end"/>
                          </w:r>
                        </w:p>
                      </w:txbxContent>
                    </wps:txbx>
                    <wps:bodyPr wrap="none" lIns="0" tIns="0" rIns="0" bIns="0" upright="0">
                      <a:spAutoFit/>
                    </wps:bodyPr>
                  </wps:wsp>
                </a:graphicData>
              </a:graphic>
            </wp:anchor>
          </w:drawing>
        </mc:Choice>
        <mc:Fallback>
          <w:pict>
            <v:shape id="文本框 3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ij47csoBAACbAwAADgAAAAAAAAABACAAAAAeAQAAZHJzL2Uyb0Rv&#10;Yy54bWxQSwUGAAAAAAYABgBZAQAAWgUAAAAA&#10;">
              <v:fill on="f" focussize="0,0"/>
              <v:stroke on="f"/>
              <v:imagedata o:title=""/>
              <o:lock v:ext="edit" aspectratio="f"/>
              <v:textbox inset="0mm,0mm,0mm,0mm" style="mso-fit-shape-to-text:t;">
                <w:txbxContent>
                  <w:p>
                    <w:pPr>
                      <w:pStyle w:val="14"/>
                    </w:pP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31" name="文本框 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4"/>
                          </w:pPr>
                          <w:r>
                            <w:fldChar w:fldCharType="begin"/>
                          </w:r>
                          <w:r>
                            <w:instrText xml:space="preserve"> PAGE  \* MERGEFORMAT </w:instrText>
                          </w:r>
                          <w:r>
                            <w:fldChar w:fldCharType="separate"/>
                          </w:r>
                          <w:r>
                            <w:t>69</w:t>
                          </w:r>
                          <w:r>
                            <w:fldChar w:fldCharType="end"/>
                          </w:r>
                        </w:p>
                      </w:txbxContent>
                    </wps:txbx>
                    <wps:bodyPr wrap="none" lIns="0" tIns="0" rIns="0" bIns="0" upright="0">
                      <a:spAutoFit/>
                    </wps:bodyPr>
                  </wps:wsp>
                </a:graphicData>
              </a:graphic>
            </wp:anchor>
          </w:drawing>
        </mc:Choice>
        <mc:Fallback>
          <w:pict>
            <v:shape id="文本框 37"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Il3+o8oBAACbAwAADgAAAAAAAAABACAAAAAeAQAAZHJzL2Uyb0Rv&#10;Yy54bWxQSwUGAAAAAAYABgBZAQAAWgUAAAAA&#10;">
              <v:fill on="f" focussize="0,0"/>
              <v:stroke on="f"/>
              <v:imagedata o:title=""/>
              <o:lock v:ext="edit" aspectratio="f"/>
              <v:textbox inset="0mm,0mm,0mm,0mm" style="mso-fit-shape-to-text:t;">
                <w:txbxContent>
                  <w:p>
                    <w:pPr>
                      <w:pStyle w:val="14"/>
                    </w:pPr>
                    <w:r>
                      <w:fldChar w:fldCharType="begin"/>
                    </w:r>
                    <w:r>
                      <w:instrText xml:space="preserve"> PAGE  \* MERGEFORMAT </w:instrText>
                    </w:r>
                    <w:r>
                      <w:fldChar w:fldCharType="separate"/>
                    </w:r>
                    <w:r>
                      <w:t>69</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rFonts w:hint="eastAsia" w:eastAsia="宋体"/>
        <w:sz w:val="21"/>
        <w:szCs w:val="21"/>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rFonts w:hint="eastAsia" w:eastAsia="宋体"/>
        <w:sz w:val="21"/>
        <w:szCs w:val="21"/>
        <w:lang w:eastAsia="zh-C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auto" w:sz="4" w:space="1"/>
      </w:pBdr>
      <w:jc w:val="center"/>
      <w:rPr>
        <w:rFonts w:hint="eastAsia" w:eastAsia="宋体"/>
        <w:sz w:val="21"/>
        <w:szCs w:val="21"/>
        <w:lang w:eastAsia="zh-CN"/>
      </w:rPr>
    </w:pPr>
    <w:r>
      <w:rPr>
        <w:rFonts w:hint="eastAsia" w:ascii="Times New Roman" w:hAnsi="Times New Roman" w:eastAsia="宋体" w:cs="Times New Roman"/>
        <w:sz w:val="21"/>
        <w:szCs w:val="21"/>
        <w:lang w:val="en-US" w:eastAsia="zh-CN"/>
      </w:rPr>
      <w:t>锂电池胶带生产和精加工项目4、5、6号生产线竣工环境保护验收监测</w:t>
    </w:r>
    <w:r>
      <w:rPr>
        <w:rFonts w:hint="eastAsia" w:eastAsia="宋体"/>
        <w:sz w:val="21"/>
        <w:szCs w:val="21"/>
        <w:lang w:eastAsia="zh-CN"/>
      </w:rPr>
      <w:t>报告</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auto" w:sz="4" w:space="1"/>
      </w:pBdr>
      <w:jc w:val="center"/>
      <w:rPr>
        <w:rFonts w:hint="eastAsia" w:eastAsia="宋体"/>
        <w:sz w:val="21"/>
        <w:szCs w:val="21"/>
        <w:lang w:eastAsia="zh-CN"/>
      </w:rPr>
    </w:pPr>
    <w:r>
      <w:rPr>
        <w:rFonts w:hint="eastAsia" w:ascii="Times New Roman" w:hAnsi="Times New Roman" w:eastAsia="宋体" w:cs="Times New Roman"/>
        <w:sz w:val="21"/>
        <w:szCs w:val="21"/>
        <w:lang w:val="en-US" w:eastAsia="zh-CN"/>
      </w:rPr>
      <w:t>锂电池胶带生产和精加工项目阶段性竣工环境保护验收监测</w:t>
    </w:r>
    <w:r>
      <w:rPr>
        <w:rFonts w:hint="eastAsia" w:eastAsia="宋体"/>
        <w:sz w:val="21"/>
        <w:szCs w:val="21"/>
        <w:lang w:eastAsia="zh-CN"/>
      </w:rPr>
      <w:t>报告</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auto" w:sz="4" w:space="1"/>
      </w:pBdr>
      <w:jc w:val="center"/>
      <w:rPr>
        <w:rFonts w:hint="eastAsia"/>
        <w:lang w:eastAsia="zh-CN"/>
      </w:rPr>
    </w:pPr>
    <w:r>
      <w:rPr>
        <w:rFonts w:hint="eastAsia" w:cs="Times New Roman"/>
        <w:sz w:val="21"/>
        <w:szCs w:val="21"/>
        <w:lang w:val="en-US" w:eastAsia="zh-CN"/>
      </w:rPr>
      <w:t>锂电池胶带生产和精加工项目</w:t>
    </w:r>
    <w:r>
      <w:rPr>
        <w:rFonts w:hint="eastAsia" w:ascii="Times New Roman" w:hAnsi="Times New Roman" w:cs="Times New Roman"/>
        <w:sz w:val="21"/>
        <w:szCs w:val="21"/>
      </w:rPr>
      <w:t>4、5、6号生产线</w:t>
    </w:r>
    <w:r>
      <w:rPr>
        <w:rFonts w:hint="eastAsia" w:ascii="Times New Roman" w:hAnsi="Times New Roman" w:eastAsia="宋体" w:cs="Times New Roman"/>
        <w:sz w:val="21"/>
        <w:szCs w:val="21"/>
        <w:lang w:val="en-US" w:eastAsia="zh-CN"/>
      </w:rPr>
      <w:t>竣工环境保护验收监测</w:t>
    </w:r>
    <w:r>
      <w:rPr>
        <w:rFonts w:hint="eastAsia" w:eastAsia="宋体"/>
        <w:sz w:val="21"/>
        <w:szCs w:val="21"/>
        <w:lang w:eastAsia="zh-CN"/>
      </w:rPr>
      <w:t>报告</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0" w:lineRule="auto"/>
      <w:jc w:val="right"/>
      <w:rPr>
        <w:rFonts w:ascii="仿宋" w:hAnsi="仿宋" w:eastAsia="仿宋" w:cs="仿宋"/>
        <w:sz w:val="18"/>
        <w:szCs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kMTllZjI3YmRlN2Q2NzVkMDQ3MTZiMzY0ZjRkYzQifQ=="/>
  </w:docVars>
  <w:rsids>
    <w:rsidRoot w:val="7ABF2C4C"/>
    <w:rsid w:val="00172141"/>
    <w:rsid w:val="001D73D3"/>
    <w:rsid w:val="002A241A"/>
    <w:rsid w:val="003E3136"/>
    <w:rsid w:val="004057CA"/>
    <w:rsid w:val="0059702E"/>
    <w:rsid w:val="00833D95"/>
    <w:rsid w:val="008C3BB3"/>
    <w:rsid w:val="00991B49"/>
    <w:rsid w:val="009C512B"/>
    <w:rsid w:val="00A80FBB"/>
    <w:rsid w:val="00EC438C"/>
    <w:rsid w:val="00F97330"/>
    <w:rsid w:val="0109689F"/>
    <w:rsid w:val="010B7CCE"/>
    <w:rsid w:val="014C611D"/>
    <w:rsid w:val="0165148F"/>
    <w:rsid w:val="01964E09"/>
    <w:rsid w:val="01EF37A6"/>
    <w:rsid w:val="02184C85"/>
    <w:rsid w:val="022008F8"/>
    <w:rsid w:val="026B1224"/>
    <w:rsid w:val="028364F8"/>
    <w:rsid w:val="028D0E66"/>
    <w:rsid w:val="02C86A38"/>
    <w:rsid w:val="02FA19F0"/>
    <w:rsid w:val="0312544C"/>
    <w:rsid w:val="0320596C"/>
    <w:rsid w:val="0328714A"/>
    <w:rsid w:val="03391357"/>
    <w:rsid w:val="033D630D"/>
    <w:rsid w:val="035B751F"/>
    <w:rsid w:val="0379449C"/>
    <w:rsid w:val="03BE1DCA"/>
    <w:rsid w:val="04372D8C"/>
    <w:rsid w:val="044036B7"/>
    <w:rsid w:val="045A0D19"/>
    <w:rsid w:val="0462093A"/>
    <w:rsid w:val="04623B88"/>
    <w:rsid w:val="047741CB"/>
    <w:rsid w:val="04934B82"/>
    <w:rsid w:val="04C71B7D"/>
    <w:rsid w:val="04C747DC"/>
    <w:rsid w:val="04CC0C3F"/>
    <w:rsid w:val="04D71C31"/>
    <w:rsid w:val="04E04A64"/>
    <w:rsid w:val="04FA576F"/>
    <w:rsid w:val="05197105"/>
    <w:rsid w:val="05486BAC"/>
    <w:rsid w:val="055E1360"/>
    <w:rsid w:val="057E73F9"/>
    <w:rsid w:val="05972C01"/>
    <w:rsid w:val="05F81055"/>
    <w:rsid w:val="05FB6392"/>
    <w:rsid w:val="06005EC5"/>
    <w:rsid w:val="061B51E2"/>
    <w:rsid w:val="064C0C96"/>
    <w:rsid w:val="068B55A3"/>
    <w:rsid w:val="06C41D73"/>
    <w:rsid w:val="06CE6E04"/>
    <w:rsid w:val="06EA27FD"/>
    <w:rsid w:val="071023CF"/>
    <w:rsid w:val="072639A0"/>
    <w:rsid w:val="0788465B"/>
    <w:rsid w:val="07C571A0"/>
    <w:rsid w:val="08431698"/>
    <w:rsid w:val="085246B1"/>
    <w:rsid w:val="086303D0"/>
    <w:rsid w:val="09324F41"/>
    <w:rsid w:val="0966277A"/>
    <w:rsid w:val="096863A6"/>
    <w:rsid w:val="096B05CC"/>
    <w:rsid w:val="09776735"/>
    <w:rsid w:val="09B6681B"/>
    <w:rsid w:val="0A0A124F"/>
    <w:rsid w:val="0A5B7E05"/>
    <w:rsid w:val="0A890F2E"/>
    <w:rsid w:val="0ABB4D47"/>
    <w:rsid w:val="0AC2018B"/>
    <w:rsid w:val="0B775D78"/>
    <w:rsid w:val="0B870A1F"/>
    <w:rsid w:val="0BA84EDB"/>
    <w:rsid w:val="0BDB744F"/>
    <w:rsid w:val="0C08719F"/>
    <w:rsid w:val="0C38316A"/>
    <w:rsid w:val="0C5822DB"/>
    <w:rsid w:val="0C655925"/>
    <w:rsid w:val="0CB96306"/>
    <w:rsid w:val="0CCC76D6"/>
    <w:rsid w:val="0CCF7B46"/>
    <w:rsid w:val="0D0227BA"/>
    <w:rsid w:val="0D0550DE"/>
    <w:rsid w:val="0D057373"/>
    <w:rsid w:val="0D1503AD"/>
    <w:rsid w:val="0D1E3C2F"/>
    <w:rsid w:val="0DA430E6"/>
    <w:rsid w:val="0DF55F7E"/>
    <w:rsid w:val="0E082052"/>
    <w:rsid w:val="0E084629"/>
    <w:rsid w:val="0E7D2A40"/>
    <w:rsid w:val="0E87741A"/>
    <w:rsid w:val="0E931A61"/>
    <w:rsid w:val="0F290F12"/>
    <w:rsid w:val="0F2A60E7"/>
    <w:rsid w:val="0F4825C7"/>
    <w:rsid w:val="0F8D731E"/>
    <w:rsid w:val="0F8F3F1C"/>
    <w:rsid w:val="0F9D4A1B"/>
    <w:rsid w:val="0FC1070A"/>
    <w:rsid w:val="105051BA"/>
    <w:rsid w:val="10761281"/>
    <w:rsid w:val="108F278D"/>
    <w:rsid w:val="10980FBF"/>
    <w:rsid w:val="1098777E"/>
    <w:rsid w:val="10BF6EA0"/>
    <w:rsid w:val="10D949A5"/>
    <w:rsid w:val="10EC5D5C"/>
    <w:rsid w:val="117F49B0"/>
    <w:rsid w:val="11B4699A"/>
    <w:rsid w:val="11BC1869"/>
    <w:rsid w:val="11F37BE7"/>
    <w:rsid w:val="12255C44"/>
    <w:rsid w:val="12334716"/>
    <w:rsid w:val="12412C67"/>
    <w:rsid w:val="124440E2"/>
    <w:rsid w:val="125F7176"/>
    <w:rsid w:val="12B04A66"/>
    <w:rsid w:val="12B5207C"/>
    <w:rsid w:val="12E91297"/>
    <w:rsid w:val="135E16FA"/>
    <w:rsid w:val="137A5CCD"/>
    <w:rsid w:val="13C1118A"/>
    <w:rsid w:val="14140F37"/>
    <w:rsid w:val="142A77EE"/>
    <w:rsid w:val="14300E2C"/>
    <w:rsid w:val="143347BE"/>
    <w:rsid w:val="147B0008"/>
    <w:rsid w:val="149676BA"/>
    <w:rsid w:val="15474825"/>
    <w:rsid w:val="15475B55"/>
    <w:rsid w:val="154D1B14"/>
    <w:rsid w:val="15757B18"/>
    <w:rsid w:val="15A17D59"/>
    <w:rsid w:val="15DF7C1D"/>
    <w:rsid w:val="164F6705"/>
    <w:rsid w:val="16612C47"/>
    <w:rsid w:val="16695657"/>
    <w:rsid w:val="166D14CD"/>
    <w:rsid w:val="169C515A"/>
    <w:rsid w:val="169F07F0"/>
    <w:rsid w:val="16AD4D5E"/>
    <w:rsid w:val="16EB4FB0"/>
    <w:rsid w:val="17256F94"/>
    <w:rsid w:val="17270DC8"/>
    <w:rsid w:val="17781A03"/>
    <w:rsid w:val="17C27CEA"/>
    <w:rsid w:val="17D07948"/>
    <w:rsid w:val="17FF6273"/>
    <w:rsid w:val="1820543E"/>
    <w:rsid w:val="18674E76"/>
    <w:rsid w:val="18DE406C"/>
    <w:rsid w:val="192C43A1"/>
    <w:rsid w:val="19341622"/>
    <w:rsid w:val="19344845"/>
    <w:rsid w:val="197E766C"/>
    <w:rsid w:val="19B15D03"/>
    <w:rsid w:val="19EB31E5"/>
    <w:rsid w:val="19EC69BA"/>
    <w:rsid w:val="1A465840"/>
    <w:rsid w:val="1A675F1E"/>
    <w:rsid w:val="1AFC3BB5"/>
    <w:rsid w:val="1B4A00E7"/>
    <w:rsid w:val="1B77631C"/>
    <w:rsid w:val="1BB058FD"/>
    <w:rsid w:val="1C000618"/>
    <w:rsid w:val="1C2B3E32"/>
    <w:rsid w:val="1C367EDC"/>
    <w:rsid w:val="1C454825"/>
    <w:rsid w:val="1C872F90"/>
    <w:rsid w:val="1C9326D6"/>
    <w:rsid w:val="1CA0392A"/>
    <w:rsid w:val="1CB00E18"/>
    <w:rsid w:val="1D0511F9"/>
    <w:rsid w:val="1D0B5362"/>
    <w:rsid w:val="1D99780A"/>
    <w:rsid w:val="1DC453A8"/>
    <w:rsid w:val="1DD04A17"/>
    <w:rsid w:val="1DD70DC0"/>
    <w:rsid w:val="1DD91A97"/>
    <w:rsid w:val="1DDD0139"/>
    <w:rsid w:val="1DF079E3"/>
    <w:rsid w:val="1E264B6A"/>
    <w:rsid w:val="1E2C7696"/>
    <w:rsid w:val="1E2E3E10"/>
    <w:rsid w:val="1E447263"/>
    <w:rsid w:val="1E5B441F"/>
    <w:rsid w:val="1E971CD0"/>
    <w:rsid w:val="1EB82B2C"/>
    <w:rsid w:val="1ED21112"/>
    <w:rsid w:val="1EDD5DA9"/>
    <w:rsid w:val="1EFA3C38"/>
    <w:rsid w:val="1EFC00E5"/>
    <w:rsid w:val="1F517536"/>
    <w:rsid w:val="1F9B49C4"/>
    <w:rsid w:val="201302EF"/>
    <w:rsid w:val="20224CFF"/>
    <w:rsid w:val="205411CB"/>
    <w:rsid w:val="205F2E5C"/>
    <w:rsid w:val="2073034F"/>
    <w:rsid w:val="20A10916"/>
    <w:rsid w:val="20D83B05"/>
    <w:rsid w:val="20FD09D9"/>
    <w:rsid w:val="21222FD3"/>
    <w:rsid w:val="21503E29"/>
    <w:rsid w:val="21A54D21"/>
    <w:rsid w:val="21C86A83"/>
    <w:rsid w:val="21CD4C70"/>
    <w:rsid w:val="21E30807"/>
    <w:rsid w:val="21E56FDE"/>
    <w:rsid w:val="22176285"/>
    <w:rsid w:val="225323F7"/>
    <w:rsid w:val="22753BB7"/>
    <w:rsid w:val="227D3DCD"/>
    <w:rsid w:val="22AB4B00"/>
    <w:rsid w:val="22B93910"/>
    <w:rsid w:val="22E91FFA"/>
    <w:rsid w:val="2375362F"/>
    <w:rsid w:val="237F6D6B"/>
    <w:rsid w:val="23A346F0"/>
    <w:rsid w:val="23E64885"/>
    <w:rsid w:val="240B0682"/>
    <w:rsid w:val="24C3687B"/>
    <w:rsid w:val="24CE6B1C"/>
    <w:rsid w:val="25354CB3"/>
    <w:rsid w:val="25706C07"/>
    <w:rsid w:val="2572486D"/>
    <w:rsid w:val="25CE1717"/>
    <w:rsid w:val="25DA2C15"/>
    <w:rsid w:val="25EB7E37"/>
    <w:rsid w:val="260B04D9"/>
    <w:rsid w:val="26145F14"/>
    <w:rsid w:val="262D74D2"/>
    <w:rsid w:val="267749BE"/>
    <w:rsid w:val="26812103"/>
    <w:rsid w:val="26F4590D"/>
    <w:rsid w:val="2706619A"/>
    <w:rsid w:val="270F7B55"/>
    <w:rsid w:val="27157049"/>
    <w:rsid w:val="2727745C"/>
    <w:rsid w:val="27930786"/>
    <w:rsid w:val="27A01243"/>
    <w:rsid w:val="27B20F14"/>
    <w:rsid w:val="28146350"/>
    <w:rsid w:val="28500425"/>
    <w:rsid w:val="2852727D"/>
    <w:rsid w:val="28675091"/>
    <w:rsid w:val="289168A4"/>
    <w:rsid w:val="28B43EF3"/>
    <w:rsid w:val="28B62567"/>
    <w:rsid w:val="28C270C1"/>
    <w:rsid w:val="28DF6C90"/>
    <w:rsid w:val="28E733C2"/>
    <w:rsid w:val="28E76FDC"/>
    <w:rsid w:val="290C6DAE"/>
    <w:rsid w:val="29334B90"/>
    <w:rsid w:val="293D1408"/>
    <w:rsid w:val="295974A0"/>
    <w:rsid w:val="296203AC"/>
    <w:rsid w:val="29773401"/>
    <w:rsid w:val="29A87635"/>
    <w:rsid w:val="29B17D7A"/>
    <w:rsid w:val="29CA13D8"/>
    <w:rsid w:val="2A02691A"/>
    <w:rsid w:val="2A6401B8"/>
    <w:rsid w:val="2A703DA4"/>
    <w:rsid w:val="2A9036A3"/>
    <w:rsid w:val="2ACA3FD7"/>
    <w:rsid w:val="2AD32B55"/>
    <w:rsid w:val="2AFA4BE0"/>
    <w:rsid w:val="2AFA60A0"/>
    <w:rsid w:val="2B1258CE"/>
    <w:rsid w:val="2B347FE0"/>
    <w:rsid w:val="2B5D6EF8"/>
    <w:rsid w:val="2BDA2757"/>
    <w:rsid w:val="2BE004F4"/>
    <w:rsid w:val="2C0B1233"/>
    <w:rsid w:val="2C2E2368"/>
    <w:rsid w:val="2C3D33B6"/>
    <w:rsid w:val="2C5225C5"/>
    <w:rsid w:val="2C597EC7"/>
    <w:rsid w:val="2C7A1F15"/>
    <w:rsid w:val="2CA03AA0"/>
    <w:rsid w:val="2CBB5258"/>
    <w:rsid w:val="2CE97D0E"/>
    <w:rsid w:val="2CFB1F60"/>
    <w:rsid w:val="2D0B2EFC"/>
    <w:rsid w:val="2D2A72D5"/>
    <w:rsid w:val="2D3C0CAF"/>
    <w:rsid w:val="2D866516"/>
    <w:rsid w:val="2DBE1782"/>
    <w:rsid w:val="2DDC440D"/>
    <w:rsid w:val="2E0460B3"/>
    <w:rsid w:val="2E2E65D6"/>
    <w:rsid w:val="2E7D2B6A"/>
    <w:rsid w:val="2E8928E3"/>
    <w:rsid w:val="2E8E4C95"/>
    <w:rsid w:val="2F0A1ADA"/>
    <w:rsid w:val="2F155F25"/>
    <w:rsid w:val="2F1877E8"/>
    <w:rsid w:val="2FBD0D16"/>
    <w:rsid w:val="2FC604E9"/>
    <w:rsid w:val="301A4E4E"/>
    <w:rsid w:val="30244DB9"/>
    <w:rsid w:val="306F7E0E"/>
    <w:rsid w:val="3082583C"/>
    <w:rsid w:val="30D41A25"/>
    <w:rsid w:val="30E12FF7"/>
    <w:rsid w:val="310C54EF"/>
    <w:rsid w:val="31224FC7"/>
    <w:rsid w:val="31971FF1"/>
    <w:rsid w:val="31F75A1F"/>
    <w:rsid w:val="322546D1"/>
    <w:rsid w:val="3253123E"/>
    <w:rsid w:val="326773AF"/>
    <w:rsid w:val="3269197C"/>
    <w:rsid w:val="327E74DD"/>
    <w:rsid w:val="33370B5F"/>
    <w:rsid w:val="340B0678"/>
    <w:rsid w:val="342310E4"/>
    <w:rsid w:val="342A3DB8"/>
    <w:rsid w:val="34362C77"/>
    <w:rsid w:val="34624BDB"/>
    <w:rsid w:val="346C4839"/>
    <w:rsid w:val="34980ECF"/>
    <w:rsid w:val="34A52D86"/>
    <w:rsid w:val="34C60D55"/>
    <w:rsid w:val="34D348B8"/>
    <w:rsid w:val="358179A3"/>
    <w:rsid w:val="36101C06"/>
    <w:rsid w:val="3680281D"/>
    <w:rsid w:val="36EE75E5"/>
    <w:rsid w:val="36FF1724"/>
    <w:rsid w:val="37141252"/>
    <w:rsid w:val="371B471F"/>
    <w:rsid w:val="37236BA3"/>
    <w:rsid w:val="372A23F3"/>
    <w:rsid w:val="37353608"/>
    <w:rsid w:val="378258C4"/>
    <w:rsid w:val="3784633D"/>
    <w:rsid w:val="37C21FE1"/>
    <w:rsid w:val="38376F0C"/>
    <w:rsid w:val="38551EA9"/>
    <w:rsid w:val="386A72E1"/>
    <w:rsid w:val="38763ED8"/>
    <w:rsid w:val="3877538D"/>
    <w:rsid w:val="38AF57BD"/>
    <w:rsid w:val="38EF1F7D"/>
    <w:rsid w:val="39014521"/>
    <w:rsid w:val="392B5D54"/>
    <w:rsid w:val="39325E42"/>
    <w:rsid w:val="393800AB"/>
    <w:rsid w:val="393A7D29"/>
    <w:rsid w:val="393D0552"/>
    <w:rsid w:val="394D7D5F"/>
    <w:rsid w:val="39EE5D8A"/>
    <w:rsid w:val="3A3D3237"/>
    <w:rsid w:val="3A3F35F2"/>
    <w:rsid w:val="3A6517EC"/>
    <w:rsid w:val="3A690DEF"/>
    <w:rsid w:val="3A6D30B9"/>
    <w:rsid w:val="3A94590E"/>
    <w:rsid w:val="3AA83F93"/>
    <w:rsid w:val="3AAE2AD7"/>
    <w:rsid w:val="3AC87FE2"/>
    <w:rsid w:val="3AF54DD4"/>
    <w:rsid w:val="3B3A743F"/>
    <w:rsid w:val="3B426076"/>
    <w:rsid w:val="3B864495"/>
    <w:rsid w:val="3B8A0F8C"/>
    <w:rsid w:val="3BA42037"/>
    <w:rsid w:val="3BC211E2"/>
    <w:rsid w:val="3C655877"/>
    <w:rsid w:val="3CBA6812"/>
    <w:rsid w:val="3CBD031D"/>
    <w:rsid w:val="3CCA47F2"/>
    <w:rsid w:val="3CF01951"/>
    <w:rsid w:val="3D5C6957"/>
    <w:rsid w:val="3D91341B"/>
    <w:rsid w:val="3D9E180C"/>
    <w:rsid w:val="3DA567C2"/>
    <w:rsid w:val="3DB86D2C"/>
    <w:rsid w:val="3DC33B55"/>
    <w:rsid w:val="3DC8138E"/>
    <w:rsid w:val="3E777527"/>
    <w:rsid w:val="3E7D2F1F"/>
    <w:rsid w:val="3E9C5D1B"/>
    <w:rsid w:val="3ECA68D6"/>
    <w:rsid w:val="3F084FC9"/>
    <w:rsid w:val="3F397A0D"/>
    <w:rsid w:val="3F4944E7"/>
    <w:rsid w:val="3F5B4172"/>
    <w:rsid w:val="3F726C5D"/>
    <w:rsid w:val="3F8125DB"/>
    <w:rsid w:val="3FFC6412"/>
    <w:rsid w:val="3FFC68BA"/>
    <w:rsid w:val="402C4A80"/>
    <w:rsid w:val="4095756F"/>
    <w:rsid w:val="40ED219B"/>
    <w:rsid w:val="411C3C9A"/>
    <w:rsid w:val="417756CE"/>
    <w:rsid w:val="417A0890"/>
    <w:rsid w:val="418F61EA"/>
    <w:rsid w:val="4235270E"/>
    <w:rsid w:val="4249607C"/>
    <w:rsid w:val="426F49B7"/>
    <w:rsid w:val="42984A4B"/>
    <w:rsid w:val="42AA0FFC"/>
    <w:rsid w:val="42DC702D"/>
    <w:rsid w:val="430622FC"/>
    <w:rsid w:val="434653F9"/>
    <w:rsid w:val="4367618F"/>
    <w:rsid w:val="43841289"/>
    <w:rsid w:val="438934E2"/>
    <w:rsid w:val="43B260B8"/>
    <w:rsid w:val="43DD5531"/>
    <w:rsid w:val="441D5B50"/>
    <w:rsid w:val="442A78F2"/>
    <w:rsid w:val="442F13DF"/>
    <w:rsid w:val="4431358C"/>
    <w:rsid w:val="44320784"/>
    <w:rsid w:val="44375AE9"/>
    <w:rsid w:val="444D02C3"/>
    <w:rsid w:val="446F21F8"/>
    <w:rsid w:val="44A678F3"/>
    <w:rsid w:val="44AE5CAF"/>
    <w:rsid w:val="44B36A14"/>
    <w:rsid w:val="44D501D8"/>
    <w:rsid w:val="45330EE2"/>
    <w:rsid w:val="453550AC"/>
    <w:rsid w:val="45393E69"/>
    <w:rsid w:val="459F433F"/>
    <w:rsid w:val="45BD02F7"/>
    <w:rsid w:val="45D27988"/>
    <w:rsid w:val="45E32481"/>
    <w:rsid w:val="45E97073"/>
    <w:rsid w:val="464A2500"/>
    <w:rsid w:val="46705A72"/>
    <w:rsid w:val="46AF6479"/>
    <w:rsid w:val="46B61944"/>
    <w:rsid w:val="46E76ED0"/>
    <w:rsid w:val="4712166C"/>
    <w:rsid w:val="474F56D5"/>
    <w:rsid w:val="475E7E09"/>
    <w:rsid w:val="478F6658"/>
    <w:rsid w:val="47980289"/>
    <w:rsid w:val="47C6205A"/>
    <w:rsid w:val="47E64EDA"/>
    <w:rsid w:val="480969B8"/>
    <w:rsid w:val="484A42D5"/>
    <w:rsid w:val="48914416"/>
    <w:rsid w:val="48C1339C"/>
    <w:rsid w:val="492C6DC4"/>
    <w:rsid w:val="49372972"/>
    <w:rsid w:val="49403596"/>
    <w:rsid w:val="49466F9F"/>
    <w:rsid w:val="4953791E"/>
    <w:rsid w:val="49621395"/>
    <w:rsid w:val="49690195"/>
    <w:rsid w:val="49896EB1"/>
    <w:rsid w:val="49AB345C"/>
    <w:rsid w:val="49B5097B"/>
    <w:rsid w:val="49B61B88"/>
    <w:rsid w:val="49CB47BA"/>
    <w:rsid w:val="49D82253"/>
    <w:rsid w:val="49E20DA6"/>
    <w:rsid w:val="4A447706"/>
    <w:rsid w:val="4AB82328"/>
    <w:rsid w:val="4AC24E95"/>
    <w:rsid w:val="4AE42F23"/>
    <w:rsid w:val="4B03191F"/>
    <w:rsid w:val="4B0A01CF"/>
    <w:rsid w:val="4B1C1772"/>
    <w:rsid w:val="4B392414"/>
    <w:rsid w:val="4B4C7279"/>
    <w:rsid w:val="4BBF7187"/>
    <w:rsid w:val="4BD94FF1"/>
    <w:rsid w:val="4BF73B24"/>
    <w:rsid w:val="4C093843"/>
    <w:rsid w:val="4C345AAF"/>
    <w:rsid w:val="4C5307FE"/>
    <w:rsid w:val="4C606D62"/>
    <w:rsid w:val="4C6D519A"/>
    <w:rsid w:val="4C8D179C"/>
    <w:rsid w:val="4CB7057B"/>
    <w:rsid w:val="4CD80866"/>
    <w:rsid w:val="4D084917"/>
    <w:rsid w:val="4D19575B"/>
    <w:rsid w:val="4D5171CD"/>
    <w:rsid w:val="4D9F2EAB"/>
    <w:rsid w:val="4DA56AB6"/>
    <w:rsid w:val="4DC95ACF"/>
    <w:rsid w:val="4DE81FE5"/>
    <w:rsid w:val="4DF72F6D"/>
    <w:rsid w:val="4DF7391F"/>
    <w:rsid w:val="4E0B09F7"/>
    <w:rsid w:val="4E3C2626"/>
    <w:rsid w:val="4EA02159"/>
    <w:rsid w:val="4EAE073C"/>
    <w:rsid w:val="4EE206B5"/>
    <w:rsid w:val="4F1F44A2"/>
    <w:rsid w:val="4F227E34"/>
    <w:rsid w:val="4F3E18FD"/>
    <w:rsid w:val="4F41693A"/>
    <w:rsid w:val="4F4D154D"/>
    <w:rsid w:val="4F856768"/>
    <w:rsid w:val="4F923602"/>
    <w:rsid w:val="4FB21842"/>
    <w:rsid w:val="4FF713A1"/>
    <w:rsid w:val="5037387C"/>
    <w:rsid w:val="5043249A"/>
    <w:rsid w:val="506F328F"/>
    <w:rsid w:val="508126D0"/>
    <w:rsid w:val="5087632C"/>
    <w:rsid w:val="509A4341"/>
    <w:rsid w:val="50C804AD"/>
    <w:rsid w:val="51275F59"/>
    <w:rsid w:val="514D293A"/>
    <w:rsid w:val="515B161C"/>
    <w:rsid w:val="517A1C78"/>
    <w:rsid w:val="51855E29"/>
    <w:rsid w:val="51B01599"/>
    <w:rsid w:val="51DE0598"/>
    <w:rsid w:val="529C027A"/>
    <w:rsid w:val="52F66C8A"/>
    <w:rsid w:val="532F2F36"/>
    <w:rsid w:val="53447B5D"/>
    <w:rsid w:val="536479CC"/>
    <w:rsid w:val="538866FE"/>
    <w:rsid w:val="53BC6284"/>
    <w:rsid w:val="53BE5B90"/>
    <w:rsid w:val="53D737D8"/>
    <w:rsid w:val="53D77351"/>
    <w:rsid w:val="53D8712E"/>
    <w:rsid w:val="542376DE"/>
    <w:rsid w:val="544A6756"/>
    <w:rsid w:val="54882B71"/>
    <w:rsid w:val="54A63265"/>
    <w:rsid w:val="54B73456"/>
    <w:rsid w:val="55176D39"/>
    <w:rsid w:val="55CF032A"/>
    <w:rsid w:val="55EC2D2A"/>
    <w:rsid w:val="560D5DF9"/>
    <w:rsid w:val="566C201F"/>
    <w:rsid w:val="568455BA"/>
    <w:rsid w:val="568F334C"/>
    <w:rsid w:val="56A2695E"/>
    <w:rsid w:val="56AF33C6"/>
    <w:rsid w:val="56CA224C"/>
    <w:rsid w:val="56D8469E"/>
    <w:rsid w:val="56ED1A68"/>
    <w:rsid w:val="57497617"/>
    <w:rsid w:val="57EA5FB9"/>
    <w:rsid w:val="581018A9"/>
    <w:rsid w:val="58573BBD"/>
    <w:rsid w:val="588A3829"/>
    <w:rsid w:val="58D37F1F"/>
    <w:rsid w:val="59437E22"/>
    <w:rsid w:val="59647C7E"/>
    <w:rsid w:val="596A1C87"/>
    <w:rsid w:val="59801DCE"/>
    <w:rsid w:val="59CB7C49"/>
    <w:rsid w:val="5A162B82"/>
    <w:rsid w:val="5A24333C"/>
    <w:rsid w:val="5A2B2502"/>
    <w:rsid w:val="5A2C3F9F"/>
    <w:rsid w:val="5A377D97"/>
    <w:rsid w:val="5A3B264B"/>
    <w:rsid w:val="5AF6399E"/>
    <w:rsid w:val="5B4E065C"/>
    <w:rsid w:val="5B6A2C73"/>
    <w:rsid w:val="5B971030"/>
    <w:rsid w:val="5BBB3EFE"/>
    <w:rsid w:val="5BE47A1B"/>
    <w:rsid w:val="5BEF076A"/>
    <w:rsid w:val="5BF07808"/>
    <w:rsid w:val="5C364123"/>
    <w:rsid w:val="5C60665C"/>
    <w:rsid w:val="5CAC07BD"/>
    <w:rsid w:val="5CAC3BFE"/>
    <w:rsid w:val="5CDD4611"/>
    <w:rsid w:val="5CF214D0"/>
    <w:rsid w:val="5CF33BCC"/>
    <w:rsid w:val="5CF42BEF"/>
    <w:rsid w:val="5D4F3D1A"/>
    <w:rsid w:val="5D6A789E"/>
    <w:rsid w:val="5D791535"/>
    <w:rsid w:val="5DCA3505"/>
    <w:rsid w:val="5DED6377"/>
    <w:rsid w:val="5DEF5A0F"/>
    <w:rsid w:val="5E3D4EF6"/>
    <w:rsid w:val="5EC1065A"/>
    <w:rsid w:val="5EC625AF"/>
    <w:rsid w:val="5ECA0A12"/>
    <w:rsid w:val="5F234237"/>
    <w:rsid w:val="5F3062DF"/>
    <w:rsid w:val="5F89153D"/>
    <w:rsid w:val="5FC70936"/>
    <w:rsid w:val="5FC8476A"/>
    <w:rsid w:val="5FD33B00"/>
    <w:rsid w:val="5FE729F9"/>
    <w:rsid w:val="5FFB68ED"/>
    <w:rsid w:val="60214731"/>
    <w:rsid w:val="602A0F80"/>
    <w:rsid w:val="604026D0"/>
    <w:rsid w:val="60D94755"/>
    <w:rsid w:val="61467430"/>
    <w:rsid w:val="618960E1"/>
    <w:rsid w:val="6195712A"/>
    <w:rsid w:val="61B23E0F"/>
    <w:rsid w:val="61C407E6"/>
    <w:rsid w:val="628252A8"/>
    <w:rsid w:val="631A7E0D"/>
    <w:rsid w:val="6384397A"/>
    <w:rsid w:val="638C7E2C"/>
    <w:rsid w:val="639E415F"/>
    <w:rsid w:val="63C74D38"/>
    <w:rsid w:val="63E05F24"/>
    <w:rsid w:val="6449399F"/>
    <w:rsid w:val="646302A3"/>
    <w:rsid w:val="64633CB5"/>
    <w:rsid w:val="64A051C1"/>
    <w:rsid w:val="64AF01CE"/>
    <w:rsid w:val="64CB4592"/>
    <w:rsid w:val="64F953C5"/>
    <w:rsid w:val="6507446B"/>
    <w:rsid w:val="65081A06"/>
    <w:rsid w:val="65137F6A"/>
    <w:rsid w:val="651A6E89"/>
    <w:rsid w:val="65314B5F"/>
    <w:rsid w:val="658D6624"/>
    <w:rsid w:val="659044F9"/>
    <w:rsid w:val="659636C5"/>
    <w:rsid w:val="65B8499F"/>
    <w:rsid w:val="663761A5"/>
    <w:rsid w:val="665D5ABB"/>
    <w:rsid w:val="66616A7A"/>
    <w:rsid w:val="66750474"/>
    <w:rsid w:val="669438A0"/>
    <w:rsid w:val="669F6234"/>
    <w:rsid w:val="67074CD5"/>
    <w:rsid w:val="671227E2"/>
    <w:rsid w:val="6719662D"/>
    <w:rsid w:val="67220595"/>
    <w:rsid w:val="67651F63"/>
    <w:rsid w:val="678A249B"/>
    <w:rsid w:val="678E0566"/>
    <w:rsid w:val="67AB521E"/>
    <w:rsid w:val="67B37ECB"/>
    <w:rsid w:val="67B84A64"/>
    <w:rsid w:val="67CB3BC9"/>
    <w:rsid w:val="67EC36E4"/>
    <w:rsid w:val="68596F2C"/>
    <w:rsid w:val="68603887"/>
    <w:rsid w:val="68862377"/>
    <w:rsid w:val="689075C1"/>
    <w:rsid w:val="68B271EF"/>
    <w:rsid w:val="68FD4ED8"/>
    <w:rsid w:val="69080C46"/>
    <w:rsid w:val="693D02BC"/>
    <w:rsid w:val="69A47FF6"/>
    <w:rsid w:val="6A0C7949"/>
    <w:rsid w:val="6A693F67"/>
    <w:rsid w:val="6A8D3E4B"/>
    <w:rsid w:val="6A97707E"/>
    <w:rsid w:val="6B225683"/>
    <w:rsid w:val="6B4E468F"/>
    <w:rsid w:val="6B536809"/>
    <w:rsid w:val="6B5B7FAE"/>
    <w:rsid w:val="6B6F7EE5"/>
    <w:rsid w:val="6B777044"/>
    <w:rsid w:val="6B9F4D21"/>
    <w:rsid w:val="6BED7826"/>
    <w:rsid w:val="6C1500EB"/>
    <w:rsid w:val="6C1F5BAF"/>
    <w:rsid w:val="6C461D2C"/>
    <w:rsid w:val="6CC823F7"/>
    <w:rsid w:val="6CD937FD"/>
    <w:rsid w:val="6CE42A72"/>
    <w:rsid w:val="6CF62A1C"/>
    <w:rsid w:val="6D1657B7"/>
    <w:rsid w:val="6D306F45"/>
    <w:rsid w:val="6D385C3E"/>
    <w:rsid w:val="6DBB664D"/>
    <w:rsid w:val="6DE54F69"/>
    <w:rsid w:val="6E284C5D"/>
    <w:rsid w:val="6E330E64"/>
    <w:rsid w:val="6EE97057"/>
    <w:rsid w:val="6EF26433"/>
    <w:rsid w:val="6F0820AE"/>
    <w:rsid w:val="6F355BB9"/>
    <w:rsid w:val="6F364624"/>
    <w:rsid w:val="6F6F226C"/>
    <w:rsid w:val="6F736A95"/>
    <w:rsid w:val="6F87378B"/>
    <w:rsid w:val="6FD25F34"/>
    <w:rsid w:val="6FE37A87"/>
    <w:rsid w:val="6FF40FF2"/>
    <w:rsid w:val="7032692B"/>
    <w:rsid w:val="703F5002"/>
    <w:rsid w:val="704B6BB6"/>
    <w:rsid w:val="707357E9"/>
    <w:rsid w:val="70860BBE"/>
    <w:rsid w:val="712F159D"/>
    <w:rsid w:val="713C5E29"/>
    <w:rsid w:val="71E46F6E"/>
    <w:rsid w:val="7242215A"/>
    <w:rsid w:val="72433CAA"/>
    <w:rsid w:val="724C09B1"/>
    <w:rsid w:val="72A33146"/>
    <w:rsid w:val="731F1695"/>
    <w:rsid w:val="733A72D5"/>
    <w:rsid w:val="738C7C4E"/>
    <w:rsid w:val="73934B26"/>
    <w:rsid w:val="73D4772A"/>
    <w:rsid w:val="743C3E1F"/>
    <w:rsid w:val="7481074F"/>
    <w:rsid w:val="74B8493F"/>
    <w:rsid w:val="74E37836"/>
    <w:rsid w:val="750D1847"/>
    <w:rsid w:val="750D7D7F"/>
    <w:rsid w:val="7520307C"/>
    <w:rsid w:val="752E785A"/>
    <w:rsid w:val="75691C7B"/>
    <w:rsid w:val="75720FDF"/>
    <w:rsid w:val="75846F2D"/>
    <w:rsid w:val="75F220E9"/>
    <w:rsid w:val="76124DDB"/>
    <w:rsid w:val="762124ED"/>
    <w:rsid w:val="76BB6646"/>
    <w:rsid w:val="76F8372F"/>
    <w:rsid w:val="770264A3"/>
    <w:rsid w:val="77027646"/>
    <w:rsid w:val="772964B0"/>
    <w:rsid w:val="777A6BE0"/>
    <w:rsid w:val="779C34D9"/>
    <w:rsid w:val="77B30045"/>
    <w:rsid w:val="77ED70A7"/>
    <w:rsid w:val="77F55EC0"/>
    <w:rsid w:val="7826458F"/>
    <w:rsid w:val="782868C6"/>
    <w:rsid w:val="783346F2"/>
    <w:rsid w:val="78504954"/>
    <w:rsid w:val="78746B29"/>
    <w:rsid w:val="789F0530"/>
    <w:rsid w:val="78BD2111"/>
    <w:rsid w:val="79877F6F"/>
    <w:rsid w:val="799F79F4"/>
    <w:rsid w:val="79D833A4"/>
    <w:rsid w:val="79F3023B"/>
    <w:rsid w:val="79F503F9"/>
    <w:rsid w:val="7A0A12A1"/>
    <w:rsid w:val="7A0C750E"/>
    <w:rsid w:val="7A184DC4"/>
    <w:rsid w:val="7A2E73CC"/>
    <w:rsid w:val="7A3A5CE2"/>
    <w:rsid w:val="7A982A38"/>
    <w:rsid w:val="7AA0311C"/>
    <w:rsid w:val="7ABF2C4C"/>
    <w:rsid w:val="7AFE5B87"/>
    <w:rsid w:val="7B62561B"/>
    <w:rsid w:val="7BC56162"/>
    <w:rsid w:val="7C1F7E4D"/>
    <w:rsid w:val="7C747FB3"/>
    <w:rsid w:val="7C787A46"/>
    <w:rsid w:val="7C9D4DCF"/>
    <w:rsid w:val="7CAB2FF1"/>
    <w:rsid w:val="7D456FA2"/>
    <w:rsid w:val="7D8775BA"/>
    <w:rsid w:val="7DE828B4"/>
    <w:rsid w:val="7E06628A"/>
    <w:rsid w:val="7E086C7A"/>
    <w:rsid w:val="7E3022A5"/>
    <w:rsid w:val="7E497D96"/>
    <w:rsid w:val="7E5D0998"/>
    <w:rsid w:val="7E8C18F4"/>
    <w:rsid w:val="7EAE0540"/>
    <w:rsid w:val="7F7865E9"/>
    <w:rsid w:val="7F840255"/>
    <w:rsid w:val="7F9918AD"/>
    <w:rsid w:val="7F9A2E5C"/>
    <w:rsid w:val="7FDF5FE7"/>
    <w:rsid w:val="7FE448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qFormat="1" w:unhideWhenUsed="0" w:uiPriority="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Times New Roman" w:hAnsi="Times New Roman" w:eastAsia="宋体" w:cs="Times New Roman"/>
      <w:kern w:val="2"/>
      <w:sz w:val="24"/>
      <w:szCs w:val="24"/>
      <w:lang w:val="en-US" w:eastAsia="zh-CN" w:bidi="ar-SA"/>
    </w:rPr>
  </w:style>
  <w:style w:type="paragraph" w:styleId="5">
    <w:name w:val="heading 1"/>
    <w:basedOn w:val="1"/>
    <w:next w:val="1"/>
    <w:link w:val="23"/>
    <w:qFormat/>
    <w:uiPriority w:val="0"/>
    <w:pPr>
      <w:keepNext/>
      <w:keepLines/>
      <w:spacing w:beforeLines="50" w:afterLines="50"/>
      <w:outlineLvl w:val="0"/>
    </w:pPr>
    <w:rPr>
      <w:b/>
      <w:bCs/>
      <w:kern w:val="44"/>
      <w:sz w:val="32"/>
      <w:szCs w:val="32"/>
    </w:rPr>
  </w:style>
  <w:style w:type="paragraph" w:styleId="6">
    <w:name w:val="heading 2"/>
    <w:basedOn w:val="1"/>
    <w:next w:val="1"/>
    <w:link w:val="25"/>
    <w:qFormat/>
    <w:uiPriority w:val="0"/>
    <w:pPr>
      <w:keepNext/>
      <w:spacing w:beforeLines="50" w:afterLines="50"/>
      <w:outlineLvl w:val="1"/>
    </w:pPr>
    <w:rPr>
      <w:b/>
      <w:bCs/>
      <w:color w:val="000000"/>
      <w:kern w:val="0"/>
      <w:sz w:val="30"/>
      <w:szCs w:val="30"/>
    </w:rPr>
  </w:style>
  <w:style w:type="paragraph" w:styleId="7">
    <w:name w:val="heading 3"/>
    <w:basedOn w:val="1"/>
    <w:next w:val="1"/>
    <w:link w:val="36"/>
    <w:qFormat/>
    <w:uiPriority w:val="0"/>
    <w:pPr>
      <w:keepNext/>
      <w:keepLines/>
      <w:spacing w:beforeLines="50" w:afterLines="50"/>
      <w:ind w:firstLine="440" w:firstLineChars="100"/>
      <w:outlineLvl w:val="2"/>
    </w:pPr>
    <w:rPr>
      <w:b/>
      <w:bCs/>
      <w:sz w:val="28"/>
      <w:szCs w:val="28"/>
    </w:rPr>
  </w:style>
  <w:style w:type="paragraph" w:styleId="8">
    <w:name w:val="heading 4"/>
    <w:basedOn w:val="1"/>
    <w:next w:val="1"/>
    <w:qFormat/>
    <w:uiPriority w:val="0"/>
    <w:pPr>
      <w:keepNext/>
      <w:keepLines/>
      <w:spacing w:beforeLines="50" w:afterLines="50"/>
      <w:ind w:firstLine="880" w:firstLineChars="200"/>
      <w:outlineLvl w:val="3"/>
    </w:pPr>
    <w:rPr>
      <w:b/>
      <w:bCs/>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semiHidden/>
    <w:qFormat/>
    <w:uiPriority w:val="0"/>
    <w:pPr>
      <w:ind w:firstLine="420" w:firstLineChars="200"/>
    </w:pPr>
  </w:style>
  <w:style w:type="paragraph" w:styleId="3">
    <w:name w:val="Body Text Indent"/>
    <w:basedOn w:val="1"/>
    <w:next w:val="4"/>
    <w:qFormat/>
    <w:uiPriority w:val="0"/>
    <w:pPr>
      <w:ind w:left="420" w:leftChars="200"/>
    </w:pPr>
  </w:style>
  <w:style w:type="paragraph" w:customStyle="1" w:styleId="4">
    <w:name w:val="样式 正文文本缩进 + 行距: 1.5 倍行距"/>
    <w:basedOn w:val="3"/>
    <w:qFormat/>
    <w:uiPriority w:val="0"/>
    <w:pPr>
      <w:ind w:left="90" w:leftChars="32" w:firstLine="560"/>
    </w:pPr>
  </w:style>
  <w:style w:type="paragraph" w:styleId="9">
    <w:name w:val="annotation text"/>
    <w:basedOn w:val="1"/>
    <w:qFormat/>
    <w:uiPriority w:val="0"/>
    <w:pPr>
      <w:jc w:val="left"/>
    </w:pPr>
  </w:style>
  <w:style w:type="paragraph" w:styleId="10">
    <w:name w:val="Salutation"/>
    <w:basedOn w:val="1"/>
    <w:next w:val="1"/>
    <w:qFormat/>
    <w:uiPriority w:val="0"/>
    <w:pPr>
      <w:adjustRightInd w:val="0"/>
      <w:spacing w:line="360" w:lineRule="atLeast"/>
      <w:textAlignment w:val="baseline"/>
    </w:pPr>
    <w:rPr>
      <w:rFonts w:ascii="宋体" w:hAnsi="华文宋体"/>
      <w:sz w:val="28"/>
    </w:rPr>
  </w:style>
  <w:style w:type="paragraph" w:styleId="11">
    <w:name w:val="Body Text"/>
    <w:basedOn w:val="1"/>
    <w:next w:val="10"/>
    <w:semiHidden/>
    <w:qFormat/>
    <w:uiPriority w:val="0"/>
    <w:pPr>
      <w:spacing w:after="120"/>
    </w:pPr>
  </w:style>
  <w:style w:type="paragraph" w:styleId="12">
    <w:name w:val="Body Text Indent 2"/>
    <w:basedOn w:val="1"/>
    <w:semiHidden/>
    <w:qFormat/>
    <w:uiPriority w:val="0"/>
    <w:pPr>
      <w:spacing w:after="120" w:line="480" w:lineRule="auto"/>
      <w:ind w:left="420" w:leftChars="200"/>
    </w:pPr>
  </w:style>
  <w:style w:type="paragraph" w:styleId="13">
    <w:name w:val="Balloon Text"/>
    <w:basedOn w:val="1"/>
    <w:link w:val="34"/>
    <w:qFormat/>
    <w:uiPriority w:val="0"/>
    <w:pPr>
      <w:spacing w:line="240" w:lineRule="auto"/>
    </w:pPr>
    <w:rPr>
      <w:sz w:val="18"/>
      <w:szCs w:val="18"/>
    </w:rPr>
  </w:style>
  <w:style w:type="paragraph" w:styleId="14">
    <w:name w:val="footer"/>
    <w:basedOn w:val="1"/>
    <w:qFormat/>
    <w:uiPriority w:val="0"/>
    <w:pPr>
      <w:tabs>
        <w:tab w:val="center" w:pos="4153"/>
        <w:tab w:val="right" w:pos="8306"/>
      </w:tabs>
      <w:snapToGrid w:val="0"/>
      <w:jc w:val="left"/>
    </w:pPr>
    <w:rPr>
      <w:sz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6">
    <w:name w:val="toc 1"/>
    <w:basedOn w:val="1"/>
    <w:next w:val="1"/>
    <w:qFormat/>
    <w:uiPriority w:val="0"/>
  </w:style>
  <w:style w:type="paragraph" w:styleId="17">
    <w:name w:val="toc 2"/>
    <w:basedOn w:val="1"/>
    <w:next w:val="1"/>
    <w:qFormat/>
    <w:uiPriority w:val="0"/>
    <w:pPr>
      <w:ind w:left="420" w:leftChars="200"/>
    </w:pPr>
  </w:style>
  <w:style w:type="table" w:styleId="19">
    <w:name w:val="Table Grid"/>
    <w:basedOn w:val="1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21">
    <w:name w:val="Default"/>
    <w:qFormat/>
    <w:uiPriority w:val="0"/>
    <w:pPr>
      <w:widowControl w:val="0"/>
      <w:autoSpaceDE w:val="0"/>
      <w:autoSpaceDN w:val="0"/>
      <w:adjustRightInd w:val="0"/>
      <w:spacing w:line="360" w:lineRule="auto"/>
    </w:pPr>
    <w:rPr>
      <w:rFonts w:ascii="Times New Roman" w:hAnsi="Times New Roman" w:eastAsia="宋体" w:cs="Times New Roman"/>
      <w:color w:val="000000"/>
      <w:sz w:val="24"/>
      <w:szCs w:val="24"/>
      <w:lang w:val="en-US" w:eastAsia="zh-CN" w:bidi="ar-SA"/>
    </w:rPr>
  </w:style>
  <w:style w:type="paragraph" w:customStyle="1" w:styleId="22">
    <w:name w:val="xl27"/>
    <w:basedOn w:val="1"/>
    <w:qFormat/>
    <w:uiPriority w:val="99"/>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18030" w:hAnsi="???-18030" w:cs="???-18030"/>
      <w:kern w:val="0"/>
    </w:rPr>
  </w:style>
  <w:style w:type="character" w:customStyle="1" w:styleId="23">
    <w:name w:val="标题 1 Char"/>
    <w:link w:val="5"/>
    <w:qFormat/>
    <w:uiPriority w:val="0"/>
    <w:rPr>
      <w:b/>
      <w:bCs/>
      <w:kern w:val="44"/>
      <w:sz w:val="32"/>
      <w:szCs w:val="32"/>
    </w:rPr>
  </w:style>
  <w:style w:type="paragraph" w:customStyle="1" w:styleId="24">
    <w:name w:val="表格"/>
    <w:basedOn w:val="1"/>
    <w:qFormat/>
    <w:uiPriority w:val="0"/>
    <w:pPr>
      <w:keepNext/>
      <w:adjustRightInd w:val="0"/>
      <w:spacing w:line="312" w:lineRule="atLeast"/>
      <w:jc w:val="center"/>
      <w:textAlignment w:val="baseline"/>
    </w:pPr>
    <w:rPr>
      <w:kern w:val="0"/>
      <w:szCs w:val="20"/>
    </w:rPr>
  </w:style>
  <w:style w:type="character" w:customStyle="1" w:styleId="25">
    <w:name w:val="标题 2 Char"/>
    <w:basedOn w:val="20"/>
    <w:link w:val="6"/>
    <w:qFormat/>
    <w:uiPriority w:val="0"/>
    <w:rPr>
      <w:b/>
      <w:bCs/>
      <w:color w:val="000000"/>
      <w:kern w:val="0"/>
      <w:sz w:val="30"/>
      <w:szCs w:val="30"/>
    </w:rPr>
  </w:style>
  <w:style w:type="table" w:customStyle="1" w:styleId="26">
    <w:name w:val="Table Normal"/>
    <w:semiHidden/>
    <w:unhideWhenUsed/>
    <w:qFormat/>
    <w:uiPriority w:val="0"/>
    <w:tblPr>
      <w:tblCellMar>
        <w:top w:w="0" w:type="dxa"/>
        <w:left w:w="0" w:type="dxa"/>
        <w:bottom w:w="0" w:type="dxa"/>
        <w:right w:w="0" w:type="dxa"/>
      </w:tblCellMar>
    </w:tblPr>
  </w:style>
  <w:style w:type="character" w:customStyle="1" w:styleId="27">
    <w:name w:val="font21"/>
    <w:basedOn w:val="20"/>
    <w:qFormat/>
    <w:uiPriority w:val="0"/>
    <w:rPr>
      <w:rFonts w:hint="eastAsia" w:ascii="宋体" w:hAnsi="宋体" w:eastAsia="宋体" w:cs="宋体"/>
      <w:color w:val="000000"/>
      <w:sz w:val="22"/>
      <w:szCs w:val="22"/>
      <w:u w:val="none"/>
    </w:rPr>
  </w:style>
  <w:style w:type="character" w:customStyle="1" w:styleId="28">
    <w:name w:val="font11"/>
    <w:basedOn w:val="20"/>
    <w:qFormat/>
    <w:uiPriority w:val="0"/>
    <w:rPr>
      <w:rFonts w:hint="default" w:ascii="Times New Roman" w:hAnsi="Times New Roman" w:cs="Times New Roman"/>
      <w:color w:val="000000"/>
      <w:sz w:val="21"/>
      <w:szCs w:val="21"/>
      <w:u w:val="none"/>
      <w:vertAlign w:val="superscript"/>
    </w:rPr>
  </w:style>
  <w:style w:type="character" w:customStyle="1" w:styleId="29">
    <w:name w:val="font01"/>
    <w:basedOn w:val="20"/>
    <w:qFormat/>
    <w:uiPriority w:val="0"/>
    <w:rPr>
      <w:rFonts w:hint="eastAsia" w:ascii="宋体" w:hAnsi="宋体" w:eastAsia="宋体" w:cs="宋体"/>
      <w:color w:val="000000"/>
      <w:sz w:val="22"/>
      <w:szCs w:val="22"/>
      <w:u w:val="none"/>
    </w:rPr>
  </w:style>
  <w:style w:type="character" w:customStyle="1" w:styleId="30">
    <w:name w:val="font31"/>
    <w:basedOn w:val="20"/>
    <w:qFormat/>
    <w:uiPriority w:val="0"/>
    <w:rPr>
      <w:rFonts w:hint="default" w:ascii="Times New Roman" w:hAnsi="Times New Roman" w:cs="Times New Roman"/>
      <w:color w:val="000000"/>
      <w:sz w:val="21"/>
      <w:szCs w:val="21"/>
      <w:u w:val="none"/>
    </w:rPr>
  </w:style>
  <w:style w:type="paragraph" w:customStyle="1" w:styleId="31">
    <w:name w:val="WPSOffice手动目录 1"/>
    <w:qFormat/>
    <w:uiPriority w:val="0"/>
    <w:rPr>
      <w:rFonts w:ascii="Times New Roman" w:hAnsi="Times New Roman" w:eastAsia="宋体" w:cs="Times New Roman"/>
      <w:lang w:val="en-US" w:eastAsia="zh-CN" w:bidi="ar-SA"/>
    </w:rPr>
  </w:style>
  <w:style w:type="paragraph" w:customStyle="1" w:styleId="32">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33">
    <w:name w:val="font41"/>
    <w:basedOn w:val="20"/>
    <w:qFormat/>
    <w:uiPriority w:val="0"/>
    <w:rPr>
      <w:rFonts w:hint="default" w:ascii="Times New Roman" w:hAnsi="Times New Roman" w:cs="Times New Roman"/>
      <w:color w:val="000000"/>
      <w:sz w:val="21"/>
      <w:szCs w:val="21"/>
      <w:u w:val="none"/>
    </w:rPr>
  </w:style>
  <w:style w:type="character" w:customStyle="1" w:styleId="34">
    <w:name w:val="批注框文本 Char"/>
    <w:basedOn w:val="20"/>
    <w:link w:val="13"/>
    <w:qFormat/>
    <w:uiPriority w:val="0"/>
    <w:rPr>
      <w:kern w:val="2"/>
      <w:sz w:val="18"/>
      <w:szCs w:val="18"/>
    </w:rPr>
  </w:style>
  <w:style w:type="paragraph" w:customStyle="1" w:styleId="35">
    <w:name w:val="Table Paragraph"/>
    <w:basedOn w:val="1"/>
    <w:qFormat/>
    <w:uiPriority w:val="1"/>
  </w:style>
  <w:style w:type="character" w:customStyle="1" w:styleId="36">
    <w:name w:val="标题 3 Char"/>
    <w:link w:val="7"/>
    <w:qFormat/>
    <w:uiPriority w:val="0"/>
    <w:rPr>
      <w:b/>
      <w:bCs/>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6" Type="http://schemas.openxmlformats.org/officeDocument/2006/relationships/fontTable" Target="fontTable.xml"/><Relationship Id="rId55" Type="http://schemas.openxmlformats.org/officeDocument/2006/relationships/customXml" Target="../customXml/item1.xml"/><Relationship Id="rId54" Type="http://schemas.openxmlformats.org/officeDocument/2006/relationships/image" Target="media/image27.jpeg"/><Relationship Id="rId53" Type="http://schemas.openxmlformats.org/officeDocument/2006/relationships/image" Target="media/image26.jpeg"/><Relationship Id="rId52" Type="http://schemas.openxmlformats.org/officeDocument/2006/relationships/image" Target="media/image25.png"/><Relationship Id="rId51" Type="http://schemas.openxmlformats.org/officeDocument/2006/relationships/image" Target="media/image24.png"/><Relationship Id="rId50" Type="http://schemas.openxmlformats.org/officeDocument/2006/relationships/image" Target="media/image23.png"/><Relationship Id="rId5" Type="http://schemas.openxmlformats.org/officeDocument/2006/relationships/header" Target="header1.xml"/><Relationship Id="rId49" Type="http://schemas.openxmlformats.org/officeDocument/2006/relationships/image" Target="media/image22.png"/><Relationship Id="rId48" Type="http://schemas.openxmlformats.org/officeDocument/2006/relationships/image" Target="media/image21.png"/><Relationship Id="rId47" Type="http://schemas.openxmlformats.org/officeDocument/2006/relationships/image" Target="media/image20.png"/><Relationship Id="rId46" Type="http://schemas.openxmlformats.org/officeDocument/2006/relationships/image" Target="media/image19.jpeg"/><Relationship Id="rId45" Type="http://schemas.openxmlformats.org/officeDocument/2006/relationships/image" Target="media/image18.jpeg"/><Relationship Id="rId44" Type="http://schemas.openxmlformats.org/officeDocument/2006/relationships/image" Target="media/image17.jpeg"/><Relationship Id="rId43" Type="http://schemas.openxmlformats.org/officeDocument/2006/relationships/image" Target="media/image16.jpeg"/><Relationship Id="rId42" Type="http://schemas.openxmlformats.org/officeDocument/2006/relationships/image" Target="media/image15.jpeg"/><Relationship Id="rId41" Type="http://schemas.openxmlformats.org/officeDocument/2006/relationships/image" Target="media/image14.jpeg"/><Relationship Id="rId40" Type="http://schemas.openxmlformats.org/officeDocument/2006/relationships/image" Target="media/image13.jpeg"/><Relationship Id="rId4" Type="http://schemas.openxmlformats.org/officeDocument/2006/relationships/endnotes" Target="endnotes.xml"/><Relationship Id="rId39" Type="http://schemas.openxmlformats.org/officeDocument/2006/relationships/image" Target="media/image12.jpeg"/><Relationship Id="rId38" Type="http://schemas.openxmlformats.org/officeDocument/2006/relationships/image" Target="media/image11.jpeg"/><Relationship Id="rId37" Type="http://schemas.openxmlformats.org/officeDocument/2006/relationships/image" Target="media/image10.jpeg"/><Relationship Id="rId36" Type="http://schemas.openxmlformats.org/officeDocument/2006/relationships/image" Target="media/image9.jpeg"/><Relationship Id="rId35" Type="http://schemas.openxmlformats.org/officeDocument/2006/relationships/image" Target="media/image8.jpeg"/><Relationship Id="rId34" Type="http://schemas.openxmlformats.org/officeDocument/2006/relationships/image" Target="media/image7.jpeg"/><Relationship Id="rId33" Type="http://schemas.openxmlformats.org/officeDocument/2006/relationships/image" Target="media/image6.jpeg"/><Relationship Id="rId32" Type="http://schemas.openxmlformats.org/officeDocument/2006/relationships/image" Target="media/image5.png"/><Relationship Id="rId31" Type="http://schemas.openxmlformats.org/officeDocument/2006/relationships/image" Target="media/image4.jpeg"/><Relationship Id="rId30" Type="http://schemas.openxmlformats.org/officeDocument/2006/relationships/image" Target="media/image3.png"/><Relationship Id="rId3" Type="http://schemas.openxmlformats.org/officeDocument/2006/relationships/footnotes" Target="footnotes.xml"/><Relationship Id="rId29" Type="http://schemas.openxmlformats.org/officeDocument/2006/relationships/image" Target="media/image2.png"/><Relationship Id="rId28" Type="http://schemas.openxmlformats.org/officeDocument/2006/relationships/image" Target="media/image1.png"/><Relationship Id="rId27" Type="http://schemas.openxmlformats.org/officeDocument/2006/relationships/theme" Target="theme/theme1.xml"/><Relationship Id="rId26" Type="http://schemas.openxmlformats.org/officeDocument/2006/relationships/footer" Target="footer16.xml"/><Relationship Id="rId25" Type="http://schemas.openxmlformats.org/officeDocument/2006/relationships/header" Target="header6.xml"/><Relationship Id="rId24" Type="http://schemas.openxmlformats.org/officeDocument/2006/relationships/footer" Target="footer15.xml"/><Relationship Id="rId23" Type="http://schemas.openxmlformats.org/officeDocument/2006/relationships/header" Target="header5.xml"/><Relationship Id="rId22" Type="http://schemas.openxmlformats.org/officeDocument/2006/relationships/header" Target="header4.xml"/><Relationship Id="rId21" Type="http://schemas.openxmlformats.org/officeDocument/2006/relationships/footer" Target="footer14.xml"/><Relationship Id="rId20" Type="http://schemas.openxmlformats.org/officeDocument/2006/relationships/footer" Target="footer13.xml"/><Relationship Id="rId2" Type="http://schemas.openxmlformats.org/officeDocument/2006/relationships/settings" Target="settings.xml"/><Relationship Id="rId19" Type="http://schemas.openxmlformats.org/officeDocument/2006/relationships/footer" Target="footer12.xml"/><Relationship Id="rId18" Type="http://schemas.openxmlformats.org/officeDocument/2006/relationships/footer" Target="footer11.xml"/><Relationship Id="rId17" Type="http://schemas.openxmlformats.org/officeDocument/2006/relationships/footer" Target="footer10.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66</Pages>
  <Words>21317</Words>
  <Characters>25778</Characters>
  <Lines>476</Lines>
  <Paragraphs>134</Paragraphs>
  <TotalTime>3</TotalTime>
  <ScaleCrop>false</ScaleCrop>
  <LinksUpToDate>false</LinksUpToDate>
  <CharactersWithSpaces>26254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2022-04-13T07:56:00Z</dcterms:created>
  <dc:creator>WPS_1602205202</dc:creator>
  <cp:lastModifiedBy>当幸福来敲门</cp:lastModifiedBy>
  <cp:lastPrinted>2022-08-25T06:16:00Z</cp:lastPrinted>
  <dcterms:modified xsi:type="dcterms:W3CDTF">2023-05-15T03:44:22Z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A5B3EEFC3EB04C5ABB7662C6D755381C_13</vt:lpwstr>
  </property>
</Properties>
</file>